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74C21" w14:textId="77777777" w:rsidR="00780E36" w:rsidRDefault="00000000">
      <w:pPr>
        <w:widowControl/>
        <w:spacing w:after="240" w:line="594" w:lineRule="exact"/>
        <w:jc w:val="center"/>
        <w:rPr>
          <w:rFonts w:ascii="黑体" w:eastAsia="黑体" w:hAnsi="黑体" w:cs="黑体" w:hint="eastAsia"/>
          <w:bCs/>
          <w:kern w:val="0"/>
          <w:sz w:val="36"/>
          <w:szCs w:val="36"/>
          <w:lang w:val="en-GB" w:bidi="ar-AE"/>
        </w:rPr>
      </w:pPr>
      <w:r>
        <w:rPr>
          <w:rFonts w:ascii="黑体" w:eastAsia="黑体" w:hAnsi="黑体" w:cs="黑体" w:hint="eastAsia"/>
          <w:bCs/>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780E36" w14:paraId="390CA902" w14:textId="77777777">
        <w:trPr>
          <w:trHeight w:val="926"/>
        </w:trPr>
        <w:tc>
          <w:tcPr>
            <w:tcW w:w="1940" w:type="dxa"/>
            <w:shd w:val="clear" w:color="auto" w:fill="D9D9D9"/>
            <w:vAlign w:val="center"/>
          </w:tcPr>
          <w:p w14:paraId="3CB0558C" w14:textId="77777777" w:rsidR="00780E36" w:rsidRDefault="00000000">
            <w:pPr>
              <w:pStyle w:val="a3"/>
              <w:adjustRightInd w:val="0"/>
              <w:snapToGrid w:val="0"/>
              <w:spacing w:after="0"/>
              <w:rPr>
                <w:rFonts w:ascii="宋体" w:hAnsi="宋体" w:cs="宋体" w:hint="eastAsia"/>
                <w:bCs/>
                <w:color w:val="000000"/>
                <w:lang w:val="en-US"/>
              </w:rPr>
            </w:pPr>
            <w:proofErr w:type="spellStart"/>
            <w:r>
              <w:rPr>
                <w:rFonts w:ascii="宋体" w:hAnsi="宋体" w:cs="宋体" w:hint="eastAsia"/>
                <w:bCs/>
                <w:color w:val="000000"/>
              </w:rPr>
              <w:t>案件名称</w:t>
            </w:r>
            <w:proofErr w:type="spellEnd"/>
          </w:p>
        </w:tc>
        <w:tc>
          <w:tcPr>
            <w:tcW w:w="7700" w:type="dxa"/>
            <w:gridSpan w:val="2"/>
            <w:vAlign w:val="center"/>
          </w:tcPr>
          <w:p w14:paraId="53CEA13E" w14:textId="77777777" w:rsidR="00780E36" w:rsidRDefault="00000000">
            <w:pPr>
              <w:widowControl/>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万达控股集团有限公司收购南京盛航海运股份有限公司股权案</w:t>
            </w:r>
          </w:p>
        </w:tc>
      </w:tr>
      <w:tr w:rsidR="00780E36" w14:paraId="7D8BFF18" w14:textId="77777777">
        <w:trPr>
          <w:trHeight w:val="1391"/>
        </w:trPr>
        <w:tc>
          <w:tcPr>
            <w:tcW w:w="1940" w:type="dxa"/>
            <w:shd w:val="clear" w:color="auto" w:fill="D9D9D9"/>
            <w:vAlign w:val="center"/>
          </w:tcPr>
          <w:p w14:paraId="35BC7144"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交易概况（限200字内）</w:t>
            </w:r>
          </w:p>
        </w:tc>
        <w:tc>
          <w:tcPr>
            <w:tcW w:w="7700" w:type="dxa"/>
            <w:gridSpan w:val="2"/>
            <w:vAlign w:val="center"/>
          </w:tcPr>
          <w:p w14:paraId="195218BE" w14:textId="77777777" w:rsidR="00780E36" w:rsidRDefault="00000000">
            <w:pPr>
              <w:adjustRightInd w:val="0"/>
              <w:snapToGrid w:val="0"/>
              <w:rPr>
                <w:rFonts w:ascii="宋体" w:hAnsi="宋体" w:cs="宋体" w:hint="eastAsia"/>
                <w:bCs/>
                <w:color w:val="000000"/>
                <w:kern w:val="0"/>
                <w:sz w:val="24"/>
                <w:lang w:val="en-GB" w:bidi="ar-AE"/>
              </w:rPr>
            </w:pPr>
            <w:r>
              <w:rPr>
                <w:rFonts w:ascii="宋体" w:hAnsi="宋体" w:cs="宋体" w:hint="eastAsia"/>
                <w:kern w:val="0"/>
                <w:sz w:val="24"/>
                <w:lang w:bidi="ar-AE"/>
              </w:rPr>
              <w:t>南京盛航海运股份有限公司的控股股东、实际控制人李桃元拟向万达控股集团有限公司转让其持有的盛航股份21,544,819股股份，并将其剩余27,700,481股股份的收益权和转让权外的其他股东权利委托给万达控股集团有限公司行使。交易完成后，万达控股集团有限公司将取得盛航股份28.65%的表决权（以2024年10月29日盛航股份总股本为基数计算）将成为其控股股东，南京盛航海运股份有限公司的实际控制人将变更为尚吉永。</w:t>
            </w:r>
          </w:p>
        </w:tc>
      </w:tr>
      <w:tr w:rsidR="00780E36" w14:paraId="57CD4CF4" w14:textId="77777777">
        <w:trPr>
          <w:trHeight w:val="942"/>
        </w:trPr>
        <w:tc>
          <w:tcPr>
            <w:tcW w:w="1940" w:type="dxa"/>
            <w:vMerge w:val="restart"/>
            <w:shd w:val="clear" w:color="auto" w:fill="D9D9D9"/>
            <w:vAlign w:val="center"/>
          </w:tcPr>
          <w:p w14:paraId="7EC64642"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参与集中的经营者简介（每个限</w:t>
            </w:r>
            <w:r>
              <w:rPr>
                <w:rFonts w:ascii="宋体" w:hAnsi="宋体" w:cs="宋体"/>
                <w:bCs/>
                <w:color w:val="000000"/>
                <w:lang w:val="en-US" w:eastAsia="zh-CN"/>
              </w:rPr>
              <w:t>100</w:t>
            </w:r>
            <w:r>
              <w:rPr>
                <w:rFonts w:ascii="宋体" w:hAnsi="宋体" w:cs="宋体" w:hint="eastAsia"/>
                <w:bCs/>
                <w:color w:val="000000"/>
                <w:lang w:val="en-US" w:eastAsia="zh-CN"/>
              </w:rPr>
              <w:t>字以内</w:t>
            </w:r>
            <w:r>
              <w:rPr>
                <w:rFonts w:ascii="宋体" w:hAnsi="宋体" w:cs="宋体" w:hint="eastAsia"/>
                <w:bCs/>
                <w:color w:val="000000"/>
                <w:lang w:eastAsia="zh-CN"/>
              </w:rPr>
              <w:t>）</w:t>
            </w:r>
          </w:p>
        </w:tc>
        <w:tc>
          <w:tcPr>
            <w:tcW w:w="1607" w:type="dxa"/>
            <w:vAlign w:val="center"/>
          </w:tcPr>
          <w:p w14:paraId="17824CA3" w14:textId="77777777" w:rsidR="00780E36" w:rsidRDefault="00000000">
            <w:pPr>
              <w:pStyle w:val="a3"/>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1.</w:t>
            </w:r>
            <w:r>
              <w:rPr>
                <w:rFonts w:ascii="宋体" w:hAnsi="宋体" w:cs="宋体" w:hint="eastAsia"/>
                <w:bCs/>
                <w:color w:val="000000"/>
                <w:lang w:eastAsia="zh-CN"/>
              </w:rPr>
              <w:t>万达控股集团有限公司（简称“万达控股集团”）</w:t>
            </w:r>
          </w:p>
        </w:tc>
        <w:tc>
          <w:tcPr>
            <w:tcW w:w="6093" w:type="dxa"/>
            <w:vAlign w:val="center"/>
          </w:tcPr>
          <w:p w14:paraId="7CC2CA06" w14:textId="77777777" w:rsidR="00780E36"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万达控股集团于2000年9月27日成立于山东省东营市，</w:t>
            </w:r>
            <w:r>
              <w:rPr>
                <w:rFonts w:ascii="宋体" w:hAnsi="宋体" w:cs="宋体"/>
                <w:bCs/>
                <w:color w:val="000000"/>
                <w:kern w:val="0"/>
                <w:sz w:val="24"/>
                <w:lang w:bidi="ar-AE"/>
              </w:rPr>
              <w:t>最终</w:t>
            </w:r>
            <w:r>
              <w:rPr>
                <w:rFonts w:ascii="宋体" w:hAnsi="宋体" w:cs="宋体" w:hint="eastAsia"/>
                <w:bCs/>
                <w:color w:val="000000"/>
                <w:kern w:val="0"/>
                <w:sz w:val="24"/>
                <w:lang w:bidi="ar-AE"/>
              </w:rPr>
              <w:t>控制人为尚吉永，主要从事原油加工及相关产品的销售、橡胶产品的生产和销售、工业电缆的制造和销售、金属材料/化工产品/煤炭等商品的贸易业务。</w:t>
            </w:r>
          </w:p>
        </w:tc>
      </w:tr>
      <w:tr w:rsidR="00780E36" w14:paraId="68A4E5F4" w14:textId="77777777">
        <w:trPr>
          <w:trHeight w:val="984"/>
        </w:trPr>
        <w:tc>
          <w:tcPr>
            <w:tcW w:w="1940" w:type="dxa"/>
            <w:vMerge/>
            <w:shd w:val="clear" w:color="auto" w:fill="D9D9D9"/>
            <w:vAlign w:val="center"/>
          </w:tcPr>
          <w:p w14:paraId="7A0E0162"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1607" w:type="dxa"/>
            <w:vAlign w:val="center"/>
          </w:tcPr>
          <w:p w14:paraId="0657F727" w14:textId="77777777" w:rsidR="00780E36" w:rsidRDefault="00000000">
            <w:pPr>
              <w:pStyle w:val="a3"/>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2.</w:t>
            </w:r>
            <w:r>
              <w:rPr>
                <w:rFonts w:ascii="宋体" w:hAnsi="宋体" w:cs="宋体" w:hint="eastAsia"/>
                <w:bCs/>
                <w:color w:val="000000"/>
                <w:lang w:eastAsia="zh-CN"/>
              </w:rPr>
              <w:t>南京盛航海运股份有限公司（简称“盛航股份”）</w:t>
            </w:r>
          </w:p>
        </w:tc>
        <w:tc>
          <w:tcPr>
            <w:tcW w:w="6093" w:type="dxa"/>
            <w:vAlign w:val="center"/>
          </w:tcPr>
          <w:p w14:paraId="77B15208" w14:textId="77777777" w:rsidR="00780E36" w:rsidRDefault="00000000">
            <w:pPr>
              <w:pStyle w:val="a3"/>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盛航股份于1994年11月7日成立于江苏省南京市，为深圳证券交易所上市公司，主要从事国内沿海、长江中下游及国际液体化学品、成品油水上运输业务，最终控制人为自然人李桃元。</w:t>
            </w:r>
          </w:p>
        </w:tc>
      </w:tr>
      <w:tr w:rsidR="00780E36" w14:paraId="16A81247" w14:textId="77777777">
        <w:trPr>
          <w:trHeight w:val="279"/>
        </w:trPr>
        <w:tc>
          <w:tcPr>
            <w:tcW w:w="1940" w:type="dxa"/>
            <w:vMerge w:val="restart"/>
            <w:shd w:val="clear" w:color="auto" w:fill="D9D9D9"/>
            <w:vAlign w:val="center"/>
          </w:tcPr>
          <w:p w14:paraId="1916B4F5"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简易案件理由（可以单选，也可以多选）</w:t>
            </w:r>
          </w:p>
        </w:tc>
        <w:tc>
          <w:tcPr>
            <w:tcW w:w="7700" w:type="dxa"/>
            <w:gridSpan w:val="2"/>
            <w:vAlign w:val="center"/>
          </w:tcPr>
          <w:p w14:paraId="1728E363"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1</w:t>
            </w:r>
            <w:r>
              <w:rPr>
                <w:rFonts w:ascii="宋体" w:hAnsi="宋体" w:cs="宋体" w:hint="eastAsia"/>
                <w:bCs/>
                <w:color w:val="000000"/>
                <w:lang w:val="en-US" w:eastAsia="zh-CN"/>
              </w:rPr>
              <w:t>.</w:t>
            </w:r>
            <w:r>
              <w:rPr>
                <w:rFonts w:ascii="宋体" w:hAnsi="宋体" w:cs="宋体" w:hint="eastAsia"/>
                <w:bCs/>
                <w:color w:val="000000"/>
                <w:lang w:eastAsia="zh-CN"/>
              </w:rPr>
              <w:t>在同一相关市场，参与集中的经营者所占的市场份额之和小于15%。</w:t>
            </w:r>
          </w:p>
        </w:tc>
      </w:tr>
      <w:tr w:rsidR="00780E36" w14:paraId="41E31611" w14:textId="77777777">
        <w:trPr>
          <w:trHeight w:val="330"/>
        </w:trPr>
        <w:tc>
          <w:tcPr>
            <w:tcW w:w="1940" w:type="dxa"/>
            <w:vMerge/>
            <w:shd w:val="clear" w:color="auto" w:fill="D9D9D9"/>
            <w:vAlign w:val="center"/>
          </w:tcPr>
          <w:p w14:paraId="48D1E1F1"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36D5C493"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FE"/>
            </w:r>
            <w:r>
              <w:rPr>
                <w:rFonts w:ascii="宋体" w:hAnsi="宋体" w:cs="宋体" w:hint="eastAsia"/>
                <w:bCs/>
                <w:color w:val="000000"/>
                <w:lang w:eastAsia="zh-CN"/>
              </w:rPr>
              <w:t xml:space="preserve"> 2</w:t>
            </w:r>
            <w:r>
              <w:rPr>
                <w:rFonts w:ascii="宋体" w:hAnsi="宋体" w:cs="宋体" w:hint="eastAsia"/>
                <w:bCs/>
                <w:color w:val="000000"/>
                <w:lang w:val="en-US" w:eastAsia="zh-CN"/>
              </w:rPr>
              <w:t>.</w:t>
            </w:r>
            <w:r>
              <w:rPr>
                <w:rFonts w:ascii="宋体" w:hAnsi="宋体" w:cs="宋体" w:hint="eastAsia"/>
                <w:bCs/>
                <w:color w:val="000000"/>
                <w:lang w:eastAsia="zh-CN"/>
              </w:rPr>
              <w:t>在上下游市场，参与集中的经营者所占的市场份额均小于25%。</w:t>
            </w:r>
          </w:p>
        </w:tc>
      </w:tr>
      <w:tr w:rsidR="00780E36" w14:paraId="1696880B" w14:textId="77777777">
        <w:trPr>
          <w:trHeight w:val="285"/>
        </w:trPr>
        <w:tc>
          <w:tcPr>
            <w:tcW w:w="1940" w:type="dxa"/>
            <w:vMerge/>
            <w:shd w:val="clear" w:color="auto" w:fill="D9D9D9"/>
            <w:vAlign w:val="center"/>
          </w:tcPr>
          <w:p w14:paraId="3FD25BC6"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04178D5B"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3</w:t>
            </w:r>
            <w:r>
              <w:rPr>
                <w:rFonts w:ascii="宋体" w:hAnsi="宋体" w:cs="宋体" w:hint="eastAsia"/>
                <w:bCs/>
                <w:color w:val="000000"/>
                <w:lang w:val="en-US" w:eastAsia="zh-CN"/>
              </w:rPr>
              <w:t>.</w:t>
            </w:r>
            <w:r>
              <w:rPr>
                <w:rFonts w:ascii="宋体" w:hAnsi="宋体" w:cs="宋体" w:hint="eastAsia"/>
                <w:bCs/>
                <w:color w:val="000000"/>
                <w:lang w:eastAsia="zh-CN"/>
              </w:rPr>
              <w:t>不在同一相关市场也不存在上下游关系的参与集中的经营者，在与交易有关的每个市场所占的市场份额均小于25%。</w:t>
            </w:r>
          </w:p>
        </w:tc>
      </w:tr>
      <w:tr w:rsidR="00780E36" w14:paraId="575CBD00" w14:textId="77777777">
        <w:trPr>
          <w:trHeight w:val="870"/>
        </w:trPr>
        <w:tc>
          <w:tcPr>
            <w:tcW w:w="1940" w:type="dxa"/>
            <w:vMerge/>
            <w:shd w:val="clear" w:color="auto" w:fill="D9D9D9"/>
            <w:vAlign w:val="center"/>
          </w:tcPr>
          <w:p w14:paraId="27EDD960"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6AB9075F"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4</w:t>
            </w:r>
            <w:r>
              <w:rPr>
                <w:rFonts w:ascii="宋体" w:hAnsi="宋体" w:cs="宋体" w:hint="eastAsia"/>
                <w:bCs/>
                <w:color w:val="000000"/>
                <w:lang w:val="en-US" w:eastAsia="zh-CN"/>
              </w:rPr>
              <w:t>.</w:t>
            </w:r>
            <w:r>
              <w:rPr>
                <w:rFonts w:ascii="宋体" w:hAnsi="宋体" w:cs="宋体" w:hint="eastAsia"/>
                <w:bCs/>
                <w:color w:val="000000"/>
                <w:lang w:eastAsia="zh-CN"/>
              </w:rPr>
              <w:t>参与集中的经营者在中国境外设立合营企业，合营企业不在中国境内从事经济活动。</w:t>
            </w:r>
          </w:p>
        </w:tc>
      </w:tr>
      <w:tr w:rsidR="00780E36" w14:paraId="5F384D2D" w14:textId="77777777">
        <w:trPr>
          <w:trHeight w:val="264"/>
        </w:trPr>
        <w:tc>
          <w:tcPr>
            <w:tcW w:w="1940" w:type="dxa"/>
            <w:vMerge/>
            <w:shd w:val="clear" w:color="auto" w:fill="D9D9D9"/>
            <w:vAlign w:val="center"/>
          </w:tcPr>
          <w:p w14:paraId="1BCB7BA6"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68535031"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5</w:t>
            </w:r>
            <w:r>
              <w:rPr>
                <w:rFonts w:ascii="宋体" w:hAnsi="宋体" w:cs="宋体" w:hint="eastAsia"/>
                <w:bCs/>
                <w:color w:val="000000"/>
                <w:lang w:val="en-US" w:eastAsia="zh-CN"/>
              </w:rPr>
              <w:t>.</w:t>
            </w:r>
            <w:r>
              <w:rPr>
                <w:rFonts w:ascii="宋体" w:hAnsi="宋体" w:cs="宋体" w:hint="eastAsia"/>
                <w:bCs/>
                <w:color w:val="000000"/>
                <w:lang w:eastAsia="zh-CN"/>
              </w:rPr>
              <w:t>参与集中的经营者收购境外企业股权或资产的，该境外企业不在中国境内从事经济活动。</w:t>
            </w:r>
          </w:p>
        </w:tc>
      </w:tr>
      <w:tr w:rsidR="00780E36" w14:paraId="6BA2E307" w14:textId="77777777">
        <w:trPr>
          <w:trHeight w:val="345"/>
        </w:trPr>
        <w:tc>
          <w:tcPr>
            <w:tcW w:w="1940" w:type="dxa"/>
            <w:vMerge/>
            <w:shd w:val="clear" w:color="auto" w:fill="D9D9D9"/>
            <w:vAlign w:val="center"/>
          </w:tcPr>
          <w:p w14:paraId="0DF5AE56" w14:textId="77777777" w:rsidR="00780E36" w:rsidRDefault="00780E36">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252DDDCE"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6</w:t>
            </w:r>
            <w:r>
              <w:rPr>
                <w:rFonts w:ascii="宋体" w:hAnsi="宋体" w:cs="宋体" w:hint="eastAsia"/>
                <w:bCs/>
                <w:color w:val="000000"/>
                <w:lang w:val="en-US" w:eastAsia="zh-CN"/>
              </w:rPr>
              <w:t>.</w:t>
            </w:r>
            <w:r>
              <w:rPr>
                <w:rFonts w:ascii="宋体" w:hAnsi="宋体" w:cs="宋体" w:hint="eastAsia"/>
                <w:bCs/>
                <w:color w:val="000000"/>
                <w:lang w:eastAsia="zh-CN"/>
              </w:rPr>
              <w:t>由两个以上的经营者共同控制的合营企业，通过集中被其中一个或一个以上经营者控制。</w:t>
            </w:r>
          </w:p>
        </w:tc>
      </w:tr>
      <w:tr w:rsidR="00780E36" w14:paraId="2100F9A3" w14:textId="77777777">
        <w:trPr>
          <w:trHeight w:val="1250"/>
        </w:trPr>
        <w:tc>
          <w:tcPr>
            <w:tcW w:w="1940" w:type="dxa"/>
            <w:shd w:val="clear" w:color="auto" w:fill="D9D9D9"/>
            <w:vAlign w:val="center"/>
          </w:tcPr>
          <w:p w14:paraId="62EC7069"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备注</w:t>
            </w:r>
          </w:p>
        </w:tc>
        <w:tc>
          <w:tcPr>
            <w:tcW w:w="7700" w:type="dxa"/>
            <w:gridSpan w:val="2"/>
            <w:vAlign w:val="center"/>
          </w:tcPr>
          <w:p w14:paraId="23A16980" w14:textId="77777777" w:rsidR="00780E36" w:rsidRDefault="00000000">
            <w:pPr>
              <w:pStyle w:val="a3"/>
              <w:adjustRightInd w:val="0"/>
              <w:snapToGrid w:val="0"/>
              <w:spacing w:after="0"/>
              <w:rPr>
                <w:rFonts w:ascii="宋体" w:hAnsi="宋体" w:cs="宋体" w:hint="eastAsia"/>
                <w:b/>
                <w:color w:val="000000"/>
                <w:lang w:eastAsia="zh-CN"/>
              </w:rPr>
            </w:pPr>
            <w:r>
              <w:rPr>
                <w:rFonts w:ascii="宋体" w:hAnsi="宋体" w:cs="宋体" w:hint="eastAsia"/>
                <w:b/>
                <w:color w:val="000000"/>
                <w:lang w:eastAsia="zh-CN"/>
              </w:rPr>
              <w:t>纵向关联：</w:t>
            </w:r>
          </w:p>
          <w:p w14:paraId="025928EC"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上游：2023年中国境内液体危险化学品船</w:t>
            </w:r>
            <w:proofErr w:type="gramStart"/>
            <w:r>
              <w:rPr>
                <w:rFonts w:ascii="宋体" w:hAnsi="宋体" w:cs="宋体" w:hint="eastAsia"/>
                <w:bCs/>
                <w:color w:val="000000"/>
                <w:lang w:val="en-US" w:eastAsia="zh-CN"/>
              </w:rPr>
              <w:t>舶</w:t>
            </w:r>
            <w:proofErr w:type="gramEnd"/>
            <w:r>
              <w:rPr>
                <w:rFonts w:ascii="宋体" w:hAnsi="宋体" w:cs="宋体" w:hint="eastAsia"/>
                <w:bCs/>
                <w:color w:val="000000"/>
                <w:lang w:val="en-US" w:eastAsia="zh-CN"/>
              </w:rPr>
              <w:t>运输服务市场（盛航股份的市场份额10%-15%）</w:t>
            </w:r>
          </w:p>
          <w:p w14:paraId="31839BE9" w14:textId="77777777" w:rsidR="00780E36"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下游：2023年中国境内原油加工市场（万达控股集团的市场份额0%-5%）</w:t>
            </w:r>
          </w:p>
        </w:tc>
      </w:tr>
    </w:tbl>
    <w:p w14:paraId="3D75B157" w14:textId="77777777" w:rsidR="00780E36" w:rsidRDefault="00780E36"/>
    <w:sectPr w:rsidR="00780E36">
      <w:endnotePr>
        <w:numFmt w:val="decimal"/>
      </w:endnotePr>
      <w:pgSz w:w="11906" w:h="16838"/>
      <w:pgMar w:top="1984" w:right="1474" w:bottom="1644"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2312">
    <w:altName w:val="黑体"/>
    <w:charset w:val="00"/>
    <w:family w:val="auto"/>
    <w:pitch w:val="default"/>
    <w:sig w:usb0="00000000" w:usb1="00000000" w:usb2="00000012"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楷体_GB2312"/>
    <w:charset w:val="00"/>
    <w:family w:val="auto"/>
    <w:pitch w:val="default"/>
    <w:sig w:usb0="00000000" w:usb1="00000000" w:usb2="00000012" w:usb3="00000000" w:csb0="0004000F" w:csb1="00000000"/>
  </w:font>
  <w:font w:name="方正楷体_GBK">
    <w:altName w:val="楷体_GB2312"/>
    <w:charset w:val="86"/>
    <w:family w:val="auto"/>
    <w:pitch w:val="default"/>
    <w:sig w:usb0="00000000" w:usb1="00000000" w:usb2="00000000" w:usb3="00000000" w:csb0="00040000" w:csb1="00000000"/>
  </w:font>
  <w:font w:name="Simplified Arabic">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wYjliMDVjODgzNzM4ZDg2MGRkYzgzZjFhNGMzMjYifQ=="/>
  </w:docVars>
  <w:rsids>
    <w:rsidRoot w:val="6FBDD792"/>
    <w:rsid w:val="DFBC2832"/>
    <w:rsid w:val="DFF72897"/>
    <w:rsid w:val="DFFC4C00"/>
    <w:rsid w:val="DFFCC2EC"/>
    <w:rsid w:val="EF7CA40F"/>
    <w:rsid w:val="EFFF9D5B"/>
    <w:rsid w:val="F0CF0FA1"/>
    <w:rsid w:val="F6EECC31"/>
    <w:rsid w:val="F78D7951"/>
    <w:rsid w:val="F7BD343A"/>
    <w:rsid w:val="F7DBD425"/>
    <w:rsid w:val="FB46F0CF"/>
    <w:rsid w:val="FEFB7B3A"/>
    <w:rsid w:val="FEFED215"/>
    <w:rsid w:val="FEFF3882"/>
    <w:rsid w:val="FF4FAF28"/>
    <w:rsid w:val="FFC7B96D"/>
    <w:rsid w:val="FFFCE7EB"/>
    <w:rsid w:val="FFFF7513"/>
    <w:rsid w:val="FFFF9371"/>
    <w:rsid w:val="00070825"/>
    <w:rsid w:val="000D2F37"/>
    <w:rsid w:val="00191E79"/>
    <w:rsid w:val="002E08A4"/>
    <w:rsid w:val="002E3771"/>
    <w:rsid w:val="00356AB0"/>
    <w:rsid w:val="004A0286"/>
    <w:rsid w:val="00630E49"/>
    <w:rsid w:val="006B5BBE"/>
    <w:rsid w:val="006B6164"/>
    <w:rsid w:val="00762BDE"/>
    <w:rsid w:val="00780E36"/>
    <w:rsid w:val="007E3401"/>
    <w:rsid w:val="009D79F8"/>
    <w:rsid w:val="00A37459"/>
    <w:rsid w:val="00AD3301"/>
    <w:rsid w:val="00D15A69"/>
    <w:rsid w:val="00DB3991"/>
    <w:rsid w:val="00DD726F"/>
    <w:rsid w:val="00EE50DD"/>
    <w:rsid w:val="00F45EEE"/>
    <w:rsid w:val="04C66C1A"/>
    <w:rsid w:val="1D6F6EFE"/>
    <w:rsid w:val="1F7C72D8"/>
    <w:rsid w:val="2D246E2C"/>
    <w:rsid w:val="33A9646D"/>
    <w:rsid w:val="3EFED501"/>
    <w:rsid w:val="3F7F152F"/>
    <w:rsid w:val="3FF91A9D"/>
    <w:rsid w:val="3FFB76BA"/>
    <w:rsid w:val="46DFCD99"/>
    <w:rsid w:val="49659447"/>
    <w:rsid w:val="511432B7"/>
    <w:rsid w:val="5596691C"/>
    <w:rsid w:val="59FAB6B4"/>
    <w:rsid w:val="5C6AC506"/>
    <w:rsid w:val="5CB16DCC"/>
    <w:rsid w:val="5DBB2A74"/>
    <w:rsid w:val="5F09CE98"/>
    <w:rsid w:val="6AFC31C5"/>
    <w:rsid w:val="6B8148C3"/>
    <w:rsid w:val="6BD7A41C"/>
    <w:rsid w:val="6E9FB973"/>
    <w:rsid w:val="6FBDD792"/>
    <w:rsid w:val="74D42207"/>
    <w:rsid w:val="76D76867"/>
    <w:rsid w:val="76FE3A0F"/>
    <w:rsid w:val="77FFC8B5"/>
    <w:rsid w:val="7AFFB2DD"/>
    <w:rsid w:val="7BE9FB5F"/>
    <w:rsid w:val="7CFF3956"/>
    <w:rsid w:val="7D7D4415"/>
    <w:rsid w:val="7DEF7CE6"/>
    <w:rsid w:val="7DEFEE98"/>
    <w:rsid w:val="7E9BC380"/>
    <w:rsid w:val="7F4A2270"/>
    <w:rsid w:val="7F6F728B"/>
    <w:rsid w:val="7FEF3501"/>
    <w:rsid w:val="8EAE45C5"/>
    <w:rsid w:val="9B68F012"/>
    <w:rsid w:val="9B7FA9C1"/>
    <w:rsid w:val="9F9DCBBF"/>
    <w:rsid w:val="AF7F42DC"/>
    <w:rsid w:val="AFB76BAF"/>
    <w:rsid w:val="BBD36F41"/>
    <w:rsid w:val="BC3517BA"/>
    <w:rsid w:val="C1FE3BB0"/>
    <w:rsid w:val="D76F6EF4"/>
    <w:rsid w:val="DAEFD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0AE1"/>
  <w15:docId w15:val="{8235568A-0CDF-4F5C-9D57-1FC71A36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jc w:val="center"/>
      <w:outlineLvl w:val="0"/>
    </w:pPr>
    <w:rPr>
      <w:rFonts w:ascii="Calibri" w:eastAsia="CESI黑体-GB2312" w:hAnsi="Calibri"/>
      <w:kern w:val="44"/>
      <w:sz w:val="36"/>
    </w:rPr>
  </w:style>
  <w:style w:type="paragraph" w:styleId="2">
    <w:name w:val="heading 2"/>
    <w:basedOn w:val="a"/>
    <w:next w:val="a"/>
    <w:qFormat/>
    <w:pPr>
      <w:keepNext/>
      <w:keepLines/>
      <w:spacing w:before="260" w:after="260"/>
      <w:jc w:val="center"/>
      <w:outlineLvl w:val="1"/>
    </w:pPr>
    <w:rPr>
      <w:rFonts w:ascii="Arial" w:eastAsia="黑体" w:hAnsi="Arial"/>
      <w:sz w:val="32"/>
    </w:rPr>
  </w:style>
  <w:style w:type="paragraph" w:styleId="3">
    <w:name w:val="heading 3"/>
    <w:basedOn w:val="a"/>
    <w:next w:val="a"/>
    <w:qFormat/>
    <w:pPr>
      <w:keepNext/>
      <w:keepLines/>
      <w:spacing w:before="260" w:after="260"/>
      <w:jc w:val="center"/>
      <w:outlineLvl w:val="2"/>
    </w:pPr>
    <w:rPr>
      <w:rFonts w:ascii="Calibri" w:eastAsia="CESI楷体-GB2312" w:hAnsi="Calibri"/>
      <w:sz w:val="30"/>
    </w:rPr>
  </w:style>
  <w:style w:type="paragraph" w:styleId="4">
    <w:name w:val="heading 4"/>
    <w:basedOn w:val="a"/>
    <w:next w:val="a"/>
    <w:link w:val="40"/>
    <w:qFormat/>
    <w:pPr>
      <w:keepNext/>
      <w:keepLines/>
      <w:spacing w:before="280" w:after="290"/>
      <w:jc w:val="left"/>
      <w:outlineLvl w:val="3"/>
    </w:pPr>
    <w:rPr>
      <w:rFonts w:ascii="Arial" w:eastAsia="方正楷体_GBK" w:hAnsi="Arial"/>
      <w:color w:val="C00000"/>
      <w:sz w:val="28"/>
    </w:rPr>
  </w:style>
  <w:style w:type="paragraph" w:styleId="5">
    <w:name w:val="heading 5"/>
    <w:basedOn w:val="a"/>
    <w:next w:val="a"/>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after="240"/>
      <w:jc w:val="both"/>
    </w:pPr>
    <w:rPr>
      <w:rFonts w:ascii="Times New Roman" w:hAnsi="Times New Roman" w:cs="Simplified Arabic"/>
      <w:sz w:val="24"/>
      <w:szCs w:val="24"/>
      <w:lang w:val="en-GB" w:eastAsia="en-GB" w:bidi="ar-AE"/>
    </w:r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40">
    <w:name w:val="标题 4 字符"/>
    <w:link w:val="4"/>
    <w:qFormat/>
    <w:rPr>
      <w:rFonts w:ascii="Arial" w:eastAsia="方正楷体_GBK" w:hAnsi="Arial"/>
      <w:color w:val="C00000"/>
      <w:sz w:val="28"/>
    </w:rPr>
  </w:style>
  <w:style w:type="paragraph" w:customStyle="1" w:styleId="a5">
    <w:name w:val="标题五"/>
    <w:basedOn w:val="5"/>
    <w:next w:val="a"/>
    <w:qFormat/>
    <w:rPr>
      <w:rFonts w:ascii="Arial" w:eastAsia="黑体" w:hAnsi="Arial" w:cs="Arial"/>
      <w:b w:val="0"/>
      <w:snapToGrid w:val="0"/>
      <w:color w:val="000000"/>
      <w:kern w:val="0"/>
      <w:sz w:val="21"/>
      <w:szCs w:val="21"/>
    </w:rPr>
  </w:style>
  <w:style w:type="paragraph" w:customStyle="1" w:styleId="10">
    <w:name w:val="修订1"/>
    <w:hidden/>
    <w:uiPriority w:val="99"/>
    <w:unhideWhenUsed/>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490</Characters>
  <Application>Microsoft Office Word</Application>
  <DocSecurity>0</DocSecurity>
  <Lines>61</Lines>
  <Paragraphs>53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oa</dc:creator>
  <cp:lastModifiedBy>作 者</cp:lastModifiedBy>
  <cp:revision>2</cp:revision>
  <dcterms:created xsi:type="dcterms:W3CDTF">2024-12-06T06:27:00Z</dcterms:created>
  <dcterms:modified xsi:type="dcterms:W3CDTF">2024-12-06T06:27:00Z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11C01F4EA6B0459DA87422E5D05FA677_13</vt:lpwstr>
  </property>
</Properties>
</file>