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94A47" w14:textId="4EF4C041" w:rsidR="009A22E4" w:rsidRPr="00FE0C9C" w:rsidRDefault="00420CC8" w:rsidP="00287572">
      <w:pPr>
        <w:adjustRightInd w:val="0"/>
        <w:snapToGrid w:val="0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FE0C9C">
        <w:rPr>
          <w:rFonts w:ascii="黑体" w:eastAsia="黑体" w:hAnsi="黑体"/>
          <w:bCs/>
          <w:sz w:val="36"/>
          <w:szCs w:val="36"/>
        </w:rPr>
        <w:t>经营者集中简易案件公示表</w:t>
      </w:r>
    </w:p>
    <w:tbl>
      <w:tblPr>
        <w:tblStyle w:val="ab"/>
        <w:tblW w:w="8758" w:type="dxa"/>
        <w:tblLook w:val="04A0" w:firstRow="1" w:lastRow="0" w:firstColumn="1" w:lastColumn="0" w:noHBand="0" w:noVBand="1"/>
      </w:tblPr>
      <w:tblGrid>
        <w:gridCol w:w="1980"/>
        <w:gridCol w:w="1625"/>
        <w:gridCol w:w="5153"/>
      </w:tblGrid>
      <w:tr w:rsidR="009A22E4" w:rsidRPr="00FE0C9C" w14:paraId="06D5EF31" w14:textId="77777777" w:rsidTr="005E5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35CDB" w14:textId="77777777" w:rsidR="009A22E4" w:rsidRPr="00FE0C9C" w:rsidRDefault="009A22E4" w:rsidP="00287572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</w:rPr>
              <w:t>案件名称</w:t>
            </w: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04F" w14:textId="124495FE" w:rsidR="009A22E4" w:rsidRPr="00FE0C9C" w:rsidRDefault="00F67508" w:rsidP="00287572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508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香港国际机场（中国）有限公司收购珠海机场集团有限公司股权案</w:t>
            </w:r>
          </w:p>
        </w:tc>
      </w:tr>
      <w:tr w:rsidR="009A22E4" w:rsidRPr="00FE0C9C" w14:paraId="3EAC4872" w14:textId="77777777" w:rsidTr="005E5904">
        <w:trPr>
          <w:trHeight w:val="7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5F222" w14:textId="77777777" w:rsidR="009A22E4" w:rsidRPr="00FE0C9C" w:rsidRDefault="009A22E4" w:rsidP="00287572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  <w:t>交易概况（限</w:t>
            </w: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  <w:t>200</w:t>
            </w: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  <w:t>字内）</w:t>
            </w: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F071" w14:textId="0A0B4934" w:rsidR="0051353B" w:rsidRDefault="0051353B" w:rsidP="00287572">
            <w:pPr>
              <w:adjustRightInd w:val="0"/>
              <w:snapToGrid w:val="0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 w:rsidRPr="00F67508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香港国际机场（中国）有限公司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（“</w:t>
            </w:r>
            <w:r w:rsidRPr="00F67508">
              <w:rPr>
                <w:rFonts w:ascii="Times New Roman" w:eastAsiaTheme="minorEastAsia" w:hAnsi="Times New Roman" w:hint="eastAsia"/>
                <w:b/>
                <w:bCs/>
                <w:kern w:val="0"/>
                <w:sz w:val="24"/>
                <w:szCs w:val="21"/>
              </w:rPr>
              <w:t>香港国际机场公司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”）和</w:t>
            </w:r>
            <w:r w:rsidRPr="00F67508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珠海港控股集团有限公司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（“</w:t>
            </w:r>
            <w:r w:rsidRPr="00F67508">
              <w:rPr>
                <w:rFonts w:ascii="Times New Roman" w:eastAsiaTheme="minorEastAsia" w:hAnsi="Times New Roman" w:hint="eastAsia"/>
                <w:b/>
                <w:bCs/>
                <w:kern w:val="0"/>
                <w:sz w:val="24"/>
                <w:szCs w:val="21"/>
              </w:rPr>
              <w:t>珠海港控股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”）及</w:t>
            </w:r>
            <w:r w:rsidRPr="0051353B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珠海航空城发展集团有限公司（“</w:t>
            </w:r>
            <w:r w:rsidRPr="0051353B">
              <w:rPr>
                <w:rFonts w:ascii="Times New Roman" w:eastAsiaTheme="minorEastAsia" w:hAnsi="Times New Roman" w:hint="eastAsia"/>
                <w:b/>
                <w:bCs/>
                <w:kern w:val="0"/>
                <w:sz w:val="24"/>
                <w:szCs w:val="21"/>
              </w:rPr>
              <w:t>航空城集团</w:t>
            </w:r>
            <w:r w:rsidRPr="0051353B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”）签署交易协议以通过增资及受让股权的方式取得</w:t>
            </w:r>
            <w:r w:rsidRPr="00F67508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珠海机场集团有限公司</w:t>
            </w:r>
            <w:r w:rsidRPr="0051353B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（“</w:t>
            </w:r>
            <w:r w:rsidRPr="0051353B">
              <w:rPr>
                <w:rFonts w:ascii="Times New Roman" w:eastAsiaTheme="minorEastAsia" w:hAnsi="Times New Roman" w:hint="eastAsia"/>
                <w:b/>
                <w:bCs/>
                <w:kern w:val="0"/>
                <w:sz w:val="24"/>
                <w:szCs w:val="21"/>
              </w:rPr>
              <w:t>目标公司</w:t>
            </w:r>
            <w:r w:rsidRPr="0051353B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”）</w:t>
            </w:r>
            <w:r w:rsidRPr="0051353B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35%</w:t>
            </w:r>
            <w:r w:rsidRPr="0051353B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的股权</w:t>
            </w:r>
            <w:r w:rsidRPr="0051353B">
              <w:rPr>
                <w:rFonts w:ascii="Times New Roman" w:eastAsiaTheme="minorEastAsia" w:hAnsi="Times New Roman"/>
                <w:kern w:val="0"/>
                <w:sz w:val="24"/>
                <w:szCs w:val="21"/>
              </w:rPr>
              <w:t>。</w:t>
            </w:r>
            <w:r w:rsidRPr="0051353B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目标公司</w:t>
            </w:r>
            <w:r w:rsidR="00F300EE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持有和运营</w:t>
            </w:r>
            <w:r w:rsidRPr="0051353B">
              <w:rPr>
                <w:rFonts w:ascii="Times New Roman" w:eastAsiaTheme="minorEastAsia" w:hAnsi="Times New Roman" w:hint="eastAsia"/>
                <w:kern w:val="0"/>
                <w:sz w:val="24"/>
                <w:szCs w:val="21"/>
              </w:rPr>
              <w:t>珠海机场。</w:t>
            </w:r>
          </w:p>
          <w:p w14:paraId="17B610B9" w14:textId="19B3C41D" w:rsidR="009A22E4" w:rsidRPr="0051353B" w:rsidRDefault="0051353B" w:rsidP="00287572">
            <w:pPr>
              <w:widowControl/>
              <w:adjustRightInd w:val="0"/>
              <w:snapToGrid w:val="0"/>
              <w:rPr>
                <w:rFonts w:eastAsia="仿宋"/>
                <w:sz w:val="22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本次交易前，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目标公司由珠海港控股持股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82.5%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、</w:t>
            </w:r>
            <w:r w:rsidRPr="00DA5F6F">
              <w:rPr>
                <w:rFonts w:ascii="Times New Roman" w:eastAsiaTheme="minorEastAsia" w:hAnsi="Times New Roman" w:hint="eastAsia"/>
                <w:sz w:val="24"/>
                <w:szCs w:val="24"/>
              </w:rPr>
              <w:t>航空城集团持股</w:t>
            </w:r>
            <w:r w:rsidRPr="00DA5F6F">
              <w:rPr>
                <w:rFonts w:ascii="Times New Roman" w:eastAsiaTheme="minorEastAsia" w:hAnsi="Times New Roman" w:hint="eastAsia"/>
                <w:sz w:val="24"/>
                <w:szCs w:val="24"/>
              </w:rPr>
              <w:t>17.5%</w:t>
            </w:r>
            <w:r w:rsidRPr="00DA5F6F">
              <w:rPr>
                <w:rFonts w:ascii="Times New Roman" w:eastAsiaTheme="minorEastAsia" w:hAnsi="Times New Roman" w:hint="eastAsia"/>
                <w:sz w:val="24"/>
                <w:szCs w:val="24"/>
              </w:rPr>
              <w:t>，最终由</w:t>
            </w:r>
            <w:r w:rsidRPr="00DA5F6F">
              <w:rPr>
                <w:rFonts w:ascii="Times New Roman" w:eastAsiaTheme="minorEastAsia" w:hAnsi="Times New Roman"/>
                <w:sz w:val="24"/>
                <w:szCs w:val="24"/>
              </w:rPr>
              <w:t>珠海交通控股集团有限公司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（“</w:t>
            </w:r>
            <w:r w:rsidRPr="00DA5F6F">
              <w:rPr>
                <w:rFonts w:ascii="Times New Roman" w:eastAsiaTheme="minorEastAsia" w:hAnsi="Times New Roman" w:hint="eastAsia"/>
                <w:b/>
                <w:bCs/>
                <w:sz w:val="24"/>
                <w:szCs w:val="24"/>
              </w:rPr>
              <w:t>交控集团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”）</w:t>
            </w:r>
            <w:r w:rsidRPr="00DA5F6F">
              <w:rPr>
                <w:rFonts w:ascii="Times New Roman" w:eastAsiaTheme="minorEastAsia" w:hAnsi="Times New Roman" w:hint="eastAsia"/>
                <w:sz w:val="24"/>
                <w:szCs w:val="24"/>
              </w:rPr>
              <w:t>单独控制</w:t>
            </w:r>
            <w:r w:rsidRPr="00105CE9">
              <w:rPr>
                <w:rFonts w:ascii="Times New Roman" w:eastAsiaTheme="minorEastAsia" w:hAnsi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本次交易后，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香港国际机场公司将取得目标公司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35%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的股权，珠海港控股持有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65%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的股权，</w:t>
            </w:r>
            <w:r w:rsidRPr="00DA5F6F">
              <w:rPr>
                <w:rFonts w:ascii="Times New Roman" w:eastAsiaTheme="minorEastAsia" w:hAnsi="Times New Roman" w:hint="eastAsia"/>
                <w:sz w:val="24"/>
                <w:szCs w:val="24"/>
              </w:rPr>
              <w:t>目标公司由</w:t>
            </w:r>
            <w:r w:rsidRPr="0051353B">
              <w:rPr>
                <w:rFonts w:ascii="Times New Roman" w:eastAsiaTheme="minorEastAsia" w:hAnsi="Times New Roman"/>
                <w:sz w:val="24"/>
                <w:szCs w:val="24"/>
              </w:rPr>
              <w:t>香港机场管理局（</w:t>
            </w:r>
            <w:r w:rsidRPr="0051353B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Pr="0051353B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香港机管局</w:t>
            </w:r>
            <w:r w:rsidRPr="0051353B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Pr="0051353B">
              <w:rPr>
                <w:rFonts w:ascii="Times New Roman" w:eastAsiaTheme="minorEastAsia" w:hAnsi="Times New Roman"/>
                <w:sz w:val="24"/>
                <w:szCs w:val="24"/>
              </w:rPr>
              <w:t>）</w:t>
            </w:r>
            <w:r w:rsidRPr="00DA5F6F">
              <w:rPr>
                <w:rFonts w:ascii="Times New Roman" w:eastAsiaTheme="minorEastAsia" w:hAnsi="Times New Roman" w:hint="eastAsia"/>
                <w:sz w:val="24"/>
                <w:szCs w:val="24"/>
              </w:rPr>
              <w:t>（通过香港国际机场公司）和交控集团（通过珠海港控股）共同控制。</w:t>
            </w:r>
          </w:p>
        </w:tc>
      </w:tr>
      <w:tr w:rsidR="00F84B92" w:rsidRPr="00FE0C9C" w14:paraId="3297FDA9" w14:textId="77777777" w:rsidTr="00384BCF">
        <w:trPr>
          <w:trHeight w:val="46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422F0" w14:textId="77777777" w:rsidR="00F84B92" w:rsidRPr="00FE0C9C" w:rsidRDefault="00F84B92" w:rsidP="00287572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  <w:t>参与集中的经营者简介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561D" w14:textId="3647454F" w:rsidR="00F84B92" w:rsidRPr="00FE0C9C" w:rsidRDefault="00F67508" w:rsidP="00287572">
            <w:pPr>
              <w:pStyle w:val="afe"/>
              <w:numPr>
                <w:ilvl w:val="0"/>
                <w:numId w:val="2"/>
              </w:numPr>
              <w:adjustRightInd w:val="0"/>
              <w:snapToGrid w:val="0"/>
              <w:contextualSpacing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香港国际机场公司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98B" w14:textId="6E040144" w:rsidR="00F67508" w:rsidRPr="00F67508" w:rsidRDefault="00F67508" w:rsidP="00287572">
            <w:pPr>
              <w:adjustRightInd w:val="0"/>
              <w:snapToGrid w:val="0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香港国际机场公司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于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2003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6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27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成立于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中国香港，主要从事香港国际机场的运营业务。</w:t>
            </w:r>
          </w:p>
          <w:p w14:paraId="7409AF53" w14:textId="5C1D1654" w:rsidR="00F84B92" w:rsidRPr="00FE0C9C" w:rsidRDefault="00105CE9" w:rsidP="00287572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香港国际机场公司</w:t>
            </w:r>
            <w:r w:rsidR="00F67508"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的最终控制人为香港机管局。香港机管局主要负责营运及发展香港国际机场，并通过合资企业在中国境内从事珠海机场、杭州萧山国际机场及上海虹桥国际机场的管理和营运及相关服务。</w:t>
            </w:r>
          </w:p>
        </w:tc>
      </w:tr>
      <w:tr w:rsidR="00F84B92" w:rsidRPr="00DA5DB2" w14:paraId="1FE9834D" w14:textId="77777777" w:rsidTr="00384BCF">
        <w:trPr>
          <w:trHeight w:val="40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15A3" w14:textId="77777777" w:rsidR="00F84B92" w:rsidRPr="00FE0C9C" w:rsidRDefault="00F84B92" w:rsidP="00287572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b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CE81" w14:textId="31516218" w:rsidR="00F84B92" w:rsidRPr="00FE0C9C" w:rsidRDefault="00F67508" w:rsidP="00287572">
            <w:pPr>
              <w:pStyle w:val="afe"/>
              <w:numPr>
                <w:ilvl w:val="0"/>
                <w:numId w:val="2"/>
              </w:numPr>
              <w:adjustRightInd w:val="0"/>
              <w:snapToGrid w:val="0"/>
              <w:contextualSpacing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珠海港控股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72A" w14:textId="2AB18271" w:rsidR="00DA5DB2" w:rsidRDefault="00F67508" w:rsidP="00287572">
            <w:pPr>
              <w:adjustRightInd w:val="0"/>
              <w:snapToGrid w:val="0"/>
              <w:rPr>
                <w:rFonts w:ascii="Times New Roman" w:eastAsiaTheme="minorEastAsia" w:hAnsi="Times New Roman" w:hint="eastAsia"/>
                <w:sz w:val="24"/>
                <w:lang w:val="en-GB"/>
              </w:rPr>
            </w:pPr>
            <w:r w:rsidRPr="00F67508">
              <w:rPr>
                <w:rFonts w:ascii="Times New Roman" w:eastAsiaTheme="minorEastAsia" w:hAnsi="Times New Roman" w:hint="eastAsia"/>
                <w:sz w:val="24"/>
              </w:rPr>
              <w:t>珠海港控股</w:t>
            </w:r>
            <w:r w:rsidR="00A250A3" w:rsidRPr="00FE0C9C">
              <w:rPr>
                <w:rFonts w:ascii="Times New Roman" w:eastAsiaTheme="minorEastAsia" w:hAnsi="Times New Roman"/>
                <w:sz w:val="24"/>
              </w:rPr>
              <w:t>于</w:t>
            </w:r>
            <w:r w:rsidR="00DA5DB2" w:rsidRPr="00DA5DB2">
              <w:rPr>
                <w:rFonts w:ascii="Times New Roman" w:eastAsiaTheme="minorEastAsia" w:hAnsi="Times New Roman" w:hint="eastAsia"/>
                <w:bCs/>
                <w:sz w:val="24"/>
                <w:lang w:val="en-GB"/>
              </w:rPr>
              <w:t>2008</w:t>
            </w:r>
            <w:r w:rsidR="00DA5DB2" w:rsidRPr="00DA5DB2">
              <w:rPr>
                <w:rFonts w:ascii="Times New Roman" w:eastAsiaTheme="minorEastAsia" w:hAnsi="Times New Roman" w:hint="eastAsia"/>
                <w:bCs/>
                <w:sz w:val="24"/>
                <w:lang w:val="en-GB"/>
              </w:rPr>
              <w:t>年</w:t>
            </w:r>
            <w:r w:rsidR="00DA5DB2" w:rsidRPr="00DA5DB2">
              <w:rPr>
                <w:rFonts w:ascii="Times New Roman" w:eastAsiaTheme="minorEastAsia" w:hAnsi="Times New Roman" w:hint="eastAsia"/>
                <w:bCs/>
                <w:sz w:val="24"/>
                <w:lang w:val="en-GB"/>
              </w:rPr>
              <w:t>12</w:t>
            </w:r>
            <w:r w:rsidR="00DA5DB2" w:rsidRPr="00DA5DB2">
              <w:rPr>
                <w:rFonts w:ascii="Times New Roman" w:eastAsiaTheme="minorEastAsia" w:hAnsi="Times New Roman" w:hint="eastAsia"/>
                <w:bCs/>
                <w:sz w:val="24"/>
                <w:lang w:val="en-GB"/>
              </w:rPr>
              <w:t>月</w:t>
            </w:r>
            <w:r w:rsidR="00DA5DB2" w:rsidRPr="00DA5DB2">
              <w:rPr>
                <w:rFonts w:ascii="Times New Roman" w:eastAsiaTheme="minorEastAsia" w:hAnsi="Times New Roman" w:hint="eastAsia"/>
                <w:bCs/>
                <w:sz w:val="24"/>
                <w:lang w:val="en-GB"/>
              </w:rPr>
              <w:t>19</w:t>
            </w:r>
            <w:r w:rsidR="00DA5DB2" w:rsidRPr="00DA5DB2">
              <w:rPr>
                <w:rFonts w:ascii="Times New Roman" w:eastAsiaTheme="minorEastAsia" w:hAnsi="Times New Roman" w:hint="eastAsia"/>
                <w:bCs/>
                <w:sz w:val="24"/>
                <w:lang w:val="en-GB"/>
              </w:rPr>
              <w:t>日成立于广东省珠海市</w:t>
            </w:r>
            <w:r w:rsidR="00DA5DB2" w:rsidRPr="00DA5DB2">
              <w:rPr>
                <w:rFonts w:ascii="Times New Roman" w:eastAsiaTheme="minorEastAsia" w:hAnsi="Times New Roman" w:hint="eastAsia"/>
                <w:sz w:val="24"/>
                <w:lang w:val="en-GB"/>
              </w:rPr>
              <w:t>，主要从事港口、航运、物流和新能源业务。</w:t>
            </w:r>
          </w:p>
          <w:p w14:paraId="41ACDEBB" w14:textId="7AFF6523" w:rsidR="00F84B92" w:rsidRPr="00FE0C9C" w:rsidRDefault="00DA5DB2" w:rsidP="00287572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508">
              <w:rPr>
                <w:rFonts w:ascii="Times New Roman" w:eastAsiaTheme="minorEastAsia" w:hAnsi="Times New Roman" w:hint="eastAsia"/>
                <w:sz w:val="24"/>
              </w:rPr>
              <w:t>珠海港控股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的最终控制人为</w:t>
            </w:r>
            <w:r w:rsidR="0051353B" w:rsidRPr="0051353B">
              <w:rPr>
                <w:rFonts w:ascii="Times New Roman" w:eastAsiaTheme="minorEastAsia" w:hAnsi="Times New Roman" w:hint="eastAsia"/>
                <w:sz w:val="24"/>
                <w:szCs w:val="24"/>
              </w:rPr>
              <w:t>交控集团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。</w:t>
            </w:r>
            <w:r w:rsidRPr="00DA5DB2">
              <w:rPr>
                <w:rFonts w:ascii="Times New Roman" w:eastAsiaTheme="minorEastAsia" w:hAnsi="Times New Roman" w:hint="eastAsia"/>
                <w:sz w:val="24"/>
                <w:szCs w:val="24"/>
              </w:rPr>
              <w:t>珠海交通控股集团有限公司不从事具体业务，主要对珠海交通集团有限公司、珠海港控股、珠海航空城发展集团有限公司进行统一协调管理。</w:t>
            </w:r>
          </w:p>
        </w:tc>
      </w:tr>
      <w:tr w:rsidR="009A22E4" w:rsidRPr="00FE0C9C" w14:paraId="039B31C8" w14:textId="77777777" w:rsidTr="005E5904">
        <w:trPr>
          <w:trHeight w:val="27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5EF2DE" w14:textId="77777777" w:rsidR="009A22E4" w:rsidRPr="00FE0C9C" w:rsidRDefault="009A22E4" w:rsidP="00287572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  <w:t>简易案件理由（可以单选，也可以多选）</w:t>
            </w: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1CF1" w14:textId="52CD22FE" w:rsidR="009A22E4" w:rsidRPr="00FE0C9C" w:rsidRDefault="00DA5DB2" w:rsidP="00287572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F0FE"/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 xml:space="preserve"> 1</w:t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>、在同一相关市场，参与集中的经营者所占</w:t>
            </w:r>
            <w:r w:rsidR="004B08A6">
              <w:rPr>
                <w:rFonts w:ascii="Times New Roman" w:eastAsiaTheme="minorEastAsia" w:hAnsi="Times New Roman" w:hint="eastAsia"/>
                <w:sz w:val="24"/>
                <w:szCs w:val="24"/>
              </w:rPr>
              <w:t>的</w:t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>市场份额之和小于</w:t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>15%</w:t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9A22E4" w:rsidRPr="00FE0C9C" w14:paraId="7083338F" w14:textId="77777777" w:rsidTr="005E5904">
        <w:trPr>
          <w:trHeight w:val="3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6C2B" w14:textId="77777777" w:rsidR="009A22E4" w:rsidRPr="00FE0C9C" w:rsidRDefault="009A22E4" w:rsidP="00287572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9566" w14:textId="159312F9" w:rsidR="009A22E4" w:rsidRPr="00FE0C9C" w:rsidRDefault="009A22E4" w:rsidP="00287572">
            <w:pPr>
              <w:adjustRightInd w:val="0"/>
              <w:snapToGrid w:val="0"/>
              <w:rPr>
                <w:rFonts w:ascii="Times New Roman" w:eastAsiaTheme="minorEastAsia" w:hAnsi="Times New Roman"/>
                <w:kern w:val="20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□ 2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、在上下游</w:t>
            </w:r>
            <w:r w:rsidR="004B08A6">
              <w:rPr>
                <w:rFonts w:ascii="Times New Roman" w:eastAsiaTheme="minorEastAsia" w:hAnsi="Times New Roman" w:hint="eastAsia"/>
                <w:sz w:val="24"/>
                <w:szCs w:val="24"/>
              </w:rPr>
              <w:t>市场，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参与集中的经营者所占的市场份额均小于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25%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9A22E4" w:rsidRPr="00FE0C9C" w14:paraId="788B2AF1" w14:textId="77777777" w:rsidTr="005E5904">
        <w:trPr>
          <w:trHeight w:val="28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D60E" w14:textId="77777777" w:rsidR="009A22E4" w:rsidRPr="00FE0C9C" w:rsidRDefault="009A22E4" w:rsidP="00287572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082" w14:textId="46AE9AC6" w:rsidR="009A22E4" w:rsidRPr="00FE0C9C" w:rsidRDefault="009A22E4" w:rsidP="00287572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□ 3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、不在同一相关市场、也不存在上下游关系的参与集中的经营者，在与交易有关的每个市场所占的</w:t>
            </w:r>
            <w:r w:rsidR="004B08A6">
              <w:rPr>
                <w:rFonts w:ascii="Times New Roman" w:eastAsiaTheme="minorEastAsia" w:hAnsi="Times New Roman" w:hint="eastAsia"/>
                <w:sz w:val="24"/>
                <w:szCs w:val="24"/>
              </w:rPr>
              <w:t>市场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份额均小于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25%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9A22E4" w:rsidRPr="00FE0C9C" w14:paraId="45686824" w14:textId="77777777" w:rsidTr="005E5904">
        <w:trPr>
          <w:trHeight w:val="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5916" w14:textId="77777777" w:rsidR="009A22E4" w:rsidRPr="00FE0C9C" w:rsidRDefault="009A22E4" w:rsidP="00287572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6C4B" w14:textId="26B74D5D" w:rsidR="009A22E4" w:rsidRPr="00FE0C9C" w:rsidRDefault="00DA5DB2" w:rsidP="00287572">
            <w:pPr>
              <w:adjustRightInd w:val="0"/>
              <w:snapToGrid w:val="0"/>
              <w:rPr>
                <w:rFonts w:ascii="Times New Roman" w:eastAsiaTheme="minorEastAsia" w:hAnsi="Times New Roman"/>
                <w:kern w:val="20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□</w:t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 xml:space="preserve"> 4</w:t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9A22E4" w:rsidRPr="00FE0C9C" w14:paraId="54061402" w14:textId="77777777" w:rsidTr="005E5904">
        <w:trPr>
          <w:trHeight w:val="26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0053" w14:textId="77777777" w:rsidR="009A22E4" w:rsidRPr="00FE0C9C" w:rsidRDefault="009A22E4" w:rsidP="00287572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426C" w14:textId="2051C016" w:rsidR="009A22E4" w:rsidRPr="00FE0C9C" w:rsidRDefault="00206D90" w:rsidP="00287572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□</w:t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 xml:space="preserve"> 5</w:t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9A22E4" w:rsidRPr="00FE0C9C" w14:paraId="02B9F0CD" w14:textId="77777777" w:rsidTr="005E5904">
        <w:trPr>
          <w:trHeight w:val="34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645A" w14:textId="77777777" w:rsidR="009A22E4" w:rsidRPr="00FE0C9C" w:rsidRDefault="009A22E4" w:rsidP="00287572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7915" w14:textId="77777777" w:rsidR="009A22E4" w:rsidRPr="00FE0C9C" w:rsidRDefault="009A22E4" w:rsidP="00287572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□ 6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9A22E4" w:rsidRPr="00FE0C9C" w14:paraId="0E80CEA6" w14:textId="77777777" w:rsidTr="005E5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7979B" w14:textId="77777777" w:rsidR="009A22E4" w:rsidRPr="00FE0C9C" w:rsidRDefault="009A22E4" w:rsidP="00287572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  <w:t>备注</w:t>
            </w: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A08" w14:textId="77777777" w:rsidR="009A22E4" w:rsidRPr="00DA5DB2" w:rsidRDefault="00DA5DB2" w:rsidP="00287572">
            <w:pPr>
              <w:adjustRightInd w:val="0"/>
              <w:snapToGrid w:val="0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A5DB2">
              <w:rPr>
                <w:rFonts w:ascii="Times New Roman" w:eastAsiaTheme="minorEastAsia" w:hAnsi="Times New Roman" w:hint="eastAsia"/>
                <w:b/>
                <w:bCs/>
                <w:sz w:val="24"/>
                <w:szCs w:val="24"/>
              </w:rPr>
              <w:t>横向重叠：</w:t>
            </w:r>
          </w:p>
          <w:p w14:paraId="687C69E4" w14:textId="77777777" w:rsidR="00DA5DB2" w:rsidRDefault="00DA5DB2" w:rsidP="00287572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2023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年中国境内</w:t>
            </w:r>
            <w:r w:rsidRPr="00DA5DB2">
              <w:rPr>
                <w:rFonts w:ascii="Times New Roman" w:eastAsiaTheme="minorEastAsia" w:hAnsi="Times New Roman" w:hint="eastAsia"/>
                <w:sz w:val="24"/>
                <w:szCs w:val="24"/>
              </w:rPr>
              <w:t>机场基础设施建设和运营市场</w:t>
            </w:r>
          </w:p>
          <w:p w14:paraId="7779961D" w14:textId="79AB9E23" w:rsidR="00DA5DB2" w:rsidRPr="00FE0C9C" w:rsidRDefault="00DA5DB2" w:rsidP="00287572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5DB2">
              <w:rPr>
                <w:rFonts w:ascii="Times New Roman" w:eastAsiaTheme="minorEastAsia" w:hAnsi="Times New Roman" w:hint="eastAsia"/>
                <w:sz w:val="24"/>
                <w:szCs w:val="24"/>
              </w:rPr>
              <w:t>香港国际机场公司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[5-10]%; </w:t>
            </w:r>
            <w:r w:rsidRPr="00F67508">
              <w:rPr>
                <w:rFonts w:ascii="Times New Roman" w:eastAsiaTheme="minorEastAsia" w:hAnsi="Times New Roman" w:hint="eastAsia"/>
                <w:sz w:val="24"/>
                <w:szCs w:val="24"/>
              </w:rPr>
              <w:t>目标公司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:[0-5]%;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各方合计：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[5-</w:t>
            </w:r>
            <w:proofErr w:type="gramStart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10]%</w:t>
            </w:r>
            <w:proofErr w:type="gramEnd"/>
          </w:p>
        </w:tc>
      </w:tr>
    </w:tbl>
    <w:p w14:paraId="7E84705F" w14:textId="242F27CD" w:rsidR="009A22E4" w:rsidRPr="00FE0C9C" w:rsidRDefault="009A22E4" w:rsidP="00287572">
      <w:pPr>
        <w:pStyle w:val="Body"/>
        <w:adjustRightInd w:val="0"/>
        <w:snapToGrid w:val="0"/>
        <w:spacing w:after="0" w:line="240" w:lineRule="auto"/>
        <w:rPr>
          <w:rFonts w:ascii="Times New Roman" w:eastAsiaTheme="minorEastAsia" w:hAnsi="Times New Roman"/>
          <w:sz w:val="22"/>
          <w:szCs w:val="22"/>
          <w:lang w:val="en-US" w:eastAsia="zh-CN"/>
        </w:rPr>
      </w:pPr>
    </w:p>
    <w:sectPr w:rsidR="009A22E4" w:rsidRPr="00FE0C9C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63CC1" w14:textId="77777777" w:rsidR="00272A2E" w:rsidRDefault="00272A2E">
      <w:r>
        <w:separator/>
      </w:r>
    </w:p>
  </w:endnote>
  <w:endnote w:type="continuationSeparator" w:id="0">
    <w:p w14:paraId="3228291F" w14:textId="77777777" w:rsidR="00272A2E" w:rsidRDefault="0027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58EDD36-8CF8-4B8A-8C49-097B620CD61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C5FA0" w14:textId="1B5360BD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F935" w14:textId="7754506D" w:rsidR="00716957" w:rsidRDefault="00716957" w:rsidP="00716957">
    <w:pPr>
      <w:pStyle w:val="a7"/>
    </w:pPr>
  </w:p>
  <w:p w14:paraId="789E4E32" w14:textId="485EE17B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fldChar w:fldCharType="begin"/>
    </w:r>
    <w:r w:rsidRPr="00716957">
      <w:rPr>
        <w:rFonts w:ascii="Times New Roman" w:hAnsi="Times New Roman"/>
        <w:sz w:val="14"/>
      </w:rPr>
      <w:instrText xml:space="preserve"> DOCPROPERTY DPWPathText \* MERGEFORMAT </w:instrText>
    </w:r>
    <w:r w:rsidRPr="00716957">
      <w:rPr>
        <w:rFonts w:ascii="Times New Roman" w:hAnsi="Times New Roman"/>
        <w:sz w:val="14"/>
      </w:rPr>
      <w:fldChar w:fldCharType="separate"/>
    </w:r>
    <w:r w:rsidR="00B54D86">
      <w:rPr>
        <w:rFonts w:ascii="Times New Roman" w:hAnsi="Times New Roman"/>
        <w:sz w:val="14"/>
      </w:rPr>
      <w:t>#</w:t>
    </w:r>
    <w:proofErr w:type="spellStart"/>
    <w:r w:rsidR="00B54D86">
      <w:rPr>
        <w:rFonts w:ascii="Times New Roman" w:hAnsi="Times New Roman"/>
        <w:sz w:val="14"/>
      </w:rPr>
      <w:t>97717177v5</w:t>
    </w:r>
    <w:proofErr w:type="spellEnd"/>
    <w:r w:rsidRPr="00716957">
      <w:rPr>
        <w:rFonts w:ascii="Times New Roman" w:hAnsi="Times New Roman"/>
        <w:sz w:val="14"/>
      </w:rPr>
      <w:fldChar w:fldCharType="end"/>
    </w:r>
    <w:r w:rsidRPr="00716957">
      <w:rPr>
        <w:rFonts w:ascii="Times New Roman" w:hAnsi="Times New Roman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26A43" w14:textId="77777777" w:rsidR="00272A2E" w:rsidRDefault="00272A2E">
      <w:r>
        <w:separator/>
      </w:r>
    </w:p>
  </w:footnote>
  <w:footnote w:type="continuationSeparator" w:id="0">
    <w:p w14:paraId="1B4C327C" w14:textId="77777777" w:rsidR="00272A2E" w:rsidRDefault="0027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75D0B"/>
    <w:multiLevelType w:val="multilevel"/>
    <w:tmpl w:val="11175D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0D0A45"/>
    <w:multiLevelType w:val="hybridMultilevel"/>
    <w:tmpl w:val="D8E8FE42"/>
    <w:lvl w:ilvl="0" w:tplc="F87A0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5221358">
    <w:abstractNumId w:val="0"/>
  </w:num>
  <w:num w:numId="2" w16cid:durableId="29406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DQGAiMjS1MDYyUdpeDU4uLM/DyQAsNaAAxkURMsAAAA"/>
  </w:docVars>
  <w:rsids>
    <w:rsidRoot w:val="00074D3D"/>
    <w:rsid w:val="00010AE8"/>
    <w:rsid w:val="00010F64"/>
    <w:rsid w:val="000136AE"/>
    <w:rsid w:val="0001697C"/>
    <w:rsid w:val="000240FA"/>
    <w:rsid w:val="0005556E"/>
    <w:rsid w:val="0006016A"/>
    <w:rsid w:val="000604A9"/>
    <w:rsid w:val="00074D3D"/>
    <w:rsid w:val="000A2D7D"/>
    <w:rsid w:val="000A50B3"/>
    <w:rsid w:val="000A6C8F"/>
    <w:rsid w:val="000D2D54"/>
    <w:rsid w:val="000E0E83"/>
    <w:rsid w:val="000F25B0"/>
    <w:rsid w:val="00100C65"/>
    <w:rsid w:val="001017DC"/>
    <w:rsid w:val="001025BF"/>
    <w:rsid w:val="00105CE9"/>
    <w:rsid w:val="00115EDD"/>
    <w:rsid w:val="001330CB"/>
    <w:rsid w:val="00141BBC"/>
    <w:rsid w:val="00153FF4"/>
    <w:rsid w:val="00172C77"/>
    <w:rsid w:val="001923D8"/>
    <w:rsid w:val="001A2E7E"/>
    <w:rsid w:val="001A6890"/>
    <w:rsid w:val="001A7487"/>
    <w:rsid w:val="001B5EA7"/>
    <w:rsid w:val="001C2FFA"/>
    <w:rsid w:val="001C4669"/>
    <w:rsid w:val="001E5EC9"/>
    <w:rsid w:val="001F64D6"/>
    <w:rsid w:val="00206D90"/>
    <w:rsid w:val="00217887"/>
    <w:rsid w:val="00226B4B"/>
    <w:rsid w:val="002312E0"/>
    <w:rsid w:val="00272A2E"/>
    <w:rsid w:val="0028275D"/>
    <w:rsid w:val="00287572"/>
    <w:rsid w:val="002875EE"/>
    <w:rsid w:val="002A1561"/>
    <w:rsid w:val="002A17E2"/>
    <w:rsid w:val="002A27D5"/>
    <w:rsid w:val="002C3658"/>
    <w:rsid w:val="002C4B86"/>
    <w:rsid w:val="002D30F7"/>
    <w:rsid w:val="002E582A"/>
    <w:rsid w:val="002E7C3C"/>
    <w:rsid w:val="002F0F31"/>
    <w:rsid w:val="002F440E"/>
    <w:rsid w:val="002F6B47"/>
    <w:rsid w:val="003254C7"/>
    <w:rsid w:val="00327E7D"/>
    <w:rsid w:val="00345689"/>
    <w:rsid w:val="00363D45"/>
    <w:rsid w:val="00370A5E"/>
    <w:rsid w:val="00384BCF"/>
    <w:rsid w:val="00385AFD"/>
    <w:rsid w:val="003876B3"/>
    <w:rsid w:val="00395012"/>
    <w:rsid w:val="003A3C98"/>
    <w:rsid w:val="003B1CC9"/>
    <w:rsid w:val="003B3A48"/>
    <w:rsid w:val="003C3255"/>
    <w:rsid w:val="003C65FE"/>
    <w:rsid w:val="003D056A"/>
    <w:rsid w:val="003D21EE"/>
    <w:rsid w:val="003E03EC"/>
    <w:rsid w:val="003E25D4"/>
    <w:rsid w:val="00420CC8"/>
    <w:rsid w:val="00441B31"/>
    <w:rsid w:val="00450557"/>
    <w:rsid w:val="00450606"/>
    <w:rsid w:val="00462B05"/>
    <w:rsid w:val="00467AD0"/>
    <w:rsid w:val="004914EC"/>
    <w:rsid w:val="004B08A6"/>
    <w:rsid w:val="004D1D28"/>
    <w:rsid w:val="004D5A4D"/>
    <w:rsid w:val="004D7723"/>
    <w:rsid w:val="004F26C2"/>
    <w:rsid w:val="0051353B"/>
    <w:rsid w:val="0051525B"/>
    <w:rsid w:val="00522B8F"/>
    <w:rsid w:val="00525194"/>
    <w:rsid w:val="00532B3C"/>
    <w:rsid w:val="00556FC3"/>
    <w:rsid w:val="0055706A"/>
    <w:rsid w:val="005615F6"/>
    <w:rsid w:val="00570F77"/>
    <w:rsid w:val="0059085A"/>
    <w:rsid w:val="005925C1"/>
    <w:rsid w:val="00594612"/>
    <w:rsid w:val="005A546D"/>
    <w:rsid w:val="005C1B8C"/>
    <w:rsid w:val="005F174E"/>
    <w:rsid w:val="006064F9"/>
    <w:rsid w:val="00615A86"/>
    <w:rsid w:val="00632F61"/>
    <w:rsid w:val="00632FBE"/>
    <w:rsid w:val="0065404B"/>
    <w:rsid w:val="00662696"/>
    <w:rsid w:val="00675B31"/>
    <w:rsid w:val="00682172"/>
    <w:rsid w:val="00691CEC"/>
    <w:rsid w:val="006A3BC5"/>
    <w:rsid w:val="006A4146"/>
    <w:rsid w:val="006A696B"/>
    <w:rsid w:val="006B3231"/>
    <w:rsid w:val="006C6024"/>
    <w:rsid w:val="006D5291"/>
    <w:rsid w:val="006E33DF"/>
    <w:rsid w:val="006E48E6"/>
    <w:rsid w:val="006F741C"/>
    <w:rsid w:val="007023CF"/>
    <w:rsid w:val="007122F7"/>
    <w:rsid w:val="00716957"/>
    <w:rsid w:val="007274E7"/>
    <w:rsid w:val="0075355C"/>
    <w:rsid w:val="00777614"/>
    <w:rsid w:val="00782098"/>
    <w:rsid w:val="007A0A77"/>
    <w:rsid w:val="007C28D2"/>
    <w:rsid w:val="007D1A3E"/>
    <w:rsid w:val="007D41A5"/>
    <w:rsid w:val="007D65ED"/>
    <w:rsid w:val="007D71BD"/>
    <w:rsid w:val="007F59DF"/>
    <w:rsid w:val="0081054C"/>
    <w:rsid w:val="00833E01"/>
    <w:rsid w:val="0083472D"/>
    <w:rsid w:val="00835197"/>
    <w:rsid w:val="00835C35"/>
    <w:rsid w:val="00837021"/>
    <w:rsid w:val="008448A9"/>
    <w:rsid w:val="008F494B"/>
    <w:rsid w:val="00905FDE"/>
    <w:rsid w:val="00907516"/>
    <w:rsid w:val="009171D6"/>
    <w:rsid w:val="0093519C"/>
    <w:rsid w:val="0093742C"/>
    <w:rsid w:val="009377D6"/>
    <w:rsid w:val="00941F2C"/>
    <w:rsid w:val="00943592"/>
    <w:rsid w:val="00944B21"/>
    <w:rsid w:val="009513F5"/>
    <w:rsid w:val="00955242"/>
    <w:rsid w:val="00960725"/>
    <w:rsid w:val="00964685"/>
    <w:rsid w:val="00991E50"/>
    <w:rsid w:val="00995ED6"/>
    <w:rsid w:val="009A22E4"/>
    <w:rsid w:val="009A2F0E"/>
    <w:rsid w:val="009C7437"/>
    <w:rsid w:val="009D7DDA"/>
    <w:rsid w:val="00A162D8"/>
    <w:rsid w:val="00A250A3"/>
    <w:rsid w:val="00A2578E"/>
    <w:rsid w:val="00A601FC"/>
    <w:rsid w:val="00A607BA"/>
    <w:rsid w:val="00A703C2"/>
    <w:rsid w:val="00A70975"/>
    <w:rsid w:val="00A879A7"/>
    <w:rsid w:val="00AA676A"/>
    <w:rsid w:val="00AB1AA4"/>
    <w:rsid w:val="00AC2B75"/>
    <w:rsid w:val="00AC4A79"/>
    <w:rsid w:val="00AC7905"/>
    <w:rsid w:val="00AD171E"/>
    <w:rsid w:val="00AD3A3A"/>
    <w:rsid w:val="00AE438F"/>
    <w:rsid w:val="00AE5974"/>
    <w:rsid w:val="00AF45B6"/>
    <w:rsid w:val="00AF49FF"/>
    <w:rsid w:val="00AF623D"/>
    <w:rsid w:val="00AF7030"/>
    <w:rsid w:val="00B118A8"/>
    <w:rsid w:val="00B13DE8"/>
    <w:rsid w:val="00B23C7E"/>
    <w:rsid w:val="00B25085"/>
    <w:rsid w:val="00B256F4"/>
    <w:rsid w:val="00B30C1E"/>
    <w:rsid w:val="00B3117B"/>
    <w:rsid w:val="00B37F9E"/>
    <w:rsid w:val="00B54D86"/>
    <w:rsid w:val="00B76377"/>
    <w:rsid w:val="00B872E0"/>
    <w:rsid w:val="00BA0B7C"/>
    <w:rsid w:val="00BA3A3C"/>
    <w:rsid w:val="00BA7683"/>
    <w:rsid w:val="00BB5A1D"/>
    <w:rsid w:val="00BC6210"/>
    <w:rsid w:val="00BE13F3"/>
    <w:rsid w:val="00BF0A8C"/>
    <w:rsid w:val="00BF41C5"/>
    <w:rsid w:val="00C32A64"/>
    <w:rsid w:val="00C33AE6"/>
    <w:rsid w:val="00C540D2"/>
    <w:rsid w:val="00C614A0"/>
    <w:rsid w:val="00C856D1"/>
    <w:rsid w:val="00C91B50"/>
    <w:rsid w:val="00CA19BE"/>
    <w:rsid w:val="00CC1B6E"/>
    <w:rsid w:val="00CC2230"/>
    <w:rsid w:val="00CC4B26"/>
    <w:rsid w:val="00CD1801"/>
    <w:rsid w:val="00CE08D9"/>
    <w:rsid w:val="00CE172E"/>
    <w:rsid w:val="00CE4E97"/>
    <w:rsid w:val="00D02E92"/>
    <w:rsid w:val="00D114EB"/>
    <w:rsid w:val="00D15A75"/>
    <w:rsid w:val="00D47687"/>
    <w:rsid w:val="00D636F9"/>
    <w:rsid w:val="00D80A9F"/>
    <w:rsid w:val="00D834F1"/>
    <w:rsid w:val="00D97944"/>
    <w:rsid w:val="00DA5DB2"/>
    <w:rsid w:val="00DB74B8"/>
    <w:rsid w:val="00DC2052"/>
    <w:rsid w:val="00DD4B15"/>
    <w:rsid w:val="00DD4BB9"/>
    <w:rsid w:val="00E13AB7"/>
    <w:rsid w:val="00E267F0"/>
    <w:rsid w:val="00E26C24"/>
    <w:rsid w:val="00E30980"/>
    <w:rsid w:val="00E3441C"/>
    <w:rsid w:val="00E4224C"/>
    <w:rsid w:val="00E46556"/>
    <w:rsid w:val="00E47A30"/>
    <w:rsid w:val="00E7641C"/>
    <w:rsid w:val="00E76E5C"/>
    <w:rsid w:val="00E86B58"/>
    <w:rsid w:val="00EC0EFF"/>
    <w:rsid w:val="00ED283B"/>
    <w:rsid w:val="00F12549"/>
    <w:rsid w:val="00F17037"/>
    <w:rsid w:val="00F21000"/>
    <w:rsid w:val="00F300EE"/>
    <w:rsid w:val="00F460AB"/>
    <w:rsid w:val="00F46D7A"/>
    <w:rsid w:val="00F513B0"/>
    <w:rsid w:val="00F57F1C"/>
    <w:rsid w:val="00F65722"/>
    <w:rsid w:val="00F67508"/>
    <w:rsid w:val="00F7475F"/>
    <w:rsid w:val="00F74C85"/>
    <w:rsid w:val="00F845B8"/>
    <w:rsid w:val="00F84B92"/>
    <w:rsid w:val="00F93D09"/>
    <w:rsid w:val="00F95109"/>
    <w:rsid w:val="00FC7039"/>
    <w:rsid w:val="00FE0C9C"/>
    <w:rsid w:val="00FE1719"/>
    <w:rsid w:val="00FE1A32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B0CD45"/>
  <w15:docId w15:val="{1C10BE5E-1EB9-4DF6-BF8C-8178A71D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0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pPr>
      <w:snapToGrid w:val="0"/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uiPriority w:val="99"/>
    <w:semiHidden/>
    <w:unhideWhenUsed/>
    <w:rPr>
      <w:vertAlign w:val="superscript"/>
    </w:rPr>
  </w:style>
  <w:style w:type="character" w:customStyle="1" w:styleId="a4">
    <w:name w:val="尾注文本 字符"/>
    <w:basedOn w:val="a0"/>
    <w:link w:val="a3"/>
    <w:uiPriority w:val="99"/>
    <w:semiHidden/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d">
    <w:name w:val="Revision"/>
    <w:hidden/>
    <w:uiPriority w:val="99"/>
    <w:unhideWhenUsed/>
    <w:rPr>
      <w:kern w:val="2"/>
      <w:sz w:val="21"/>
      <w:szCs w:val="22"/>
    </w:rPr>
  </w:style>
  <w:style w:type="paragraph" w:styleId="ae">
    <w:name w:val="annotation text"/>
    <w:basedOn w:val="a"/>
    <w:link w:val="af"/>
    <w:uiPriority w:val="99"/>
    <w:unhideWhenUsed/>
    <w:rsid w:val="00E7641C"/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rsid w:val="00E7641C"/>
    <w:rPr>
      <w:kern w:val="2"/>
    </w:rPr>
  </w:style>
  <w:style w:type="character" w:styleId="af0">
    <w:name w:val="annotation reference"/>
    <w:basedOn w:val="a0"/>
    <w:uiPriority w:val="99"/>
    <w:unhideWhenUsed/>
    <w:rsid w:val="00E7641C"/>
    <w:rPr>
      <w:sz w:val="21"/>
      <w:szCs w:val="21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E7641C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rsid w:val="00E7641C"/>
    <w:rPr>
      <w:b/>
      <w:bCs/>
      <w:kern w:val="2"/>
    </w:rPr>
  </w:style>
  <w:style w:type="character" w:styleId="af3">
    <w:name w:val="Subtle Emphasis"/>
    <w:basedOn w:val="a0"/>
    <w:uiPriority w:val="19"/>
    <w:semiHidden/>
    <w:qFormat/>
    <w:rsid w:val="00716957"/>
    <w:rPr>
      <w:i/>
      <w:iCs/>
      <w:color w:val="404040" w:themeColor="text1" w:themeTint="BF"/>
    </w:rPr>
  </w:style>
  <w:style w:type="character" w:styleId="af4">
    <w:name w:val="Emphasis"/>
    <w:basedOn w:val="a0"/>
    <w:uiPriority w:val="20"/>
    <w:semiHidden/>
    <w:qFormat/>
    <w:rsid w:val="00716957"/>
    <w:rPr>
      <w:i/>
      <w:iCs/>
    </w:rPr>
  </w:style>
  <w:style w:type="character" w:styleId="af5">
    <w:name w:val="Intense Emphasis"/>
    <w:basedOn w:val="a0"/>
    <w:uiPriority w:val="21"/>
    <w:semiHidden/>
    <w:qFormat/>
    <w:rsid w:val="00716957"/>
    <w:rPr>
      <w:i/>
      <w:iCs/>
      <w:color w:val="5B9BD5" w:themeColor="accent1"/>
    </w:rPr>
  </w:style>
  <w:style w:type="character" w:styleId="af6">
    <w:name w:val="Strong"/>
    <w:basedOn w:val="a0"/>
    <w:uiPriority w:val="22"/>
    <w:semiHidden/>
    <w:qFormat/>
    <w:rsid w:val="00716957"/>
    <w:rPr>
      <w:b/>
      <w:bCs/>
    </w:rPr>
  </w:style>
  <w:style w:type="paragraph" w:styleId="af7">
    <w:name w:val="Quote"/>
    <w:basedOn w:val="a"/>
    <w:next w:val="a"/>
    <w:link w:val="af8"/>
    <w:uiPriority w:val="99"/>
    <w:semiHidden/>
    <w:unhideWhenUsed/>
    <w:rsid w:val="007169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0"/>
    <w:link w:val="af7"/>
    <w:uiPriority w:val="99"/>
    <w:semiHidden/>
    <w:rsid w:val="00716957"/>
    <w:rPr>
      <w:i/>
      <w:iCs/>
      <w:color w:val="404040" w:themeColor="text1" w:themeTint="BF"/>
      <w:kern w:val="2"/>
      <w:sz w:val="21"/>
      <w:szCs w:val="22"/>
    </w:rPr>
  </w:style>
  <w:style w:type="paragraph" w:styleId="af9">
    <w:name w:val="Intense Quote"/>
    <w:basedOn w:val="a"/>
    <w:next w:val="a"/>
    <w:link w:val="afa"/>
    <w:uiPriority w:val="99"/>
    <w:semiHidden/>
    <w:unhideWhenUsed/>
    <w:rsid w:val="007169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明显引用 字符"/>
    <w:basedOn w:val="a0"/>
    <w:link w:val="af9"/>
    <w:uiPriority w:val="99"/>
    <w:semiHidden/>
    <w:rsid w:val="00716957"/>
    <w:rPr>
      <w:i/>
      <w:iCs/>
      <w:color w:val="5B9BD5" w:themeColor="accent1"/>
      <w:kern w:val="2"/>
      <w:sz w:val="21"/>
      <w:szCs w:val="22"/>
    </w:rPr>
  </w:style>
  <w:style w:type="character" w:styleId="afb">
    <w:name w:val="Subtle Reference"/>
    <w:basedOn w:val="a0"/>
    <w:uiPriority w:val="31"/>
    <w:semiHidden/>
    <w:qFormat/>
    <w:rsid w:val="00716957"/>
    <w:rPr>
      <w:smallCaps/>
      <w:color w:val="5A5A5A" w:themeColor="text1" w:themeTint="A5"/>
    </w:rPr>
  </w:style>
  <w:style w:type="character" w:styleId="afc">
    <w:name w:val="Intense Reference"/>
    <w:basedOn w:val="a0"/>
    <w:uiPriority w:val="32"/>
    <w:semiHidden/>
    <w:qFormat/>
    <w:rsid w:val="00716957"/>
    <w:rPr>
      <w:b/>
      <w:bCs/>
      <w:smallCaps/>
      <w:color w:val="5B9BD5" w:themeColor="accent1"/>
      <w:spacing w:val="5"/>
    </w:rPr>
  </w:style>
  <w:style w:type="character" w:styleId="afd">
    <w:name w:val="Book Title"/>
    <w:basedOn w:val="a0"/>
    <w:uiPriority w:val="33"/>
    <w:semiHidden/>
    <w:qFormat/>
    <w:rsid w:val="00716957"/>
    <w:rPr>
      <w:b/>
      <w:bCs/>
      <w:i/>
      <w:iCs/>
      <w:spacing w:val="5"/>
    </w:rPr>
  </w:style>
  <w:style w:type="paragraph" w:styleId="afe">
    <w:name w:val="List Paragraph"/>
    <w:basedOn w:val="a"/>
    <w:unhideWhenUsed/>
    <w:qFormat/>
    <w:rsid w:val="00716957"/>
    <w:pPr>
      <w:ind w:left="720"/>
      <w:contextualSpacing/>
    </w:pPr>
  </w:style>
  <w:style w:type="paragraph" w:styleId="aff">
    <w:name w:val="footnote text"/>
    <w:basedOn w:val="a"/>
    <w:link w:val="aff0"/>
    <w:uiPriority w:val="99"/>
    <w:semiHidden/>
    <w:unhideWhenUsed/>
    <w:rsid w:val="00B54D86"/>
    <w:rPr>
      <w:sz w:val="20"/>
      <w:szCs w:val="20"/>
    </w:rPr>
  </w:style>
  <w:style w:type="character" w:customStyle="1" w:styleId="aff0">
    <w:name w:val="脚注文本 字符"/>
    <w:basedOn w:val="a0"/>
    <w:link w:val="aff"/>
    <w:uiPriority w:val="99"/>
    <w:semiHidden/>
    <w:rsid w:val="00B54D86"/>
    <w:rPr>
      <w:kern w:val="2"/>
    </w:rPr>
  </w:style>
  <w:style w:type="character" w:styleId="aff1">
    <w:name w:val="footnote reference"/>
    <w:basedOn w:val="a0"/>
    <w:uiPriority w:val="99"/>
    <w:semiHidden/>
    <w:unhideWhenUsed/>
    <w:rsid w:val="00B54D86"/>
    <w:rPr>
      <w:vertAlign w:val="superscript"/>
    </w:rPr>
  </w:style>
  <w:style w:type="paragraph" w:styleId="aff2">
    <w:name w:val="Body Text"/>
    <w:basedOn w:val="a"/>
    <w:link w:val="aff3"/>
    <w:rsid w:val="009A22E4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character" w:customStyle="1" w:styleId="aff3">
    <w:name w:val="正文文本 字符"/>
    <w:basedOn w:val="a0"/>
    <w:link w:val="aff2"/>
    <w:rsid w:val="009A22E4"/>
    <w:rPr>
      <w:rFonts w:ascii="Times New Roman" w:hAnsi="Times New Roman" w:cs="Simplified Arabic"/>
      <w:sz w:val="24"/>
      <w:szCs w:val="24"/>
      <w:lang w:val="en-GB" w:eastAsia="en-GB" w:bidi="ar-AE"/>
    </w:rPr>
  </w:style>
  <w:style w:type="paragraph" w:customStyle="1" w:styleId="Body">
    <w:name w:val="Body"/>
    <w:basedOn w:val="a"/>
    <w:rsid w:val="009A22E4"/>
    <w:pPr>
      <w:widowControl/>
      <w:spacing w:after="140" w:line="290" w:lineRule="auto"/>
    </w:pPr>
    <w:rPr>
      <w:rFonts w:ascii="Arial" w:eastAsia="Times New Roman" w:hAnsi="Arial"/>
      <w:kern w:val="2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附件二、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附件二、</dc:title>
  <dc:creator>dell</dc:creator>
  <cp:lastModifiedBy>Fangda</cp:lastModifiedBy>
  <cp:revision>17</cp:revision>
  <dcterms:created xsi:type="dcterms:W3CDTF">2024-10-21T02:57:00Z</dcterms:created>
  <dcterms:modified xsi:type="dcterms:W3CDTF">2024-12-31T01:38:00Z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DPWPathText">
    <vt:lpwstr>#97717177v5</vt:lpwstr>
  </property>
</Properties>
</file>