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A2E60" w14:textId="77777777" w:rsidR="00FA4E84" w:rsidRPr="00FA4E84" w:rsidRDefault="00FA4E84" w:rsidP="00FA4E84">
      <w:pPr>
        <w:jc w:val="center"/>
        <w:rPr>
          <w:rFonts w:eastAsia="黑体"/>
          <w:bCs/>
          <w:sz w:val="36"/>
          <w:szCs w:val="36"/>
        </w:rPr>
      </w:pPr>
      <w:bookmarkStart w:id="0" w:name="_GoBack"/>
      <w:bookmarkEnd w:id="0"/>
      <w:r w:rsidRPr="00FA4E84">
        <w:rPr>
          <w:rFonts w:eastAsia="黑体"/>
          <w:bCs/>
          <w:sz w:val="36"/>
          <w:szCs w:val="36"/>
        </w:rPr>
        <w:t>经营者集中简易案件公示表</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0"/>
        <w:gridCol w:w="1607"/>
        <w:gridCol w:w="6093"/>
      </w:tblGrid>
      <w:tr w:rsidR="00FA4E84" w:rsidRPr="00FA4E84" w14:paraId="2192DA89" w14:textId="77777777" w:rsidTr="00900F68">
        <w:trPr>
          <w:trHeight w:val="926"/>
        </w:trPr>
        <w:tc>
          <w:tcPr>
            <w:tcW w:w="1940" w:type="dxa"/>
            <w:shd w:val="clear" w:color="auto" w:fill="D9D9D9"/>
            <w:vAlign w:val="center"/>
          </w:tcPr>
          <w:p w14:paraId="1A520526" w14:textId="77777777" w:rsidR="00FA4E84" w:rsidRPr="00FA4E84" w:rsidRDefault="00FA4E84" w:rsidP="00900F68">
            <w:pPr>
              <w:pStyle w:val="a3"/>
              <w:adjustRightInd w:val="0"/>
              <w:snapToGrid w:val="0"/>
              <w:spacing w:after="0"/>
              <w:rPr>
                <w:rFonts w:cs="Times New Roman"/>
                <w:bCs/>
                <w:color w:val="000000"/>
                <w:lang w:val="en-US"/>
              </w:rPr>
            </w:pPr>
            <w:r w:rsidRPr="00FA4E84">
              <w:rPr>
                <w:rFonts w:cs="Times New Roman"/>
                <w:bCs/>
                <w:color w:val="000000"/>
              </w:rPr>
              <w:t>案件名称</w:t>
            </w:r>
          </w:p>
        </w:tc>
        <w:tc>
          <w:tcPr>
            <w:tcW w:w="7700" w:type="dxa"/>
            <w:gridSpan w:val="2"/>
            <w:vAlign w:val="center"/>
          </w:tcPr>
          <w:p w14:paraId="579C4869" w14:textId="77777777" w:rsidR="00FA4E84" w:rsidRPr="00FA4E84" w:rsidRDefault="006D2985" w:rsidP="00900F68">
            <w:pPr>
              <w:adjustRightInd w:val="0"/>
              <w:snapToGrid w:val="0"/>
              <w:spacing w:after="0"/>
              <w:rPr>
                <w:bCs/>
                <w:color w:val="000000"/>
                <w:lang w:val="en-US"/>
              </w:rPr>
            </w:pPr>
            <w:r w:rsidRPr="006D2985">
              <w:rPr>
                <w:rFonts w:hint="eastAsia"/>
                <w:bCs/>
                <w:color w:val="000000"/>
                <w:lang w:val="en-US"/>
              </w:rPr>
              <w:t>殷拓基金管理有限公司收购</w:t>
            </w:r>
            <w:r w:rsidRPr="006D2985">
              <w:rPr>
                <w:rFonts w:hint="eastAsia"/>
                <w:bCs/>
                <w:color w:val="000000"/>
                <w:lang w:val="en-US"/>
              </w:rPr>
              <w:t>Proyectos Educativos Europa, S.L.</w:t>
            </w:r>
            <w:r w:rsidRPr="006D2985">
              <w:rPr>
                <w:rFonts w:hint="eastAsia"/>
                <w:bCs/>
                <w:color w:val="000000"/>
                <w:lang w:val="en-US"/>
              </w:rPr>
              <w:t>股权案</w:t>
            </w:r>
            <w:r>
              <w:rPr>
                <w:rFonts w:hint="eastAsia"/>
                <w:lang w:val="en-US"/>
              </w:rPr>
              <w:t>（“</w:t>
            </w:r>
            <w:r w:rsidRPr="00316794">
              <w:rPr>
                <w:rFonts w:hint="eastAsia"/>
                <w:b/>
                <w:lang w:val="en-US"/>
              </w:rPr>
              <w:t>本次交易</w:t>
            </w:r>
            <w:r>
              <w:rPr>
                <w:rFonts w:hint="eastAsia"/>
                <w:lang w:val="en-US"/>
              </w:rPr>
              <w:t>”）</w:t>
            </w:r>
          </w:p>
        </w:tc>
      </w:tr>
      <w:tr w:rsidR="00FA4E84" w:rsidRPr="00FA4E84" w14:paraId="13347AA9" w14:textId="77777777" w:rsidTr="00900F68">
        <w:trPr>
          <w:trHeight w:val="1391"/>
        </w:trPr>
        <w:tc>
          <w:tcPr>
            <w:tcW w:w="1940" w:type="dxa"/>
            <w:shd w:val="clear" w:color="auto" w:fill="D9D9D9"/>
            <w:vAlign w:val="center"/>
          </w:tcPr>
          <w:p w14:paraId="19D66CF3" w14:textId="77777777" w:rsidR="00FA4E84" w:rsidRPr="00FA4E84" w:rsidRDefault="00FA4E84" w:rsidP="00900F68">
            <w:pPr>
              <w:pStyle w:val="a3"/>
              <w:adjustRightInd w:val="0"/>
              <w:snapToGrid w:val="0"/>
              <w:spacing w:after="0"/>
              <w:rPr>
                <w:rFonts w:cs="Times New Roman"/>
                <w:bCs/>
                <w:color w:val="000000"/>
                <w:lang w:val="en-US" w:eastAsia="zh-CN"/>
              </w:rPr>
            </w:pPr>
            <w:r w:rsidRPr="00FA4E84">
              <w:rPr>
                <w:rFonts w:cs="Times New Roman"/>
                <w:bCs/>
                <w:color w:val="000000"/>
                <w:lang w:eastAsia="zh-CN"/>
              </w:rPr>
              <w:t>交易概况（限</w:t>
            </w:r>
            <w:r w:rsidRPr="00FA4E84">
              <w:rPr>
                <w:rFonts w:cs="Times New Roman"/>
                <w:bCs/>
                <w:color w:val="000000"/>
                <w:lang w:eastAsia="zh-CN"/>
              </w:rPr>
              <w:t>200</w:t>
            </w:r>
            <w:r w:rsidRPr="00FA4E84">
              <w:rPr>
                <w:rFonts w:cs="Times New Roman"/>
                <w:bCs/>
                <w:color w:val="000000"/>
                <w:lang w:eastAsia="zh-CN"/>
              </w:rPr>
              <w:t>字内）</w:t>
            </w:r>
          </w:p>
        </w:tc>
        <w:tc>
          <w:tcPr>
            <w:tcW w:w="7700" w:type="dxa"/>
            <w:gridSpan w:val="2"/>
            <w:vAlign w:val="center"/>
          </w:tcPr>
          <w:p w14:paraId="521E5C13" w14:textId="0C4091F6" w:rsidR="00143F75" w:rsidRDefault="006D2985" w:rsidP="00685AD3">
            <w:pPr>
              <w:widowControl w:val="0"/>
              <w:adjustRightInd w:val="0"/>
              <w:snapToGrid w:val="0"/>
              <w:spacing w:after="0"/>
              <w:rPr>
                <w:lang w:val="en-US"/>
              </w:rPr>
            </w:pPr>
            <w:r w:rsidRPr="006D2985">
              <w:rPr>
                <w:rFonts w:hint="eastAsia"/>
                <w:bCs/>
                <w:lang w:val="en-US"/>
              </w:rPr>
              <w:t>殷拓基金管理有限公司</w:t>
            </w:r>
            <w:r w:rsidR="00FA4E84">
              <w:rPr>
                <w:rFonts w:hint="eastAsia"/>
                <w:lang w:val="en-US"/>
              </w:rPr>
              <w:t>（“</w:t>
            </w:r>
            <w:r w:rsidRPr="006D2985">
              <w:rPr>
                <w:rFonts w:hint="eastAsia"/>
                <w:b/>
                <w:bCs/>
                <w:lang w:val="en-US"/>
              </w:rPr>
              <w:t>殷拓基金管理</w:t>
            </w:r>
            <w:r w:rsidR="00FA4E84">
              <w:rPr>
                <w:rFonts w:hint="eastAsia"/>
                <w:lang w:val="en-US"/>
              </w:rPr>
              <w:t>”）</w:t>
            </w:r>
            <w:r>
              <w:rPr>
                <w:rFonts w:hint="eastAsia"/>
                <w:lang w:val="en-US"/>
              </w:rPr>
              <w:t>、</w:t>
            </w:r>
            <w:r w:rsidRPr="006D2985">
              <w:rPr>
                <w:bCs/>
                <w:lang w:val="en-US"/>
              </w:rPr>
              <w:t>璞米咨询</w:t>
            </w:r>
            <w:r w:rsidRPr="006D2985">
              <w:rPr>
                <w:rFonts w:hint="eastAsia"/>
                <w:lang w:val="en-US"/>
              </w:rPr>
              <w:t>集团控股</w:t>
            </w:r>
            <w:r w:rsidRPr="006D2985">
              <w:rPr>
                <w:bCs/>
                <w:lang w:val="en-US"/>
              </w:rPr>
              <w:t>有限</w:t>
            </w:r>
            <w:r w:rsidRPr="006D2985">
              <w:rPr>
                <w:rFonts w:hint="eastAsia"/>
                <w:lang w:val="en-US"/>
              </w:rPr>
              <w:t>公司（“</w:t>
            </w:r>
            <w:r w:rsidRPr="006D2985">
              <w:rPr>
                <w:b/>
                <w:lang w:val="en-US"/>
              </w:rPr>
              <w:t>璞米</w:t>
            </w:r>
            <w:r w:rsidRPr="006D2985">
              <w:rPr>
                <w:rFonts w:hint="eastAsia"/>
                <w:lang w:val="en-US"/>
              </w:rPr>
              <w:t>”）及</w:t>
            </w:r>
            <w:r w:rsidRPr="006D2985">
              <w:rPr>
                <w:rFonts w:hint="eastAsia"/>
                <w:bCs/>
                <w:lang w:val="en-US"/>
              </w:rPr>
              <w:t>Proyectos Educativos Europa, S.L.</w:t>
            </w:r>
            <w:r>
              <w:rPr>
                <w:rFonts w:hint="eastAsia"/>
                <w:bCs/>
                <w:lang w:val="en-US"/>
              </w:rPr>
              <w:t>（“</w:t>
            </w:r>
            <w:r w:rsidRPr="006D2985">
              <w:rPr>
                <w:rFonts w:hint="eastAsia"/>
                <w:b/>
                <w:lang w:val="en-US"/>
              </w:rPr>
              <w:t>目标公司</w:t>
            </w:r>
            <w:r>
              <w:rPr>
                <w:rFonts w:hint="eastAsia"/>
                <w:lang w:val="en-US"/>
              </w:rPr>
              <w:t>”）</w:t>
            </w:r>
            <w:r w:rsidRPr="006D2985">
              <w:rPr>
                <w:rFonts w:hint="eastAsia"/>
                <w:lang w:val="en-US"/>
              </w:rPr>
              <w:t>的管理层签署了《股份购买协议》，根据该协议，殷拓基金管理</w:t>
            </w:r>
            <w:r w:rsidR="001B1E2E">
              <w:rPr>
                <w:rFonts w:hint="eastAsia"/>
                <w:lang w:val="en-US"/>
              </w:rPr>
              <w:t>将</w:t>
            </w:r>
            <w:r>
              <w:rPr>
                <w:rFonts w:hint="eastAsia"/>
                <w:lang w:val="en-US"/>
              </w:rPr>
              <w:t>收购目标公司</w:t>
            </w:r>
            <w:r w:rsidRPr="006D2985">
              <w:rPr>
                <w:rFonts w:hint="eastAsia"/>
                <w:lang w:val="en-US"/>
              </w:rPr>
              <w:t>的</w:t>
            </w:r>
            <w:r w:rsidR="001B1E2E">
              <w:rPr>
                <w:rFonts w:hint="eastAsia"/>
                <w:lang w:val="en-US"/>
              </w:rPr>
              <w:t>多数</w:t>
            </w:r>
            <w:r w:rsidRPr="006D2985">
              <w:rPr>
                <w:rFonts w:hint="eastAsia"/>
                <w:lang w:val="en-US"/>
              </w:rPr>
              <w:t>股份。目标公司</w:t>
            </w:r>
            <w:r w:rsidR="00640637">
              <w:rPr>
                <w:rFonts w:hint="eastAsia"/>
                <w:lang w:val="en-US"/>
              </w:rPr>
              <w:t>主要通过其子公司</w:t>
            </w:r>
            <w:r w:rsidRPr="006D2985">
              <w:rPr>
                <w:rFonts w:hint="eastAsia"/>
                <w:lang w:val="en-US"/>
              </w:rPr>
              <w:t>在西班牙和葡萄牙提供民办高等教育服务。</w:t>
            </w:r>
          </w:p>
          <w:p w14:paraId="71BF2EC6" w14:textId="77777777" w:rsidR="00143F75" w:rsidRDefault="00143F75" w:rsidP="00685AD3">
            <w:pPr>
              <w:widowControl w:val="0"/>
              <w:adjustRightInd w:val="0"/>
              <w:snapToGrid w:val="0"/>
              <w:spacing w:after="0"/>
              <w:rPr>
                <w:lang w:val="en-US"/>
              </w:rPr>
            </w:pPr>
          </w:p>
          <w:p w14:paraId="4E725505" w14:textId="242C46FC" w:rsidR="00FA4E84" w:rsidRPr="00316794" w:rsidRDefault="00FA4E84" w:rsidP="00640637">
            <w:pPr>
              <w:widowControl w:val="0"/>
              <w:adjustRightInd w:val="0"/>
              <w:snapToGrid w:val="0"/>
              <w:spacing w:after="0"/>
              <w:rPr>
                <w:lang w:val="en-US"/>
              </w:rPr>
            </w:pPr>
            <w:r w:rsidRPr="00FA4E84">
              <w:rPr>
                <w:rFonts w:hint="eastAsia"/>
                <w:lang w:val="en-US"/>
              </w:rPr>
              <w:t>在</w:t>
            </w:r>
            <w:r w:rsidR="00316794">
              <w:rPr>
                <w:rFonts w:hint="eastAsia"/>
                <w:lang w:val="en-US"/>
              </w:rPr>
              <w:t>本次交易</w:t>
            </w:r>
            <w:r w:rsidRPr="00FA4E84">
              <w:rPr>
                <w:rFonts w:hint="eastAsia"/>
                <w:lang w:val="en-US"/>
              </w:rPr>
              <w:t>前，</w:t>
            </w:r>
            <w:r w:rsidR="006D2985" w:rsidRPr="006D2985">
              <w:rPr>
                <w:rFonts w:hint="eastAsia"/>
                <w:bCs/>
                <w:iCs/>
                <w:lang w:val="en-US"/>
              </w:rPr>
              <w:t>目标公司由璞米单独间接控制，璞米持有目标公司</w:t>
            </w:r>
            <w:r w:rsidR="001B1E2E">
              <w:rPr>
                <w:rFonts w:hint="eastAsia"/>
                <w:bCs/>
                <w:iCs/>
                <w:lang w:val="en-US"/>
              </w:rPr>
              <w:t>接近</w:t>
            </w:r>
            <w:r w:rsidR="001B1E2E">
              <w:rPr>
                <w:rFonts w:hint="eastAsia"/>
                <w:bCs/>
                <w:iCs/>
                <w:lang w:val="en-US"/>
              </w:rPr>
              <w:t>100%</w:t>
            </w:r>
            <w:r w:rsidR="006D2985" w:rsidRPr="006D2985">
              <w:rPr>
                <w:rFonts w:hint="eastAsia"/>
                <w:bCs/>
                <w:iCs/>
                <w:lang w:val="en-US"/>
              </w:rPr>
              <w:t>的股份</w:t>
            </w:r>
            <w:r w:rsidRPr="00FA4E84">
              <w:rPr>
                <w:rFonts w:hint="eastAsia"/>
                <w:lang w:val="en-US"/>
              </w:rPr>
              <w:t>。</w:t>
            </w:r>
            <w:r w:rsidR="00316794">
              <w:rPr>
                <w:rFonts w:hint="eastAsia"/>
                <w:lang w:val="en-US"/>
              </w:rPr>
              <w:t>本次</w:t>
            </w:r>
            <w:r w:rsidRPr="00FA4E84">
              <w:rPr>
                <w:rFonts w:hint="eastAsia"/>
                <w:lang w:val="en-US"/>
              </w:rPr>
              <w:t>交易完成后，</w:t>
            </w:r>
            <w:r w:rsidR="006D2985" w:rsidRPr="006D2985">
              <w:rPr>
                <w:rFonts w:hint="eastAsia"/>
                <w:bCs/>
                <w:lang w:val="en-US"/>
              </w:rPr>
              <w:t>殷拓基金管理和璞米将共同控制目标公司</w:t>
            </w:r>
            <w:r w:rsidRPr="00FA4E84">
              <w:rPr>
                <w:rFonts w:hint="eastAsia"/>
                <w:lang w:val="en-US"/>
              </w:rPr>
              <w:t>。</w:t>
            </w:r>
          </w:p>
        </w:tc>
      </w:tr>
      <w:tr w:rsidR="00316794" w:rsidRPr="00FA4E84" w14:paraId="48E382A7" w14:textId="77777777" w:rsidTr="00900F68">
        <w:trPr>
          <w:trHeight w:val="942"/>
        </w:trPr>
        <w:tc>
          <w:tcPr>
            <w:tcW w:w="1940" w:type="dxa"/>
            <w:vMerge w:val="restart"/>
            <w:shd w:val="clear" w:color="auto" w:fill="D9D9D9"/>
            <w:vAlign w:val="center"/>
          </w:tcPr>
          <w:p w14:paraId="5F5250B4" w14:textId="77777777" w:rsidR="00316794" w:rsidRPr="00FA4E84" w:rsidRDefault="00316794" w:rsidP="00900F68">
            <w:pPr>
              <w:pStyle w:val="a3"/>
              <w:adjustRightInd w:val="0"/>
              <w:snapToGrid w:val="0"/>
              <w:spacing w:after="0"/>
              <w:rPr>
                <w:rFonts w:cs="Times New Roman"/>
                <w:bCs/>
                <w:color w:val="000000"/>
                <w:lang w:val="en-US" w:eastAsia="zh-CN"/>
              </w:rPr>
            </w:pPr>
            <w:r w:rsidRPr="00FA4E84">
              <w:rPr>
                <w:rFonts w:cs="Times New Roman"/>
                <w:bCs/>
                <w:color w:val="000000"/>
                <w:lang w:eastAsia="zh-CN"/>
              </w:rPr>
              <w:t>参与集中的经营者简介（每个限</w:t>
            </w:r>
            <w:r w:rsidRPr="00FA4E84">
              <w:rPr>
                <w:rFonts w:cs="Times New Roman"/>
                <w:bCs/>
                <w:color w:val="000000"/>
                <w:lang w:val="en-US" w:eastAsia="zh-CN"/>
              </w:rPr>
              <w:t>100</w:t>
            </w:r>
            <w:r w:rsidRPr="00FA4E84">
              <w:rPr>
                <w:rFonts w:cs="Times New Roman"/>
                <w:bCs/>
                <w:color w:val="000000"/>
                <w:lang w:val="en-US" w:eastAsia="zh-CN"/>
              </w:rPr>
              <w:t>字以内</w:t>
            </w:r>
            <w:r w:rsidRPr="00FA4E84">
              <w:rPr>
                <w:rFonts w:cs="Times New Roman"/>
                <w:bCs/>
                <w:color w:val="000000"/>
                <w:lang w:eastAsia="zh-CN"/>
              </w:rPr>
              <w:t>）</w:t>
            </w:r>
          </w:p>
        </w:tc>
        <w:tc>
          <w:tcPr>
            <w:tcW w:w="1607" w:type="dxa"/>
            <w:vAlign w:val="center"/>
          </w:tcPr>
          <w:p w14:paraId="73EEE2C7" w14:textId="77777777" w:rsidR="00316794" w:rsidRPr="00FA4E84" w:rsidRDefault="00316794" w:rsidP="00900F68">
            <w:pPr>
              <w:pStyle w:val="a3"/>
              <w:adjustRightInd w:val="0"/>
              <w:snapToGrid w:val="0"/>
              <w:spacing w:after="0"/>
              <w:rPr>
                <w:rFonts w:cs="Times New Roman"/>
                <w:bCs/>
                <w:color w:val="000000"/>
                <w:lang w:eastAsia="zh-CN"/>
              </w:rPr>
            </w:pPr>
            <w:r w:rsidRPr="00FA4E84">
              <w:rPr>
                <w:rFonts w:cs="Times New Roman"/>
                <w:bCs/>
                <w:color w:val="000000"/>
                <w:lang w:val="en-US" w:eastAsia="zh-CN"/>
              </w:rPr>
              <w:t>1.</w:t>
            </w:r>
            <w:r w:rsidRPr="00FA4E84">
              <w:rPr>
                <w:rFonts w:hint="eastAsia"/>
                <w:lang w:val="en-US"/>
              </w:rPr>
              <w:t xml:space="preserve"> </w:t>
            </w:r>
            <w:r w:rsidR="00143F75" w:rsidRPr="00143F75">
              <w:rPr>
                <w:rFonts w:hint="eastAsia"/>
                <w:lang w:val="en-US" w:eastAsia="zh-CN"/>
              </w:rPr>
              <w:t>殷拓基金管理</w:t>
            </w:r>
          </w:p>
        </w:tc>
        <w:tc>
          <w:tcPr>
            <w:tcW w:w="6093" w:type="dxa"/>
            <w:vAlign w:val="center"/>
          </w:tcPr>
          <w:p w14:paraId="2E7EE0E2" w14:textId="77777777" w:rsidR="00143F75" w:rsidRDefault="00143F75" w:rsidP="00143F75">
            <w:pPr>
              <w:widowControl w:val="0"/>
              <w:adjustRightInd w:val="0"/>
              <w:snapToGrid w:val="0"/>
              <w:spacing w:after="0"/>
              <w:rPr>
                <w:lang w:val="en-US"/>
              </w:rPr>
            </w:pPr>
            <w:r w:rsidRPr="00143F75">
              <w:rPr>
                <w:rFonts w:hint="eastAsia"/>
                <w:lang w:val="en-US"/>
              </w:rPr>
              <w:t>殷拓基金管理于</w:t>
            </w:r>
            <w:r w:rsidRPr="00143F75">
              <w:rPr>
                <w:rFonts w:hint="eastAsia"/>
                <w:lang w:val="en-US"/>
              </w:rPr>
              <w:t>2</w:t>
            </w:r>
            <w:r w:rsidRPr="00143F75">
              <w:rPr>
                <w:lang w:val="en-US"/>
              </w:rPr>
              <w:t>012</w:t>
            </w:r>
            <w:r w:rsidRPr="00143F75">
              <w:rPr>
                <w:rFonts w:hint="eastAsia"/>
                <w:lang w:val="en-US"/>
              </w:rPr>
              <w:t>年</w:t>
            </w:r>
            <w:r w:rsidRPr="00143F75">
              <w:rPr>
                <w:rFonts w:hint="eastAsia"/>
                <w:lang w:val="en-US"/>
              </w:rPr>
              <w:t>3</w:t>
            </w:r>
            <w:r w:rsidRPr="00143F75">
              <w:rPr>
                <w:rFonts w:hint="eastAsia"/>
                <w:lang w:val="en-US"/>
              </w:rPr>
              <w:t>月</w:t>
            </w:r>
            <w:r w:rsidRPr="00143F75">
              <w:rPr>
                <w:rFonts w:hint="eastAsia"/>
                <w:lang w:val="en-US"/>
              </w:rPr>
              <w:t>2</w:t>
            </w:r>
            <w:r w:rsidRPr="00143F75">
              <w:rPr>
                <w:lang w:val="en-US"/>
              </w:rPr>
              <w:t>9</w:t>
            </w:r>
            <w:r w:rsidRPr="00143F75">
              <w:rPr>
                <w:rFonts w:hint="eastAsia"/>
                <w:lang w:val="en-US"/>
              </w:rPr>
              <w:t>日成立于卢森堡。</w:t>
            </w:r>
            <w:r w:rsidRPr="00143F75">
              <w:rPr>
                <w:lang w:val="en-US"/>
              </w:rPr>
              <w:t>殷拓基金管理是</w:t>
            </w:r>
            <w:r w:rsidRPr="00143F75">
              <w:rPr>
                <w:rFonts w:hint="eastAsia"/>
                <w:lang w:val="en-US"/>
              </w:rPr>
              <w:t>殷拓集团投资基金</w:t>
            </w:r>
            <w:r w:rsidRPr="00143F75">
              <w:rPr>
                <w:lang w:val="en-US"/>
              </w:rPr>
              <w:t>的另类投资基金管理人</w:t>
            </w:r>
            <w:r w:rsidRPr="00143F75">
              <w:rPr>
                <w:rFonts w:hint="eastAsia"/>
                <w:lang w:val="en-US"/>
              </w:rPr>
              <w:t>。</w:t>
            </w:r>
          </w:p>
          <w:p w14:paraId="548609DA" w14:textId="77777777" w:rsidR="00143F75" w:rsidRDefault="00143F75" w:rsidP="00143F75">
            <w:pPr>
              <w:widowControl w:val="0"/>
              <w:adjustRightInd w:val="0"/>
              <w:snapToGrid w:val="0"/>
              <w:spacing w:after="0"/>
              <w:rPr>
                <w:lang w:val="en-US"/>
              </w:rPr>
            </w:pPr>
          </w:p>
          <w:p w14:paraId="3534E289" w14:textId="77777777" w:rsidR="00316794" w:rsidRPr="00F83FFE" w:rsidRDefault="00143F75" w:rsidP="00143F75">
            <w:pPr>
              <w:widowControl w:val="0"/>
              <w:adjustRightInd w:val="0"/>
              <w:snapToGrid w:val="0"/>
              <w:spacing w:after="0"/>
              <w:rPr>
                <w:lang w:val="en-US"/>
              </w:rPr>
            </w:pPr>
            <w:r w:rsidRPr="00143F75">
              <w:rPr>
                <w:rFonts w:hint="eastAsia"/>
                <w:lang w:val="en-US"/>
              </w:rPr>
              <w:t>殷拓集团是殷拓基金管理的最终控制人。</w:t>
            </w:r>
            <w:r w:rsidRPr="00143F75">
              <w:rPr>
                <w:lang w:val="en-US"/>
              </w:rPr>
              <w:t>殷拓</w:t>
            </w:r>
            <w:r w:rsidRPr="00143F75">
              <w:rPr>
                <w:rFonts w:hint="eastAsia"/>
                <w:lang w:val="en-US"/>
              </w:rPr>
              <w:t>集团</w:t>
            </w:r>
            <w:r w:rsidRPr="00143F75">
              <w:rPr>
                <w:lang w:val="en-US"/>
              </w:rPr>
              <w:t>是一家以目标为导向的全球投资机构，专注于积极的股权投资策略。目前殷拓基金通过两个业务部门（即私人资本和实物资产）</w:t>
            </w:r>
            <w:r w:rsidRPr="00143F75">
              <w:rPr>
                <w:rFonts w:hint="eastAsia"/>
                <w:lang w:val="en-US"/>
              </w:rPr>
              <w:t>从事业务。</w:t>
            </w:r>
          </w:p>
        </w:tc>
      </w:tr>
      <w:tr w:rsidR="00316794" w:rsidRPr="00FA4E84" w14:paraId="582368FF" w14:textId="77777777" w:rsidTr="00900F68">
        <w:trPr>
          <w:trHeight w:val="984"/>
        </w:trPr>
        <w:tc>
          <w:tcPr>
            <w:tcW w:w="1940" w:type="dxa"/>
            <w:vMerge/>
            <w:shd w:val="clear" w:color="auto" w:fill="D9D9D9"/>
            <w:vAlign w:val="center"/>
          </w:tcPr>
          <w:p w14:paraId="5B181530" w14:textId="77777777" w:rsidR="00316794" w:rsidRPr="00FA4E84" w:rsidRDefault="00316794" w:rsidP="00900F68">
            <w:pPr>
              <w:pStyle w:val="a3"/>
              <w:adjustRightInd w:val="0"/>
              <w:snapToGrid w:val="0"/>
              <w:spacing w:after="0"/>
              <w:rPr>
                <w:rFonts w:cs="Times New Roman"/>
                <w:bCs/>
                <w:color w:val="000000"/>
                <w:lang w:val="en-US" w:eastAsia="zh-CN"/>
              </w:rPr>
            </w:pPr>
          </w:p>
        </w:tc>
        <w:tc>
          <w:tcPr>
            <w:tcW w:w="1607" w:type="dxa"/>
            <w:vAlign w:val="center"/>
          </w:tcPr>
          <w:p w14:paraId="45F1A815" w14:textId="77777777" w:rsidR="00316794" w:rsidRPr="00FA4E84" w:rsidRDefault="00316794" w:rsidP="00900F68">
            <w:pPr>
              <w:pStyle w:val="a3"/>
              <w:adjustRightInd w:val="0"/>
              <w:snapToGrid w:val="0"/>
              <w:spacing w:after="0"/>
              <w:rPr>
                <w:rFonts w:cs="Times New Roman"/>
                <w:bCs/>
                <w:color w:val="000000"/>
                <w:lang w:eastAsia="zh-CN"/>
              </w:rPr>
            </w:pPr>
            <w:r w:rsidRPr="00FA4E84">
              <w:rPr>
                <w:rFonts w:cs="Times New Roman"/>
                <w:bCs/>
                <w:color w:val="000000"/>
                <w:lang w:val="en-US" w:eastAsia="zh-CN"/>
              </w:rPr>
              <w:t>2.</w:t>
            </w:r>
            <w:r>
              <w:rPr>
                <w:lang w:val="en-US"/>
              </w:rPr>
              <w:t xml:space="preserve"> </w:t>
            </w:r>
            <w:r w:rsidR="00143F75" w:rsidRPr="00143F75">
              <w:rPr>
                <w:rFonts w:hint="eastAsia"/>
                <w:lang w:val="en-US"/>
              </w:rPr>
              <w:t>璞米</w:t>
            </w:r>
          </w:p>
        </w:tc>
        <w:tc>
          <w:tcPr>
            <w:tcW w:w="6093" w:type="dxa"/>
            <w:vAlign w:val="center"/>
          </w:tcPr>
          <w:p w14:paraId="62C9F8B5" w14:textId="77777777" w:rsidR="00143F75" w:rsidRDefault="00143F75" w:rsidP="00143F75">
            <w:pPr>
              <w:adjustRightInd w:val="0"/>
              <w:snapToGrid w:val="0"/>
              <w:spacing w:after="0"/>
              <w:rPr>
                <w:bCs/>
                <w:color w:val="000000"/>
              </w:rPr>
            </w:pPr>
            <w:r w:rsidRPr="00143F75">
              <w:rPr>
                <w:rFonts w:hint="eastAsia"/>
                <w:bCs/>
                <w:color w:val="000000"/>
              </w:rPr>
              <w:t>璞米于</w:t>
            </w:r>
            <w:r w:rsidRPr="00143F75">
              <w:rPr>
                <w:rFonts w:hint="eastAsia"/>
                <w:bCs/>
                <w:color w:val="000000"/>
              </w:rPr>
              <w:t>2006</w:t>
            </w:r>
            <w:r w:rsidRPr="00143F75">
              <w:rPr>
                <w:rFonts w:hint="eastAsia"/>
                <w:bCs/>
                <w:color w:val="000000"/>
              </w:rPr>
              <w:t>年</w:t>
            </w:r>
            <w:r w:rsidRPr="00143F75">
              <w:rPr>
                <w:rFonts w:hint="eastAsia"/>
                <w:bCs/>
                <w:color w:val="000000"/>
              </w:rPr>
              <w:t>11</w:t>
            </w:r>
            <w:r w:rsidRPr="00143F75">
              <w:rPr>
                <w:rFonts w:hint="eastAsia"/>
                <w:bCs/>
                <w:color w:val="000000"/>
              </w:rPr>
              <w:t>月</w:t>
            </w:r>
            <w:r w:rsidRPr="00143F75">
              <w:rPr>
                <w:rFonts w:hint="eastAsia"/>
                <w:bCs/>
                <w:color w:val="000000"/>
              </w:rPr>
              <w:t>10</w:t>
            </w:r>
            <w:r w:rsidRPr="00143F75">
              <w:rPr>
                <w:rFonts w:hint="eastAsia"/>
                <w:bCs/>
                <w:color w:val="000000"/>
              </w:rPr>
              <w:t>日在根西岛成立。璞米集团在全球拥有办事处网络，为璞米基金、璞米基金的普通合伙人和管理人及其他璞米投资控股公司提供顾问和投资咨询服务。</w:t>
            </w:r>
          </w:p>
          <w:p w14:paraId="795711BD" w14:textId="77777777" w:rsidR="00143F75" w:rsidRPr="00143F75" w:rsidRDefault="00143F75" w:rsidP="00143F75">
            <w:pPr>
              <w:adjustRightInd w:val="0"/>
              <w:snapToGrid w:val="0"/>
              <w:spacing w:after="0"/>
              <w:rPr>
                <w:bCs/>
                <w:color w:val="000000"/>
              </w:rPr>
            </w:pPr>
          </w:p>
          <w:p w14:paraId="1C5085A2" w14:textId="77777777" w:rsidR="00A16177" w:rsidRPr="00FA4E84" w:rsidRDefault="00143F75" w:rsidP="00143F75">
            <w:pPr>
              <w:adjustRightInd w:val="0"/>
              <w:snapToGrid w:val="0"/>
              <w:spacing w:after="0"/>
              <w:rPr>
                <w:bCs/>
                <w:color w:val="000000"/>
              </w:rPr>
            </w:pPr>
            <w:r w:rsidRPr="00143F75">
              <w:rPr>
                <w:rFonts w:hint="eastAsia"/>
                <w:bCs/>
                <w:color w:val="000000"/>
              </w:rPr>
              <w:t>璞米的最终控制人为璞米控股有限公司，璞米控股有限公司是璞米集团的最终母公司，负责管理及监督璞米集团的运营。</w:t>
            </w:r>
          </w:p>
        </w:tc>
      </w:tr>
      <w:tr w:rsidR="00FA4E84" w:rsidRPr="00FA4E84" w14:paraId="41FF6489" w14:textId="77777777" w:rsidTr="00900F68">
        <w:trPr>
          <w:trHeight w:val="279"/>
        </w:trPr>
        <w:tc>
          <w:tcPr>
            <w:tcW w:w="1940" w:type="dxa"/>
            <w:vMerge w:val="restart"/>
            <w:shd w:val="clear" w:color="auto" w:fill="D9D9D9"/>
            <w:vAlign w:val="center"/>
          </w:tcPr>
          <w:p w14:paraId="617FF3F9" w14:textId="77777777" w:rsidR="00FA4E84" w:rsidRPr="00FA4E84" w:rsidRDefault="00FA4E84" w:rsidP="00900F68">
            <w:pPr>
              <w:pStyle w:val="a3"/>
              <w:adjustRightInd w:val="0"/>
              <w:snapToGrid w:val="0"/>
              <w:spacing w:after="0"/>
              <w:rPr>
                <w:rFonts w:cs="Times New Roman"/>
                <w:bCs/>
                <w:color w:val="000000"/>
                <w:lang w:val="en-US" w:eastAsia="zh-CN"/>
              </w:rPr>
            </w:pPr>
            <w:r w:rsidRPr="00FA4E84">
              <w:rPr>
                <w:rFonts w:cs="Times New Roman"/>
                <w:bCs/>
                <w:color w:val="000000"/>
                <w:lang w:eastAsia="zh-CN"/>
              </w:rPr>
              <w:t>简易案件理由（可以单选，也可以多选）</w:t>
            </w:r>
          </w:p>
        </w:tc>
        <w:tc>
          <w:tcPr>
            <w:tcW w:w="7700" w:type="dxa"/>
            <w:gridSpan w:val="2"/>
            <w:vAlign w:val="center"/>
          </w:tcPr>
          <w:p w14:paraId="04BF8289" w14:textId="77777777" w:rsidR="00FA4E84" w:rsidRPr="00FA4E84" w:rsidRDefault="00404667" w:rsidP="00900F68">
            <w:pPr>
              <w:pStyle w:val="a3"/>
              <w:adjustRightInd w:val="0"/>
              <w:snapToGrid w:val="0"/>
              <w:spacing w:after="0"/>
              <w:rPr>
                <w:rFonts w:cs="Times New Roman"/>
                <w:bCs/>
                <w:color w:val="000000"/>
                <w:lang w:val="en-US" w:eastAsia="zh-CN"/>
              </w:rPr>
            </w:pPr>
            <w:r w:rsidRPr="00FA4E84">
              <w:rPr>
                <w:rFonts w:cs="Times New Roman"/>
                <w:bCs/>
                <w:color w:val="000000"/>
                <w:lang w:eastAsia="zh-CN"/>
              </w:rPr>
              <w:sym w:font="Wingdings" w:char="00A8"/>
            </w:r>
            <w:r w:rsidR="00FA4E84" w:rsidRPr="00FA4E84">
              <w:rPr>
                <w:rFonts w:cs="Times New Roman"/>
                <w:bCs/>
                <w:color w:val="000000"/>
                <w:lang w:eastAsia="zh-CN"/>
              </w:rPr>
              <w:t xml:space="preserve"> 1</w:t>
            </w:r>
            <w:r w:rsidR="00FA4E84" w:rsidRPr="00FA4E84">
              <w:rPr>
                <w:rFonts w:cs="Times New Roman"/>
                <w:bCs/>
                <w:color w:val="000000"/>
                <w:lang w:eastAsia="zh-CN"/>
              </w:rPr>
              <w:t>、在同一相关市场，所有参与集中的经营者所占市场份额之和小于</w:t>
            </w:r>
            <w:r w:rsidR="00FA4E84" w:rsidRPr="00FA4E84">
              <w:rPr>
                <w:rFonts w:cs="Times New Roman"/>
                <w:bCs/>
                <w:color w:val="000000"/>
                <w:lang w:eastAsia="zh-CN"/>
              </w:rPr>
              <w:t>15%</w:t>
            </w:r>
            <w:r w:rsidR="00FA4E84" w:rsidRPr="00FA4E84">
              <w:rPr>
                <w:rFonts w:cs="Times New Roman"/>
                <w:bCs/>
                <w:color w:val="000000"/>
                <w:lang w:eastAsia="zh-CN"/>
              </w:rPr>
              <w:t>。</w:t>
            </w:r>
          </w:p>
        </w:tc>
      </w:tr>
      <w:tr w:rsidR="00FA4E84" w:rsidRPr="00FA4E84" w14:paraId="6B36E0C3" w14:textId="77777777" w:rsidTr="00900F68">
        <w:trPr>
          <w:trHeight w:val="330"/>
        </w:trPr>
        <w:tc>
          <w:tcPr>
            <w:tcW w:w="1940" w:type="dxa"/>
            <w:vMerge/>
            <w:shd w:val="clear" w:color="auto" w:fill="D9D9D9"/>
            <w:vAlign w:val="center"/>
          </w:tcPr>
          <w:p w14:paraId="7DC0C065" w14:textId="77777777" w:rsidR="00FA4E84" w:rsidRPr="00FA4E84" w:rsidRDefault="00FA4E84" w:rsidP="00900F68">
            <w:pPr>
              <w:pStyle w:val="a3"/>
              <w:adjustRightInd w:val="0"/>
              <w:snapToGrid w:val="0"/>
              <w:spacing w:after="0"/>
              <w:rPr>
                <w:rFonts w:cs="Times New Roman"/>
                <w:bCs/>
                <w:color w:val="000000"/>
                <w:lang w:val="en-US" w:eastAsia="zh-CN"/>
              </w:rPr>
            </w:pPr>
          </w:p>
        </w:tc>
        <w:tc>
          <w:tcPr>
            <w:tcW w:w="7700" w:type="dxa"/>
            <w:gridSpan w:val="2"/>
            <w:vAlign w:val="center"/>
          </w:tcPr>
          <w:p w14:paraId="66A1E0B8" w14:textId="77777777" w:rsidR="00FA4E84" w:rsidRPr="00FA4E84" w:rsidRDefault="00143F75" w:rsidP="00900F68">
            <w:pPr>
              <w:pStyle w:val="a3"/>
              <w:adjustRightInd w:val="0"/>
              <w:snapToGrid w:val="0"/>
              <w:spacing w:after="0"/>
              <w:rPr>
                <w:rFonts w:cs="Times New Roman"/>
                <w:bCs/>
                <w:color w:val="000000"/>
                <w:lang w:val="en-US" w:eastAsia="zh-CN"/>
              </w:rPr>
            </w:pPr>
            <w:r w:rsidRPr="00FA4E84">
              <w:rPr>
                <w:rFonts w:cs="Times New Roman"/>
                <w:bCs/>
                <w:color w:val="000000"/>
                <w:lang w:eastAsia="zh-CN"/>
              </w:rPr>
              <w:sym w:font="Wingdings" w:char="00A8"/>
            </w:r>
            <w:r w:rsidR="00FA4E84" w:rsidRPr="00FA4E84">
              <w:rPr>
                <w:rFonts w:cs="Times New Roman"/>
                <w:bCs/>
                <w:color w:val="000000"/>
                <w:lang w:eastAsia="zh-CN"/>
              </w:rPr>
              <w:t xml:space="preserve"> 2</w:t>
            </w:r>
            <w:r w:rsidR="00FA4E84" w:rsidRPr="00FA4E84">
              <w:rPr>
                <w:rFonts w:cs="Times New Roman"/>
                <w:bCs/>
                <w:color w:val="000000"/>
                <w:lang w:eastAsia="zh-CN"/>
              </w:rPr>
              <w:t>、存在上下游关系的参与集中的经营者，在上下游市场所占的市场份额均小于</w:t>
            </w:r>
            <w:r w:rsidR="00FA4E84" w:rsidRPr="00FA4E84">
              <w:rPr>
                <w:rFonts w:cs="Times New Roman"/>
                <w:bCs/>
                <w:color w:val="000000"/>
                <w:lang w:eastAsia="zh-CN"/>
              </w:rPr>
              <w:t>25%</w:t>
            </w:r>
            <w:r w:rsidR="00FA4E84" w:rsidRPr="00FA4E84">
              <w:rPr>
                <w:rFonts w:cs="Times New Roman"/>
                <w:bCs/>
                <w:color w:val="000000"/>
                <w:lang w:eastAsia="zh-CN"/>
              </w:rPr>
              <w:t>。</w:t>
            </w:r>
          </w:p>
        </w:tc>
      </w:tr>
      <w:tr w:rsidR="00FA4E84" w:rsidRPr="00FA4E84" w14:paraId="1A4EA91A" w14:textId="77777777" w:rsidTr="00900F68">
        <w:trPr>
          <w:trHeight w:val="285"/>
        </w:trPr>
        <w:tc>
          <w:tcPr>
            <w:tcW w:w="1940" w:type="dxa"/>
            <w:vMerge/>
            <w:shd w:val="clear" w:color="auto" w:fill="D9D9D9"/>
            <w:vAlign w:val="center"/>
          </w:tcPr>
          <w:p w14:paraId="33598496" w14:textId="77777777" w:rsidR="00FA4E84" w:rsidRPr="00FA4E84" w:rsidRDefault="00FA4E84" w:rsidP="00900F68">
            <w:pPr>
              <w:pStyle w:val="a3"/>
              <w:adjustRightInd w:val="0"/>
              <w:snapToGrid w:val="0"/>
              <w:spacing w:after="0"/>
              <w:rPr>
                <w:rFonts w:cs="Times New Roman"/>
                <w:bCs/>
                <w:color w:val="000000"/>
                <w:lang w:val="en-US" w:eastAsia="zh-CN"/>
              </w:rPr>
            </w:pPr>
          </w:p>
        </w:tc>
        <w:tc>
          <w:tcPr>
            <w:tcW w:w="7700" w:type="dxa"/>
            <w:gridSpan w:val="2"/>
            <w:vAlign w:val="center"/>
          </w:tcPr>
          <w:p w14:paraId="0C405021" w14:textId="77777777" w:rsidR="00FA4E84" w:rsidRPr="00FA4E84" w:rsidRDefault="008477CB" w:rsidP="00900F68">
            <w:pPr>
              <w:pStyle w:val="a3"/>
              <w:adjustRightInd w:val="0"/>
              <w:snapToGrid w:val="0"/>
              <w:spacing w:after="0"/>
              <w:rPr>
                <w:rFonts w:cs="Times New Roman"/>
                <w:bCs/>
                <w:color w:val="000000"/>
                <w:lang w:val="en-US" w:eastAsia="zh-CN"/>
              </w:rPr>
            </w:pPr>
            <w:r w:rsidRPr="00FA4E84">
              <w:rPr>
                <w:rFonts w:cs="Times New Roman"/>
                <w:bCs/>
                <w:color w:val="000000"/>
                <w:lang w:eastAsia="zh-CN"/>
              </w:rPr>
              <w:sym w:font="Wingdings" w:char="00A8"/>
            </w:r>
            <w:r>
              <w:rPr>
                <w:rFonts w:cs="Times New Roman"/>
                <w:bCs/>
                <w:color w:val="000000"/>
                <w:lang w:eastAsia="zh-CN"/>
              </w:rPr>
              <w:t xml:space="preserve"> </w:t>
            </w:r>
            <w:r w:rsidR="00FA4E84" w:rsidRPr="00FA4E84">
              <w:rPr>
                <w:rFonts w:cs="Times New Roman"/>
                <w:bCs/>
                <w:color w:val="000000"/>
                <w:lang w:eastAsia="zh-CN"/>
              </w:rPr>
              <w:t>3</w:t>
            </w:r>
            <w:r w:rsidR="00FA4E84" w:rsidRPr="00FA4E84">
              <w:rPr>
                <w:rFonts w:cs="Times New Roman"/>
                <w:bCs/>
                <w:color w:val="000000"/>
                <w:lang w:eastAsia="zh-CN"/>
              </w:rPr>
              <w:t>、不在同一相关市场、也不存在上下游关系的参与集中的经营者，在与交易有关的每个市场所占的份额均小于</w:t>
            </w:r>
            <w:r w:rsidR="00FA4E84" w:rsidRPr="00FA4E84">
              <w:rPr>
                <w:rFonts w:cs="Times New Roman"/>
                <w:bCs/>
                <w:color w:val="000000"/>
                <w:lang w:eastAsia="zh-CN"/>
              </w:rPr>
              <w:t>25%</w:t>
            </w:r>
            <w:r w:rsidR="00FA4E84" w:rsidRPr="00FA4E84">
              <w:rPr>
                <w:rFonts w:cs="Times New Roman"/>
                <w:bCs/>
                <w:color w:val="000000"/>
                <w:lang w:eastAsia="zh-CN"/>
              </w:rPr>
              <w:t>。</w:t>
            </w:r>
          </w:p>
        </w:tc>
      </w:tr>
      <w:tr w:rsidR="00FA4E84" w:rsidRPr="00FA4E84" w14:paraId="5C610D77" w14:textId="77777777" w:rsidTr="00900F68">
        <w:trPr>
          <w:trHeight w:val="870"/>
        </w:trPr>
        <w:tc>
          <w:tcPr>
            <w:tcW w:w="1940" w:type="dxa"/>
            <w:vMerge/>
            <w:shd w:val="clear" w:color="auto" w:fill="D9D9D9"/>
            <w:vAlign w:val="center"/>
          </w:tcPr>
          <w:p w14:paraId="56BA1D3D" w14:textId="77777777" w:rsidR="00FA4E84" w:rsidRPr="00FA4E84" w:rsidRDefault="00FA4E84" w:rsidP="00900F68">
            <w:pPr>
              <w:pStyle w:val="a3"/>
              <w:adjustRightInd w:val="0"/>
              <w:snapToGrid w:val="0"/>
              <w:spacing w:after="0"/>
              <w:rPr>
                <w:rFonts w:cs="Times New Roman"/>
                <w:bCs/>
                <w:color w:val="000000"/>
                <w:lang w:val="en-US" w:eastAsia="zh-CN"/>
              </w:rPr>
            </w:pPr>
          </w:p>
        </w:tc>
        <w:tc>
          <w:tcPr>
            <w:tcW w:w="7700" w:type="dxa"/>
            <w:gridSpan w:val="2"/>
            <w:vAlign w:val="center"/>
          </w:tcPr>
          <w:p w14:paraId="3D00A259" w14:textId="77777777" w:rsidR="00FA4E84" w:rsidRPr="00FA4E84" w:rsidRDefault="00FA4E84" w:rsidP="00900F68">
            <w:pPr>
              <w:pStyle w:val="a3"/>
              <w:adjustRightInd w:val="0"/>
              <w:snapToGrid w:val="0"/>
              <w:spacing w:after="0"/>
              <w:rPr>
                <w:rFonts w:cs="Times New Roman"/>
                <w:bCs/>
                <w:color w:val="000000"/>
                <w:lang w:val="en-US" w:eastAsia="zh-CN"/>
              </w:rPr>
            </w:pPr>
            <w:r w:rsidRPr="00FA4E84">
              <w:rPr>
                <w:rFonts w:cs="Times New Roman"/>
                <w:bCs/>
                <w:color w:val="000000"/>
                <w:lang w:eastAsia="zh-CN"/>
              </w:rPr>
              <w:sym w:font="Wingdings" w:char="00A8"/>
            </w:r>
            <w:r w:rsidRPr="00FA4E84">
              <w:rPr>
                <w:rFonts w:cs="Times New Roman"/>
                <w:bCs/>
                <w:color w:val="000000"/>
                <w:lang w:eastAsia="zh-CN"/>
              </w:rPr>
              <w:t xml:space="preserve"> 4</w:t>
            </w:r>
            <w:r w:rsidRPr="00FA4E84">
              <w:rPr>
                <w:rFonts w:cs="Times New Roman"/>
                <w:bCs/>
                <w:color w:val="000000"/>
                <w:lang w:eastAsia="zh-CN"/>
              </w:rPr>
              <w:t>、参与集中的经营者在中国境外设立合营企业，合营企业不在中国境内从事经济活动。</w:t>
            </w:r>
          </w:p>
        </w:tc>
      </w:tr>
      <w:tr w:rsidR="00FA4E84" w:rsidRPr="00FA4E84" w14:paraId="77669761" w14:textId="77777777" w:rsidTr="00900F68">
        <w:trPr>
          <w:trHeight w:val="264"/>
        </w:trPr>
        <w:tc>
          <w:tcPr>
            <w:tcW w:w="1940" w:type="dxa"/>
            <w:vMerge/>
            <w:shd w:val="clear" w:color="auto" w:fill="D9D9D9"/>
            <w:vAlign w:val="center"/>
          </w:tcPr>
          <w:p w14:paraId="124E85F8" w14:textId="77777777" w:rsidR="00FA4E84" w:rsidRPr="00FA4E84" w:rsidRDefault="00FA4E84" w:rsidP="00900F68">
            <w:pPr>
              <w:pStyle w:val="a3"/>
              <w:adjustRightInd w:val="0"/>
              <w:snapToGrid w:val="0"/>
              <w:spacing w:after="0"/>
              <w:rPr>
                <w:rFonts w:cs="Times New Roman"/>
                <w:bCs/>
                <w:color w:val="000000"/>
                <w:lang w:val="en-US" w:eastAsia="zh-CN"/>
              </w:rPr>
            </w:pPr>
          </w:p>
        </w:tc>
        <w:tc>
          <w:tcPr>
            <w:tcW w:w="7700" w:type="dxa"/>
            <w:gridSpan w:val="2"/>
            <w:vAlign w:val="center"/>
          </w:tcPr>
          <w:p w14:paraId="6976389C" w14:textId="77777777" w:rsidR="00FA4E84" w:rsidRPr="00FA4E84" w:rsidRDefault="00143F75" w:rsidP="00900F68">
            <w:pPr>
              <w:pStyle w:val="a3"/>
              <w:adjustRightInd w:val="0"/>
              <w:snapToGrid w:val="0"/>
              <w:spacing w:after="0"/>
              <w:rPr>
                <w:rFonts w:cs="Times New Roman"/>
                <w:bCs/>
                <w:color w:val="000000"/>
                <w:lang w:val="en-US" w:eastAsia="zh-CN"/>
              </w:rPr>
            </w:pPr>
            <w:r w:rsidRPr="00FA4E84">
              <w:rPr>
                <w:rFonts w:cs="Times New Roman"/>
                <w:bCs/>
                <w:color w:val="000000"/>
                <w:lang w:eastAsia="zh-CN"/>
              </w:rPr>
              <w:sym w:font="Wingdings" w:char="00FE"/>
            </w:r>
            <w:r w:rsidR="00FA4E84" w:rsidRPr="00FA4E84">
              <w:rPr>
                <w:rFonts w:cs="Times New Roman"/>
                <w:bCs/>
                <w:color w:val="000000"/>
                <w:lang w:eastAsia="zh-CN"/>
              </w:rPr>
              <w:t xml:space="preserve"> 5</w:t>
            </w:r>
            <w:r w:rsidR="00FA4E84" w:rsidRPr="00FA4E84">
              <w:rPr>
                <w:rFonts w:cs="Times New Roman"/>
                <w:bCs/>
                <w:color w:val="000000"/>
                <w:lang w:eastAsia="zh-CN"/>
              </w:rPr>
              <w:t>、参与集中的经营者收购境外企业股权或资产的，该境外企业不在中国境内从事经济活动。</w:t>
            </w:r>
          </w:p>
        </w:tc>
      </w:tr>
      <w:tr w:rsidR="00FA4E84" w:rsidRPr="00FA4E84" w14:paraId="0A00AD36" w14:textId="77777777" w:rsidTr="00900F68">
        <w:trPr>
          <w:trHeight w:val="345"/>
        </w:trPr>
        <w:tc>
          <w:tcPr>
            <w:tcW w:w="1940" w:type="dxa"/>
            <w:vMerge/>
            <w:shd w:val="clear" w:color="auto" w:fill="D9D9D9"/>
            <w:vAlign w:val="center"/>
          </w:tcPr>
          <w:p w14:paraId="35CA54DB" w14:textId="77777777" w:rsidR="00FA4E84" w:rsidRPr="00FA4E84" w:rsidRDefault="00FA4E84" w:rsidP="00900F68">
            <w:pPr>
              <w:pStyle w:val="a3"/>
              <w:adjustRightInd w:val="0"/>
              <w:snapToGrid w:val="0"/>
              <w:spacing w:after="0"/>
              <w:rPr>
                <w:rFonts w:cs="Times New Roman"/>
                <w:bCs/>
                <w:color w:val="000000"/>
                <w:lang w:val="en-US" w:eastAsia="zh-CN"/>
              </w:rPr>
            </w:pPr>
          </w:p>
        </w:tc>
        <w:tc>
          <w:tcPr>
            <w:tcW w:w="7700" w:type="dxa"/>
            <w:gridSpan w:val="2"/>
            <w:vAlign w:val="center"/>
          </w:tcPr>
          <w:p w14:paraId="2E262FB3" w14:textId="77777777" w:rsidR="00FA4E84" w:rsidRPr="00FA4E84" w:rsidRDefault="00FA4E84" w:rsidP="00900F68">
            <w:pPr>
              <w:pStyle w:val="a3"/>
              <w:adjustRightInd w:val="0"/>
              <w:snapToGrid w:val="0"/>
              <w:spacing w:after="0"/>
              <w:rPr>
                <w:rFonts w:cs="Times New Roman"/>
                <w:bCs/>
                <w:color w:val="000000"/>
                <w:lang w:val="en-US" w:eastAsia="zh-CN"/>
              </w:rPr>
            </w:pPr>
            <w:r w:rsidRPr="00FA4E84">
              <w:rPr>
                <w:rFonts w:cs="Times New Roman"/>
                <w:bCs/>
                <w:color w:val="000000"/>
                <w:lang w:eastAsia="zh-CN"/>
              </w:rPr>
              <w:sym w:font="Wingdings" w:char="00A8"/>
            </w:r>
            <w:r w:rsidRPr="00FA4E84">
              <w:rPr>
                <w:rFonts w:cs="Times New Roman"/>
                <w:bCs/>
                <w:color w:val="000000"/>
                <w:lang w:eastAsia="zh-CN"/>
              </w:rPr>
              <w:t xml:space="preserve"> 6</w:t>
            </w:r>
            <w:r w:rsidRPr="00FA4E84">
              <w:rPr>
                <w:rFonts w:cs="Times New Roman"/>
                <w:bCs/>
                <w:color w:val="000000"/>
                <w:lang w:eastAsia="zh-CN"/>
              </w:rPr>
              <w:t>、由两个以上的经营者共同控制的合营企业，通过集中被其中一个或一个以上经营者控制。</w:t>
            </w:r>
          </w:p>
        </w:tc>
      </w:tr>
      <w:tr w:rsidR="00FA4E84" w:rsidRPr="00FA4E84" w14:paraId="74D66872" w14:textId="77777777" w:rsidTr="00900F68">
        <w:trPr>
          <w:trHeight w:val="1250"/>
        </w:trPr>
        <w:tc>
          <w:tcPr>
            <w:tcW w:w="1940" w:type="dxa"/>
            <w:shd w:val="clear" w:color="auto" w:fill="D9D9D9"/>
            <w:vAlign w:val="center"/>
          </w:tcPr>
          <w:p w14:paraId="5701B985" w14:textId="77777777" w:rsidR="00FA4E84" w:rsidRPr="00FA4E84" w:rsidRDefault="00FA4E84" w:rsidP="00900F68">
            <w:pPr>
              <w:pStyle w:val="a3"/>
              <w:adjustRightInd w:val="0"/>
              <w:snapToGrid w:val="0"/>
              <w:spacing w:after="0"/>
              <w:rPr>
                <w:rFonts w:cs="Times New Roman"/>
                <w:bCs/>
                <w:color w:val="000000"/>
                <w:lang w:val="en-US" w:eastAsia="zh-CN"/>
              </w:rPr>
            </w:pPr>
            <w:r w:rsidRPr="00FA4E84">
              <w:rPr>
                <w:rFonts w:cs="Times New Roman"/>
                <w:bCs/>
                <w:color w:val="000000"/>
                <w:lang w:val="en-US" w:eastAsia="zh-CN"/>
              </w:rPr>
              <w:lastRenderedPageBreak/>
              <w:t>备注</w:t>
            </w:r>
          </w:p>
        </w:tc>
        <w:tc>
          <w:tcPr>
            <w:tcW w:w="7700" w:type="dxa"/>
            <w:gridSpan w:val="2"/>
            <w:vAlign w:val="center"/>
          </w:tcPr>
          <w:p w14:paraId="78371966" w14:textId="77777777" w:rsidR="00E36C45" w:rsidRPr="00404667" w:rsidRDefault="00143F75" w:rsidP="00404667">
            <w:pPr>
              <w:pStyle w:val="a3"/>
              <w:adjustRightInd w:val="0"/>
              <w:snapToGrid w:val="0"/>
              <w:spacing w:after="0"/>
              <w:rPr>
                <w:rFonts w:cs="Times New Roman"/>
                <w:bCs/>
                <w:color w:val="000000"/>
                <w:lang w:val="en-US" w:eastAsia="zh-CN"/>
              </w:rPr>
            </w:pPr>
            <w:r>
              <w:rPr>
                <w:rFonts w:cs="Times New Roman" w:hint="eastAsia"/>
                <w:bCs/>
                <w:color w:val="000000"/>
                <w:lang w:val="en-US" w:eastAsia="zh-CN"/>
              </w:rPr>
              <w:t>不适用</w:t>
            </w:r>
          </w:p>
        </w:tc>
      </w:tr>
    </w:tbl>
    <w:p w14:paraId="6071CA22" w14:textId="77777777" w:rsidR="00D31B5D" w:rsidRPr="00FA4E84" w:rsidRDefault="00D31B5D"/>
    <w:sectPr w:rsidR="00D31B5D" w:rsidRPr="00FA4E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08C48" w14:textId="77777777" w:rsidR="00470F80" w:rsidRDefault="00470F80" w:rsidP="00685AD3">
      <w:pPr>
        <w:spacing w:after="0"/>
      </w:pPr>
      <w:r>
        <w:separator/>
      </w:r>
    </w:p>
  </w:endnote>
  <w:endnote w:type="continuationSeparator" w:id="0">
    <w:p w14:paraId="04AACFD0" w14:textId="77777777" w:rsidR="00470F80" w:rsidRDefault="00470F80" w:rsidP="00685A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F50BE" w14:textId="77777777" w:rsidR="00470F80" w:rsidRDefault="00470F80" w:rsidP="00685AD3">
      <w:pPr>
        <w:spacing w:after="0"/>
      </w:pPr>
      <w:r>
        <w:separator/>
      </w:r>
    </w:p>
  </w:footnote>
  <w:footnote w:type="continuationSeparator" w:id="0">
    <w:p w14:paraId="55783925" w14:textId="77777777" w:rsidR="00470F80" w:rsidRDefault="00470F80" w:rsidP="00685AD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E84"/>
    <w:rsid w:val="000B595D"/>
    <w:rsid w:val="00143F75"/>
    <w:rsid w:val="001A75EA"/>
    <w:rsid w:val="001B1E2E"/>
    <w:rsid w:val="001F71D0"/>
    <w:rsid w:val="002A0A2A"/>
    <w:rsid w:val="00316794"/>
    <w:rsid w:val="003228F7"/>
    <w:rsid w:val="003743DF"/>
    <w:rsid w:val="00404667"/>
    <w:rsid w:val="00470F80"/>
    <w:rsid w:val="005326D0"/>
    <w:rsid w:val="00640637"/>
    <w:rsid w:val="00685AD3"/>
    <w:rsid w:val="006D2985"/>
    <w:rsid w:val="006F1CBF"/>
    <w:rsid w:val="0083387B"/>
    <w:rsid w:val="008477CB"/>
    <w:rsid w:val="00895A6D"/>
    <w:rsid w:val="008C348F"/>
    <w:rsid w:val="009E5B0E"/>
    <w:rsid w:val="00A14D50"/>
    <w:rsid w:val="00A16177"/>
    <w:rsid w:val="00D31B5D"/>
    <w:rsid w:val="00DE66AB"/>
    <w:rsid w:val="00E36C45"/>
    <w:rsid w:val="00EB4588"/>
    <w:rsid w:val="00EC187C"/>
    <w:rsid w:val="00F83FFE"/>
    <w:rsid w:val="00FA4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0C40B"/>
  <w15:chartTrackingRefBased/>
  <w15:docId w15:val="{67703FDC-CC12-4091-87C2-550B21C3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E84"/>
    <w:pPr>
      <w:spacing w:after="240"/>
      <w:jc w:val="both"/>
    </w:pPr>
    <w:rPr>
      <w:rFonts w:ascii="Times New Roman" w:eastAsia="宋体" w:hAnsi="Times New Roman" w:cs="Times New Roman"/>
      <w:kern w:val="0"/>
      <w:sz w:val="24"/>
      <w:szCs w:val="24"/>
      <w:lang w:val="en-GB" w:bidi="ar-A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A4E84"/>
    <w:rPr>
      <w:rFonts w:cs="Simplified Arabic"/>
      <w:lang w:eastAsia="en-GB"/>
    </w:rPr>
  </w:style>
  <w:style w:type="character" w:customStyle="1" w:styleId="a4">
    <w:name w:val="正文文本 字符"/>
    <w:basedOn w:val="a0"/>
    <w:link w:val="a3"/>
    <w:rsid w:val="00FA4E84"/>
    <w:rPr>
      <w:rFonts w:ascii="Times New Roman" w:eastAsia="宋体" w:hAnsi="Times New Roman" w:cs="Simplified Arabic"/>
      <w:kern w:val="0"/>
      <w:sz w:val="24"/>
      <w:szCs w:val="24"/>
      <w:lang w:val="en-GB" w:eastAsia="en-GB" w:bidi="ar-AE"/>
    </w:rPr>
  </w:style>
  <w:style w:type="paragraph" w:styleId="a5">
    <w:name w:val="header"/>
    <w:basedOn w:val="a"/>
    <w:link w:val="a6"/>
    <w:uiPriority w:val="99"/>
    <w:unhideWhenUsed/>
    <w:rsid w:val="00685AD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85AD3"/>
    <w:rPr>
      <w:rFonts w:ascii="Times New Roman" w:eastAsia="宋体" w:hAnsi="Times New Roman" w:cs="Times New Roman"/>
      <w:kern w:val="0"/>
      <w:sz w:val="18"/>
      <w:szCs w:val="18"/>
      <w:lang w:val="en-GB" w:bidi="ar-AE"/>
    </w:rPr>
  </w:style>
  <w:style w:type="paragraph" w:styleId="a7">
    <w:name w:val="footer"/>
    <w:basedOn w:val="a"/>
    <w:link w:val="a8"/>
    <w:uiPriority w:val="99"/>
    <w:unhideWhenUsed/>
    <w:rsid w:val="00685AD3"/>
    <w:pPr>
      <w:tabs>
        <w:tab w:val="center" w:pos="4153"/>
        <w:tab w:val="right" w:pos="8306"/>
      </w:tabs>
      <w:snapToGrid w:val="0"/>
      <w:jc w:val="left"/>
    </w:pPr>
    <w:rPr>
      <w:sz w:val="18"/>
      <w:szCs w:val="18"/>
    </w:rPr>
  </w:style>
  <w:style w:type="character" w:customStyle="1" w:styleId="a8">
    <w:name w:val="页脚 字符"/>
    <w:basedOn w:val="a0"/>
    <w:link w:val="a7"/>
    <w:uiPriority w:val="99"/>
    <w:rsid w:val="00685AD3"/>
    <w:rPr>
      <w:rFonts w:ascii="Times New Roman" w:eastAsia="宋体" w:hAnsi="Times New Roman" w:cs="Times New Roman"/>
      <w:kern w:val="0"/>
      <w:sz w:val="18"/>
      <w:szCs w:val="18"/>
      <w:lang w:val="en-GB" w:bidi="ar-AE"/>
    </w:rPr>
  </w:style>
  <w:style w:type="paragraph" w:styleId="a9">
    <w:name w:val="Balloon Text"/>
    <w:basedOn w:val="a"/>
    <w:link w:val="aa"/>
    <w:uiPriority w:val="99"/>
    <w:semiHidden/>
    <w:unhideWhenUsed/>
    <w:rsid w:val="00685AD3"/>
    <w:pPr>
      <w:spacing w:after="0"/>
    </w:pPr>
    <w:rPr>
      <w:sz w:val="18"/>
      <w:szCs w:val="18"/>
    </w:rPr>
  </w:style>
  <w:style w:type="character" w:customStyle="1" w:styleId="aa">
    <w:name w:val="批注框文本 字符"/>
    <w:basedOn w:val="a0"/>
    <w:link w:val="a9"/>
    <w:uiPriority w:val="99"/>
    <w:semiHidden/>
    <w:rsid w:val="00685AD3"/>
    <w:rPr>
      <w:rFonts w:ascii="Times New Roman" w:eastAsia="宋体" w:hAnsi="Times New Roman" w:cs="Times New Roman"/>
      <w:kern w:val="0"/>
      <w:sz w:val="18"/>
      <w:szCs w:val="18"/>
      <w:lang w:val="en-GB" w:bidi="ar-AE"/>
    </w:rPr>
  </w:style>
  <w:style w:type="paragraph" w:styleId="ab">
    <w:name w:val="Revision"/>
    <w:hidden/>
    <w:uiPriority w:val="99"/>
    <w:semiHidden/>
    <w:rsid w:val="001B1E2E"/>
    <w:rPr>
      <w:rFonts w:ascii="Times New Roman" w:eastAsia="宋体" w:hAnsi="Times New Roman" w:cs="Times New Roman"/>
      <w:kern w:val="0"/>
      <w:sz w:val="24"/>
      <w:szCs w:val="24"/>
      <w:lang w:val="en-GB"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Fangda</dc:creator>
  <cp:keywords/>
  <dc:description/>
  <cp:lastModifiedBy>Fangda</cp:lastModifiedBy>
  <cp:revision>10</cp:revision>
  <dcterms:created xsi:type="dcterms:W3CDTF">2023-03-06T03:25:00Z</dcterms:created>
  <dcterms:modified xsi:type="dcterms:W3CDTF">2024-04-24T03:24:00Z</dcterms:modified>
</cp:coreProperties>
</file>