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9555" w14:textId="1DCF6F1D" w:rsidR="00745446" w:rsidRDefault="00745446" w:rsidP="00745446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58"/>
        <w:gridCol w:w="5696"/>
      </w:tblGrid>
      <w:tr w:rsidR="00745446" w14:paraId="0FE3E9BD" w14:textId="77777777" w:rsidTr="00CA231B">
        <w:trPr>
          <w:trHeight w:val="926"/>
        </w:trPr>
        <w:tc>
          <w:tcPr>
            <w:tcW w:w="2127" w:type="dxa"/>
            <w:shd w:val="clear" w:color="auto" w:fill="D9D9D9"/>
            <w:vAlign w:val="center"/>
          </w:tcPr>
          <w:p w14:paraId="50B1AD87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spellStart"/>
            <w:r w:rsidRPr="00682698">
              <w:rPr>
                <w:rFonts w:ascii="宋体" w:hAnsi="宋体" w:cs="宋体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0D4AF69F" w14:textId="594B8181" w:rsidR="00745446" w:rsidRPr="00682698" w:rsidRDefault="00745446" w:rsidP="001F667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印度尼西亚国有矿业产业公司收购淡水河谷印尼有限公司股权案</w:t>
            </w:r>
          </w:p>
        </w:tc>
      </w:tr>
      <w:tr w:rsidR="00745446" w14:paraId="341DA8DD" w14:textId="77777777" w:rsidTr="00CA231B">
        <w:trPr>
          <w:trHeight w:val="1391"/>
        </w:trPr>
        <w:tc>
          <w:tcPr>
            <w:tcW w:w="2127" w:type="dxa"/>
            <w:shd w:val="clear" w:color="auto" w:fill="D9D9D9"/>
            <w:vAlign w:val="center"/>
          </w:tcPr>
          <w:p w14:paraId="358A9F13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654" w:type="dxa"/>
            <w:gridSpan w:val="2"/>
            <w:vAlign w:val="center"/>
          </w:tcPr>
          <w:p w14:paraId="56707AA3" w14:textId="231B4FC4" w:rsidR="00745446" w:rsidRPr="00682698" w:rsidRDefault="00745446" w:rsidP="001F667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印度尼西亚国有矿业产业公司（</w:t>
            </w:r>
            <w:r w:rsidRPr="00FC062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“印国矿”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）与淡水河谷加拿大有限公司（</w:t>
            </w:r>
            <w:r w:rsidRPr="00FC062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“淡水河谷加拿大”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）、住友金属矿山株式会社（</w:t>
            </w:r>
            <w:r w:rsidRPr="00FC062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“住友”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）签署协议，印国矿</w:t>
            </w:r>
            <w:r w:rsidR="00CF3ED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拟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收购淡水河谷印尼有限公司（</w:t>
            </w:r>
            <w:r w:rsidRPr="00FC062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“淡水河谷印尼”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）约14%的股权（</w:t>
            </w:r>
            <w:r w:rsidRPr="00FC0621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“本次交易”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）。淡水河谷印尼主要从事镍的开采和高冰镍的生产。交易前，淡水河谷加拿大及其子公司</w:t>
            </w:r>
            <w:r w:rsidR="006D7E7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淡水河谷日本有限公司</w:t>
            </w:r>
            <w:r w:rsidRPr="00682698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合计持有淡水河谷印尼</w:t>
            </w:r>
            <w:r w:rsidRPr="00682698">
              <w:rPr>
                <w:rFonts w:ascii="宋体" w:eastAsia="宋体" w:hAnsi="宋体" w:cs="Times New Roman"/>
                <w:sz w:val="24"/>
                <w:szCs w:val="24"/>
              </w:rPr>
              <w:t>44.33%</w:t>
            </w: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的股权，单独控制淡水河谷印尼。交易后，印国矿和淡水河谷加拿大将分别持有淡水河谷印尼约</w:t>
            </w:r>
            <w:r w:rsidRPr="00682698">
              <w:rPr>
                <w:rFonts w:ascii="宋体" w:eastAsia="宋体" w:hAnsi="宋体" w:cs="Times New Roman"/>
                <w:sz w:val="24"/>
                <w:szCs w:val="24"/>
              </w:rPr>
              <w:t>34.</w:t>
            </w:r>
            <w:r w:rsidR="006D7E71">
              <w:rPr>
                <w:rFonts w:ascii="宋体" w:eastAsia="宋体" w:hAnsi="宋体" w:cs="Times New Roman" w:hint="eastAsia"/>
                <w:sz w:val="24"/>
                <w:szCs w:val="24"/>
              </w:rPr>
              <w:t>0%-34.41%</w:t>
            </w: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和</w:t>
            </w:r>
            <w:r w:rsidRPr="00682698">
              <w:rPr>
                <w:rFonts w:ascii="宋体" w:eastAsia="宋体" w:hAnsi="宋体" w:cs="Times New Roman"/>
                <w:sz w:val="24"/>
                <w:szCs w:val="24"/>
              </w:rPr>
              <w:t>33.</w:t>
            </w:r>
            <w:r w:rsidR="006D7E71">
              <w:rPr>
                <w:rFonts w:ascii="宋体" w:eastAsia="宋体" w:hAnsi="宋体" w:cs="Times New Roman" w:hint="eastAsia"/>
                <w:sz w:val="24"/>
                <w:szCs w:val="24"/>
              </w:rPr>
              <w:t>88%-34.29</w:t>
            </w:r>
            <w:r w:rsidRPr="00682698">
              <w:rPr>
                <w:rFonts w:ascii="宋体" w:eastAsia="宋体" w:hAnsi="宋体" w:cs="Times New Roman"/>
                <w:sz w:val="24"/>
                <w:szCs w:val="24"/>
              </w:rPr>
              <w:t>%</w:t>
            </w: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的股权，并共同控制淡水河谷印尼。</w:t>
            </w:r>
          </w:p>
        </w:tc>
      </w:tr>
      <w:tr w:rsidR="00745446" w14:paraId="6A89F2AC" w14:textId="77777777" w:rsidTr="00CA231B">
        <w:trPr>
          <w:trHeight w:val="942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70E40478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682698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958" w:type="dxa"/>
            <w:vAlign w:val="center"/>
          </w:tcPr>
          <w:p w14:paraId="768C55CB" w14:textId="07D1D509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1.</w:t>
            </w:r>
            <w:proofErr w:type="spellStart"/>
            <w:r w:rsidRPr="00682698">
              <w:rPr>
                <w:rFonts w:ascii="宋体" w:hAnsi="宋体" w:cs="宋体" w:hint="eastAsia"/>
                <w:bCs/>
                <w:color w:val="000000"/>
              </w:rPr>
              <w:t>印国矿</w:t>
            </w:r>
            <w:proofErr w:type="spellEnd"/>
          </w:p>
        </w:tc>
        <w:tc>
          <w:tcPr>
            <w:tcW w:w="5696" w:type="dxa"/>
            <w:vAlign w:val="center"/>
          </w:tcPr>
          <w:p w14:paraId="63E21879" w14:textId="7E733735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印国矿成立于印度尼西亚，</w:t>
            </w:r>
            <w:r w:rsidR="006D7E71">
              <w:rPr>
                <w:rFonts w:ascii="宋体" w:hAnsi="宋体" w:cs="宋体" w:hint="eastAsia"/>
                <w:bCs/>
                <w:color w:val="000000"/>
                <w:lang w:eastAsia="zh-CN"/>
              </w:rPr>
              <w:t>于2023年3月21日</w:t>
            </w:r>
            <w:r w:rsidR="00097E09" w:rsidRPr="00AB016C">
              <w:rPr>
                <w:rFonts w:hint="eastAsia"/>
                <w:lang w:eastAsia="zh-CN"/>
              </w:rPr>
              <w:t>获得法律地位</w:t>
            </w:r>
            <w:r w:rsidR="006D7E71">
              <w:rPr>
                <w:rFonts w:ascii="宋体" w:hAnsi="宋体" w:cs="宋体" w:hint="eastAsia"/>
                <w:bCs/>
                <w:color w:val="000000"/>
                <w:lang w:eastAsia="zh-CN"/>
              </w:rPr>
              <w:t>，</w:t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主要业务为不同种类金属的开采和加工</w:t>
            </w:r>
            <w:r w:rsidR="00DA7306">
              <w:rPr>
                <w:rFonts w:ascii="宋体" w:hAnsi="宋体" w:cs="宋体" w:hint="eastAsia"/>
                <w:bCs/>
                <w:color w:val="000000"/>
                <w:lang w:eastAsia="zh-CN"/>
              </w:rPr>
              <w:t>，包括镍、金、铝土矿等</w:t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  <w:p w14:paraId="5BB93097" w14:textId="69CFCB72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印国矿</w:t>
            </w:r>
            <w:r w:rsidR="00DA7306">
              <w:rPr>
                <w:rFonts w:ascii="宋体" w:hAnsi="宋体" w:cs="宋体" w:hint="eastAsia"/>
                <w:bCs/>
                <w:color w:val="000000"/>
                <w:lang w:eastAsia="zh-CN"/>
              </w:rPr>
              <w:t>的</w:t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最终控制人</w:t>
            </w:r>
            <w:r w:rsidR="00DA7306">
              <w:rPr>
                <w:rFonts w:ascii="宋体" w:hAnsi="宋体" w:cs="宋体" w:hint="eastAsia"/>
                <w:bCs/>
                <w:color w:val="000000"/>
                <w:lang w:eastAsia="zh-CN"/>
              </w:rPr>
              <w:t>为印度尼西亚政府</w:t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745446" w14:paraId="786462C6" w14:textId="77777777" w:rsidTr="00CA231B">
        <w:trPr>
          <w:trHeight w:val="984"/>
        </w:trPr>
        <w:tc>
          <w:tcPr>
            <w:tcW w:w="2127" w:type="dxa"/>
            <w:vMerge/>
            <w:shd w:val="clear" w:color="auto" w:fill="D9D9D9"/>
            <w:vAlign w:val="center"/>
          </w:tcPr>
          <w:p w14:paraId="492FA286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 w14:paraId="5B0C09BA" w14:textId="12065F04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proofErr w:type="spellStart"/>
            <w:r w:rsidRPr="00682698">
              <w:rPr>
                <w:rFonts w:ascii="宋体" w:hAnsi="宋体" w:cs="Times New Roman" w:hint="eastAsia"/>
              </w:rPr>
              <w:t>淡水河谷加拿大</w:t>
            </w:r>
            <w:proofErr w:type="spellEnd"/>
          </w:p>
        </w:tc>
        <w:tc>
          <w:tcPr>
            <w:tcW w:w="5696" w:type="dxa"/>
            <w:vAlign w:val="center"/>
          </w:tcPr>
          <w:p w14:paraId="5233893A" w14:textId="41ED7E5B" w:rsidR="00882347" w:rsidRPr="00682698" w:rsidRDefault="00882347" w:rsidP="001F6679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淡水河谷加拿大于2016年1月1日成立于加拿大，主要业务为镍的开采、加工和精炼。</w:t>
            </w:r>
          </w:p>
          <w:p w14:paraId="199B5DA6" w14:textId="13E50FF0" w:rsidR="00745446" w:rsidRPr="00682698" w:rsidRDefault="00882347" w:rsidP="001F6679">
            <w:pPr>
              <w:adjustRightInd w:val="0"/>
              <w:snapToGrid w:val="0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淡水河谷加拿大的最终控制人为淡水河谷股份有限公司</w:t>
            </w:r>
            <w:r w:rsidR="008B2D9F">
              <w:rPr>
                <w:rFonts w:ascii="宋体" w:eastAsia="宋体" w:hAnsi="宋体" w:cs="Times New Roman" w:hint="eastAsia"/>
                <w:sz w:val="24"/>
                <w:szCs w:val="24"/>
              </w:rPr>
              <w:t>（“淡水河谷”）</w:t>
            </w:r>
            <w:r w:rsidRPr="00682698">
              <w:rPr>
                <w:rFonts w:ascii="宋体" w:eastAsia="宋体" w:hAnsi="宋体" w:cs="Times New Roman" w:hint="eastAsia"/>
                <w:sz w:val="24"/>
                <w:szCs w:val="24"/>
              </w:rPr>
              <w:t>，主要业务包括</w:t>
            </w:r>
            <w:r w:rsidR="00DA7306">
              <w:rPr>
                <w:rFonts w:ascii="宋体" w:eastAsia="宋体" w:hAnsi="宋体" w:cs="Times New Roman" w:hint="eastAsia"/>
                <w:sz w:val="24"/>
                <w:szCs w:val="24"/>
              </w:rPr>
              <w:t>铁</w:t>
            </w:r>
            <w:r w:rsidR="008B2D9F">
              <w:rPr>
                <w:rFonts w:ascii="宋体" w:eastAsia="宋体" w:hAnsi="宋体" w:cs="Times New Roman" w:hint="eastAsia"/>
                <w:sz w:val="24"/>
                <w:szCs w:val="24"/>
              </w:rPr>
              <w:t>矿石</w:t>
            </w:r>
            <w:r w:rsidR="00DA7306">
              <w:rPr>
                <w:rFonts w:ascii="宋体" w:eastAsia="宋体" w:hAnsi="宋体" w:cs="Times New Roman" w:hint="eastAsia"/>
                <w:sz w:val="24"/>
                <w:szCs w:val="24"/>
              </w:rPr>
              <w:t>、镍、铜</w:t>
            </w:r>
            <w:r w:rsidR="008B2D9F">
              <w:rPr>
                <w:rFonts w:ascii="宋体" w:eastAsia="宋体" w:hAnsi="宋体" w:cs="Times New Roman" w:hint="eastAsia"/>
                <w:sz w:val="24"/>
                <w:szCs w:val="24"/>
              </w:rPr>
              <w:t>。淡水河谷还通过铁矿石生产铁矿石球团，并在镍和铜的生产中生产副产品</w:t>
            </w:r>
            <w:r w:rsidR="008B2D9F" w:rsidRPr="008B2D9F">
              <w:rPr>
                <w:rFonts w:ascii="宋体" w:eastAsia="宋体" w:hAnsi="宋体" w:cs="Times New Roman" w:hint="eastAsia"/>
                <w:sz w:val="24"/>
                <w:szCs w:val="24"/>
              </w:rPr>
              <w:t>（如铂族金属、金、银和钴）。此外，淡水河谷还拥有与其主营业务相关的物流和能源业务。</w:t>
            </w:r>
          </w:p>
        </w:tc>
      </w:tr>
      <w:tr w:rsidR="00745446" w14:paraId="79561B77" w14:textId="77777777" w:rsidTr="00CA231B">
        <w:trPr>
          <w:trHeight w:val="279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3E2E2BFC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654" w:type="dxa"/>
            <w:gridSpan w:val="2"/>
            <w:vAlign w:val="center"/>
          </w:tcPr>
          <w:p w14:paraId="0C5A2550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745446" w14:paraId="10AB32D2" w14:textId="77777777" w:rsidTr="00CA231B">
        <w:trPr>
          <w:trHeight w:val="330"/>
        </w:trPr>
        <w:tc>
          <w:tcPr>
            <w:tcW w:w="2127" w:type="dxa"/>
            <w:vMerge/>
            <w:shd w:val="clear" w:color="auto" w:fill="D9D9D9"/>
            <w:vAlign w:val="center"/>
          </w:tcPr>
          <w:p w14:paraId="7768A747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04E64329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745446" w14:paraId="7D8AC9C8" w14:textId="77777777" w:rsidTr="00CA231B">
        <w:trPr>
          <w:trHeight w:val="285"/>
        </w:trPr>
        <w:tc>
          <w:tcPr>
            <w:tcW w:w="2127" w:type="dxa"/>
            <w:vMerge/>
            <w:shd w:val="clear" w:color="auto" w:fill="D9D9D9"/>
            <w:vAlign w:val="center"/>
          </w:tcPr>
          <w:p w14:paraId="12C95B3D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1BDE86F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745446" w14:paraId="51203F7F" w14:textId="77777777" w:rsidTr="00CA231B">
        <w:trPr>
          <w:trHeight w:val="870"/>
        </w:trPr>
        <w:tc>
          <w:tcPr>
            <w:tcW w:w="2127" w:type="dxa"/>
            <w:vMerge/>
            <w:shd w:val="clear" w:color="auto" w:fill="D9D9D9"/>
            <w:vAlign w:val="center"/>
          </w:tcPr>
          <w:p w14:paraId="506BE73B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69299B9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745446" w14:paraId="2549734D" w14:textId="77777777" w:rsidTr="00CA231B">
        <w:trPr>
          <w:trHeight w:val="264"/>
        </w:trPr>
        <w:tc>
          <w:tcPr>
            <w:tcW w:w="2127" w:type="dxa"/>
            <w:vMerge/>
            <w:shd w:val="clear" w:color="auto" w:fill="D9D9D9"/>
            <w:vAlign w:val="center"/>
          </w:tcPr>
          <w:p w14:paraId="5D30DD8D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36B05213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745446" w14:paraId="131BA1C4" w14:textId="77777777" w:rsidTr="00CA231B">
        <w:trPr>
          <w:trHeight w:val="345"/>
        </w:trPr>
        <w:tc>
          <w:tcPr>
            <w:tcW w:w="2127" w:type="dxa"/>
            <w:vMerge/>
            <w:shd w:val="clear" w:color="auto" w:fill="D9D9D9"/>
            <w:vAlign w:val="center"/>
          </w:tcPr>
          <w:p w14:paraId="0DD926FE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EB9A5D4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682698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745446" w14:paraId="731727F5" w14:textId="77777777" w:rsidTr="00CA231B">
        <w:trPr>
          <w:trHeight w:val="1250"/>
        </w:trPr>
        <w:tc>
          <w:tcPr>
            <w:tcW w:w="2127" w:type="dxa"/>
            <w:shd w:val="clear" w:color="auto" w:fill="D9D9D9"/>
            <w:vAlign w:val="center"/>
          </w:tcPr>
          <w:p w14:paraId="26199753" w14:textId="77777777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682698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654" w:type="dxa"/>
            <w:gridSpan w:val="2"/>
            <w:vAlign w:val="center"/>
          </w:tcPr>
          <w:p w14:paraId="68B2A31D" w14:textId="12F7FBF3" w:rsidR="00882347" w:rsidRPr="00682698" w:rsidRDefault="00745446" w:rsidP="00882347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 w:rsidRPr="00682698">
              <w:rPr>
                <w:rFonts w:ascii="宋体" w:hAnsi="宋体" w:cs="宋体" w:hint="eastAsia"/>
                <w:b/>
                <w:color w:val="000000"/>
                <w:lang w:eastAsia="zh-CN"/>
              </w:rPr>
              <w:t>横向重叠：</w:t>
            </w: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276"/>
              <w:gridCol w:w="4846"/>
            </w:tblGrid>
            <w:tr w:rsidR="00882347" w:rsidRPr="00682698" w14:paraId="6D650752" w14:textId="77777777" w:rsidTr="00B93D1A">
              <w:tc>
                <w:tcPr>
                  <w:tcW w:w="1306" w:type="dxa"/>
                </w:tcPr>
                <w:p w14:paraId="282885C6" w14:textId="6DCDC298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相关商品市场</w:t>
                  </w:r>
                </w:p>
              </w:tc>
              <w:tc>
                <w:tcPr>
                  <w:tcW w:w="1276" w:type="dxa"/>
                </w:tcPr>
                <w:p w14:paraId="35A0C889" w14:textId="0917784A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4846" w:type="dxa"/>
                </w:tcPr>
                <w:p w14:paraId="7439EDCF" w14:textId="4DB0C6D9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  <w:t>2023年市场份额</w:t>
                  </w:r>
                </w:p>
              </w:tc>
            </w:tr>
            <w:tr w:rsidR="00097E09" w:rsidRPr="00682698" w14:paraId="1CF99B02" w14:textId="77777777" w:rsidTr="00B93D1A">
              <w:trPr>
                <w:trHeight w:val="1393"/>
              </w:trPr>
              <w:tc>
                <w:tcPr>
                  <w:tcW w:w="1306" w:type="dxa"/>
                  <w:vMerge w:val="restart"/>
                </w:tcPr>
                <w:p w14:paraId="57D6CEFF" w14:textId="45193960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lastRenderedPageBreak/>
                    <w:t>镍矿石市场</w:t>
                  </w:r>
                </w:p>
              </w:tc>
              <w:tc>
                <w:tcPr>
                  <w:tcW w:w="1276" w:type="dxa"/>
                </w:tcPr>
                <w:p w14:paraId="66CFF05D" w14:textId="3E30402E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4846" w:type="dxa"/>
                </w:tcPr>
                <w:p w14:paraId="524516EC" w14:textId="7FD94BA4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</w:t>
                  </w:r>
                  <w:r w:rsidR="00CD5111"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5</w:t>
                  </w:r>
                  <w:r w:rsidR="00CD5111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-10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%</w:t>
                  </w:r>
                </w:p>
                <w:p w14:paraId="23B5B6C2" w14:textId="4FEB8567" w:rsidR="00233ED3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</w:t>
                  </w:r>
                  <w:r w:rsidR="00CD5111"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0-5%</w:t>
                  </w:r>
                </w:p>
                <w:p w14:paraId="263366C0" w14:textId="19698F18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各方合计：10</w:t>
                  </w:r>
                  <w:r w:rsidR="00CD5111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-15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%</w:t>
                  </w:r>
                </w:p>
              </w:tc>
            </w:tr>
            <w:tr w:rsidR="00097E09" w:rsidRPr="00682698" w14:paraId="3D205C79" w14:textId="77777777" w:rsidTr="00B93D1A">
              <w:trPr>
                <w:trHeight w:val="159"/>
              </w:trPr>
              <w:tc>
                <w:tcPr>
                  <w:tcW w:w="1306" w:type="dxa"/>
                  <w:vMerge/>
                </w:tcPr>
                <w:p w14:paraId="75E0A42F" w14:textId="77777777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079F34" w14:textId="4085684D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4846" w:type="dxa"/>
                </w:tcPr>
                <w:p w14:paraId="6808B8E9" w14:textId="659680D3" w:rsidR="00097E09" w:rsidRDefault="00CD5111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0</w:t>
                  </w:r>
                </w:p>
                <w:p w14:paraId="026BEF85" w14:textId="4EF111B3" w:rsidR="00CD5111" w:rsidRDefault="00CD5111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0</w:t>
                  </w:r>
                </w:p>
                <w:p w14:paraId="2D7358BF" w14:textId="04BC2EA8" w:rsidR="00CD5111" w:rsidRPr="00682698" w:rsidRDefault="00CD5111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0</w:t>
                  </w:r>
                </w:p>
              </w:tc>
            </w:tr>
            <w:tr w:rsidR="00097E09" w:rsidRPr="00682698" w14:paraId="249B65A2" w14:textId="77777777" w:rsidTr="00B93D1A">
              <w:tc>
                <w:tcPr>
                  <w:tcW w:w="1306" w:type="dxa"/>
                  <w:vMerge w:val="restart"/>
                </w:tcPr>
                <w:p w14:paraId="2EBC6B9A" w14:textId="402C5127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镍铁市场</w:t>
                  </w:r>
                </w:p>
              </w:tc>
              <w:tc>
                <w:tcPr>
                  <w:tcW w:w="1276" w:type="dxa"/>
                </w:tcPr>
                <w:p w14:paraId="0D78BE8D" w14:textId="0A71338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4846" w:type="dxa"/>
                </w:tcPr>
                <w:p w14:paraId="6C32E543" w14:textId="1DD885B2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印国矿：0-5%</w:t>
                  </w:r>
                </w:p>
                <w:p w14:paraId="77922476" w14:textId="7BDFDDE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淡水河谷加拿大（包括淡水河谷印尼）：0-5%</w:t>
                  </w:r>
                </w:p>
                <w:p w14:paraId="3C8DBD13" w14:textId="133174D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各方合计：0-5%</w:t>
                  </w:r>
                </w:p>
              </w:tc>
            </w:tr>
            <w:tr w:rsidR="00097E09" w:rsidRPr="00682698" w14:paraId="5AE5EC45" w14:textId="77777777" w:rsidTr="00B93D1A">
              <w:tc>
                <w:tcPr>
                  <w:tcW w:w="1306" w:type="dxa"/>
                  <w:vMerge/>
                </w:tcPr>
                <w:p w14:paraId="2FB1E57A" w14:textId="77777777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6BD3B08" w14:textId="06FC5DAE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4846" w:type="dxa"/>
                </w:tcPr>
                <w:p w14:paraId="3F435767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印国矿：0-5%</w:t>
                  </w:r>
                </w:p>
                <w:p w14:paraId="5E5825A9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淡水河谷加拿大（包括淡水河谷印尼）：0-5%</w:t>
                  </w:r>
                </w:p>
                <w:p w14:paraId="348E8736" w14:textId="11B9D457" w:rsidR="00097E09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各方合计：0-5%</w:t>
                  </w:r>
                </w:p>
              </w:tc>
            </w:tr>
          </w:tbl>
          <w:p w14:paraId="7896C89F" w14:textId="77777777" w:rsidR="00882347" w:rsidRPr="00682698" w:rsidRDefault="00882347" w:rsidP="00882347">
            <w:pPr>
              <w:adjustRightInd w:val="0"/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B9B749F" w14:textId="5F29BDD6" w:rsidR="00882347" w:rsidRPr="00682698" w:rsidRDefault="00882347" w:rsidP="00882347">
            <w:pPr>
              <w:adjustRightInd w:val="0"/>
              <w:snapToGrid w:val="0"/>
              <w:spacing w:line="30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8269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纵向关联：</w:t>
            </w: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1417"/>
              <w:gridCol w:w="4279"/>
            </w:tblGrid>
            <w:tr w:rsidR="00882347" w:rsidRPr="00682698" w14:paraId="053EC265" w14:textId="77777777" w:rsidTr="00B93D1A">
              <w:tc>
                <w:tcPr>
                  <w:tcW w:w="1732" w:type="dxa"/>
                </w:tcPr>
                <w:p w14:paraId="25D5D127" w14:textId="3CFC9643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相关商品市场</w:t>
                  </w:r>
                </w:p>
              </w:tc>
              <w:tc>
                <w:tcPr>
                  <w:tcW w:w="1417" w:type="dxa"/>
                </w:tcPr>
                <w:p w14:paraId="16C59365" w14:textId="202C864C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4279" w:type="dxa"/>
                </w:tcPr>
                <w:p w14:paraId="34B45572" w14:textId="259E8651" w:rsidR="00882347" w:rsidRPr="005B1CA7" w:rsidRDefault="00882347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5B1CA7"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  <w:t>2023年市场份额</w:t>
                  </w:r>
                </w:p>
              </w:tc>
            </w:tr>
            <w:tr w:rsidR="00097E09" w:rsidRPr="00682698" w14:paraId="6C96D619" w14:textId="77777777" w:rsidTr="00B93D1A">
              <w:trPr>
                <w:trHeight w:val="2964"/>
              </w:trPr>
              <w:tc>
                <w:tcPr>
                  <w:tcW w:w="1732" w:type="dxa"/>
                  <w:vMerge w:val="restart"/>
                </w:tcPr>
                <w:p w14:paraId="53B45736" w14:textId="01F667A0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48828723" w14:textId="10A0DFB5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：高冰镍市场</w:t>
                  </w:r>
                </w:p>
              </w:tc>
              <w:tc>
                <w:tcPr>
                  <w:tcW w:w="1417" w:type="dxa"/>
                </w:tcPr>
                <w:p w14:paraId="52871F5B" w14:textId="27662F30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4279" w:type="dxa"/>
                </w:tcPr>
                <w:p w14:paraId="24CAD781" w14:textId="3240047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：全球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14BA237E" w14:textId="578C045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43F05205" w14:textId="60DA7536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75875AF6" w14:textId="7C75A08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64B984B4" w14:textId="1EC64B51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：全球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高冰镍市场</w:t>
                  </w:r>
                </w:p>
                <w:p w14:paraId="3C24D89D" w14:textId="30CAB19C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淡水河谷加拿大（包括淡水河谷印尼）：10-15%</w:t>
                  </w:r>
                </w:p>
              </w:tc>
            </w:tr>
            <w:tr w:rsidR="00097E09" w:rsidRPr="00682698" w14:paraId="3050E898" w14:textId="77777777" w:rsidTr="00B93D1A">
              <w:trPr>
                <w:trHeight w:val="150"/>
              </w:trPr>
              <w:tc>
                <w:tcPr>
                  <w:tcW w:w="1732" w:type="dxa"/>
                  <w:vMerge/>
                </w:tcPr>
                <w:p w14:paraId="2DF47464" w14:textId="77777777" w:rsidR="00097E09" w:rsidRPr="00FC0621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621E0D8" w14:textId="6CF0470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4279" w:type="dxa"/>
                </w:tcPr>
                <w:p w14:paraId="01C38BAC" w14:textId="01A4213B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0DC81DDD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512E6DA4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7D311BEB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35000BB7" w14:textId="6CAE2C5D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高冰镍市场</w:t>
                  </w:r>
                </w:p>
                <w:p w14:paraId="2CBB8102" w14:textId="3115580D" w:rsidR="00097E09" w:rsidRPr="00CD5111" w:rsidRDefault="00CD5111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0</w:t>
                  </w:r>
                </w:p>
              </w:tc>
            </w:tr>
            <w:tr w:rsidR="00097E09" w:rsidRPr="00682698" w14:paraId="63DE3F3B" w14:textId="77777777" w:rsidTr="00B93D1A">
              <w:trPr>
                <w:trHeight w:val="3750"/>
              </w:trPr>
              <w:tc>
                <w:tcPr>
                  <w:tcW w:w="1732" w:type="dxa"/>
                  <w:vMerge w:val="restart"/>
                </w:tcPr>
                <w:p w14:paraId="71A07FD4" w14:textId="43F969F5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lastRenderedPageBreak/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3554E6DF" w14:textId="7CC2DC19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</w:tc>
              <w:tc>
                <w:tcPr>
                  <w:tcW w:w="1417" w:type="dxa"/>
                </w:tcPr>
                <w:p w14:paraId="1529C06C" w14:textId="575A903B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4279" w:type="dxa"/>
                </w:tcPr>
                <w:p w14:paraId="7DC7A6AE" w14:textId="270ED055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：全球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6F524AEF" w14:textId="4B71F29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4311980D" w14:textId="5AA35F2A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150313DA" w14:textId="3CBCC20C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321D3F9A" w14:textId="089BC185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：全球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  <w:p w14:paraId="271DD3A2" w14:textId="1028E59A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3E4CBBC7" w14:textId="752FE79B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20CC978A" w14:textId="6759209A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</w:tc>
            </w:tr>
            <w:tr w:rsidR="00097E09" w:rsidRPr="00682698" w14:paraId="5B1649EC" w14:textId="77777777" w:rsidTr="00B93D1A">
              <w:trPr>
                <w:trHeight w:val="140"/>
              </w:trPr>
              <w:tc>
                <w:tcPr>
                  <w:tcW w:w="1732" w:type="dxa"/>
                  <w:vMerge/>
                </w:tcPr>
                <w:p w14:paraId="08502641" w14:textId="77777777" w:rsidR="00097E09" w:rsidRPr="00FC0621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05D84802" w14:textId="5491D05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4279" w:type="dxa"/>
                </w:tcPr>
                <w:p w14:paraId="012B8B2A" w14:textId="672F14E4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镍矿石市场</w:t>
                  </w:r>
                </w:p>
                <w:p w14:paraId="7E8681B4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092AC01F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4819094D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0386B6FA" w14:textId="74BDC5AF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  <w:p w14:paraId="62264CCA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725CD585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554F37A3" w14:textId="6E783DFC" w:rsidR="00097E09" w:rsidRPr="00FC0621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</w:tc>
            </w:tr>
            <w:tr w:rsidR="00097E09" w:rsidRPr="00682698" w14:paraId="29983D8E" w14:textId="77777777" w:rsidTr="00B93D1A">
              <w:trPr>
                <w:trHeight w:val="3011"/>
              </w:trPr>
              <w:tc>
                <w:tcPr>
                  <w:tcW w:w="1732" w:type="dxa"/>
                  <w:vMerge w:val="restart"/>
                </w:tcPr>
                <w:p w14:paraId="602C99D1" w14:textId="72E3C2FC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  <w:p w14:paraId="2A15C988" w14:textId="1A3E7E11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：高冰镍市场</w:t>
                  </w:r>
                </w:p>
              </w:tc>
              <w:tc>
                <w:tcPr>
                  <w:tcW w:w="1417" w:type="dxa"/>
                </w:tcPr>
                <w:p w14:paraId="20E141BF" w14:textId="0B9B7843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4279" w:type="dxa"/>
                </w:tcPr>
                <w:p w14:paraId="29E90D68" w14:textId="75C42AF2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="00CD5111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</w:t>
                  </w:r>
                  <w:r w:rsidR="00CD5111"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  <w:p w14:paraId="3A9FC727" w14:textId="031DD58C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1EA7F8F7" w14:textId="12041938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2D06CE62" w14:textId="1E480676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52FB7CB0" w14:textId="6A9D6F82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 w:rsidR="00CD5111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全球高冰镍市场</w:t>
                  </w:r>
                </w:p>
                <w:p w14:paraId="1BABD1B1" w14:textId="6587AA7C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</w:tc>
            </w:tr>
            <w:tr w:rsidR="00097E09" w:rsidRPr="00682698" w14:paraId="18429CD7" w14:textId="77777777" w:rsidTr="00B93D1A">
              <w:trPr>
                <w:trHeight w:val="103"/>
              </w:trPr>
              <w:tc>
                <w:tcPr>
                  <w:tcW w:w="1732" w:type="dxa"/>
                  <w:vMerge/>
                </w:tcPr>
                <w:p w14:paraId="00174D42" w14:textId="77777777" w:rsidR="00097E09" w:rsidRPr="00FC0621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18FB8764" w14:textId="18404E9B" w:rsidR="00097E09" w:rsidRPr="00682698" w:rsidRDefault="00097E09" w:rsidP="00882347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4279" w:type="dxa"/>
                </w:tcPr>
                <w:p w14:paraId="01319951" w14:textId="60B86E35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上游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</w:t>
                  </w:r>
                  <w:r w:rsidRPr="00682698">
                    <w:rPr>
                      <w:rFonts w:ascii="宋体" w:eastAsia="宋体" w:hAnsi="宋体" w:cs="Times New Roman"/>
                      <w:sz w:val="24"/>
                      <w:szCs w:val="24"/>
                    </w:rPr>
                    <w:t>镍铁市场</w:t>
                  </w:r>
                </w:p>
                <w:p w14:paraId="66D356FF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印国矿：如上所述</w:t>
                  </w:r>
                </w:p>
                <w:p w14:paraId="54BD52AC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淡水河谷加拿大（包括淡水河谷印尼）：如上所述</w:t>
                  </w:r>
                </w:p>
                <w:p w14:paraId="7E197436" w14:textId="77777777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各方合计：如上所述</w:t>
                  </w:r>
                </w:p>
                <w:p w14:paraId="318C32C1" w14:textId="5D1D7D8B" w:rsidR="00CD5111" w:rsidRPr="00682698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FC0621">
                    <w:rPr>
                      <w:rFonts w:ascii="宋体" w:eastAsia="宋体" w:hAnsi="宋体" w:cs="Times New Roman" w:hint="eastAsia"/>
                      <w:sz w:val="24"/>
                      <w:szCs w:val="24"/>
                      <w:u w:val="single"/>
                    </w:rPr>
                    <w:t>下游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中国境内高冰镍市场</w:t>
                  </w:r>
                </w:p>
                <w:p w14:paraId="0485B377" w14:textId="6A83E8C2" w:rsidR="00097E09" w:rsidRPr="00FC0621" w:rsidRDefault="00CD5111" w:rsidP="00CD5111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 w:val="24"/>
                      <w:szCs w:val="24"/>
                      <w:u w:val="single"/>
                    </w:rPr>
                  </w:pP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淡水河谷加拿大（包括淡水河谷印尼）：</w:t>
                  </w:r>
                  <w:r w:rsidRPr="00682698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lastRenderedPageBreak/>
                    <w:t>如上所述</w:t>
                  </w:r>
                </w:p>
              </w:tc>
            </w:tr>
          </w:tbl>
          <w:p w14:paraId="3326D070" w14:textId="0779AAEA" w:rsidR="00745446" w:rsidRPr="00682698" w:rsidRDefault="00745446" w:rsidP="001F6679">
            <w:pPr>
              <w:pStyle w:val="af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</w:tr>
    </w:tbl>
    <w:p w14:paraId="5BACF834" w14:textId="5DAB4C20" w:rsidR="00F87C1F" w:rsidRPr="00C86F51" w:rsidRDefault="00F87C1F" w:rsidP="00CD5111">
      <w:pPr>
        <w:rPr>
          <w:rFonts w:ascii="Times New Roman" w:hAnsi="Times New Roman" w:cs="Times New Roman"/>
          <w:sz w:val="24"/>
          <w:szCs w:val="24"/>
        </w:rPr>
      </w:pPr>
    </w:p>
    <w:sectPr w:rsidR="00F87C1F" w:rsidRPr="00C86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5808" w14:textId="77777777" w:rsidR="007E65AB" w:rsidRDefault="007E65AB" w:rsidP="00094095">
      <w:r>
        <w:separator/>
      </w:r>
    </w:p>
  </w:endnote>
  <w:endnote w:type="continuationSeparator" w:id="0">
    <w:p w14:paraId="3A810216" w14:textId="77777777" w:rsidR="007E65AB" w:rsidRDefault="007E65AB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6D65" w14:textId="3EFA4F34" w:rsidR="00D470FC" w:rsidRDefault="00D470FC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D65F8" wp14:editId="5263838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126487906" name="Text Box 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E90C6" w14:textId="4475037A" w:rsidR="00D470FC" w:rsidRPr="00D470FC" w:rsidRDefault="00D470FC" w:rsidP="00D470FC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D470FC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Classification: Confidential - ADIA and Business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D65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7LCwIAABo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" filled="f" stroked="f">
              <v:textbox style="mso-fit-shape-to-text:t" inset="20pt,0,0,15pt">
                <w:txbxContent>
                  <w:p w14:paraId="7B2E90C6" w14:textId="4475037A" w:rsidR="00D470FC" w:rsidRPr="00D470FC" w:rsidRDefault="00D470FC" w:rsidP="00D470FC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D470FC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Classification: Confidential - ADIA and Business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380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4B023A" w14:textId="1AADD4BF" w:rsidR="00D470FC" w:rsidRPr="005430C5" w:rsidRDefault="005430C5" w:rsidP="005430C5">
        <w:pPr>
          <w:pStyle w:val="a9"/>
          <w:jc w:val="center"/>
          <w:rPr>
            <w:rFonts w:ascii="Times New Roman" w:hAnsi="Times New Roman" w:cs="Times New Roman"/>
          </w:rPr>
        </w:pPr>
        <w:r w:rsidRPr="005430C5">
          <w:rPr>
            <w:rFonts w:ascii="Times New Roman" w:hAnsi="Times New Roman" w:cs="Times New Roman"/>
          </w:rPr>
          <w:fldChar w:fldCharType="begin"/>
        </w:r>
        <w:r w:rsidRPr="005430C5">
          <w:rPr>
            <w:rFonts w:ascii="Times New Roman" w:hAnsi="Times New Roman" w:cs="Times New Roman"/>
          </w:rPr>
          <w:instrText>PAGE   \* MERGEFORMAT</w:instrText>
        </w:r>
        <w:r w:rsidRPr="005430C5">
          <w:rPr>
            <w:rFonts w:ascii="Times New Roman" w:hAnsi="Times New Roman" w:cs="Times New Roman"/>
          </w:rPr>
          <w:fldChar w:fldCharType="separate"/>
        </w:r>
        <w:r w:rsidRPr="005430C5">
          <w:rPr>
            <w:rFonts w:ascii="Times New Roman" w:hAnsi="Times New Roman" w:cs="Times New Roman"/>
            <w:lang w:val="zh-CN"/>
          </w:rPr>
          <w:t>2</w:t>
        </w:r>
        <w:r w:rsidRPr="005430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15BB" w14:textId="161C1386" w:rsidR="00D470FC" w:rsidRDefault="00D470FC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25BEE4" wp14:editId="68AFEE0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27949416" name="Text Box 1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2B1F6" w14:textId="3F8211FE" w:rsidR="00D470FC" w:rsidRPr="00D470FC" w:rsidRDefault="00D470FC" w:rsidP="00D470FC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D470FC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Classification: Confidential - ADIA and Business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5B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textbox style="mso-fit-shape-to-text:t" inset="20pt,0,0,15pt">
                <w:txbxContent>
                  <w:p w14:paraId="4052B1F6" w14:textId="3F8211FE" w:rsidR="00D470FC" w:rsidRPr="00D470FC" w:rsidRDefault="00D470FC" w:rsidP="00D470FC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D470FC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Classification: Confidential - ADIA and Business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742" w14:textId="77777777" w:rsidR="007E65AB" w:rsidRDefault="007E65AB" w:rsidP="00094095">
      <w:r>
        <w:separator/>
      </w:r>
    </w:p>
  </w:footnote>
  <w:footnote w:type="continuationSeparator" w:id="0">
    <w:p w14:paraId="5D5A421D" w14:textId="77777777" w:rsidR="007E65AB" w:rsidRDefault="007E65AB" w:rsidP="0009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0324" w14:textId="77777777" w:rsidR="00CF3ED6" w:rsidRDefault="00CF3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59C4" w14:textId="7288BA61" w:rsidR="00524512" w:rsidRPr="00500300" w:rsidRDefault="00524512" w:rsidP="0050030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F38B" w14:textId="77777777" w:rsidR="00CF3ED6" w:rsidRDefault="00CF3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6B7"/>
    <w:multiLevelType w:val="hybridMultilevel"/>
    <w:tmpl w:val="D2CEB7C8"/>
    <w:lvl w:ilvl="0" w:tplc="3FF6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D1A2695"/>
    <w:multiLevelType w:val="hybridMultilevel"/>
    <w:tmpl w:val="FE34D962"/>
    <w:lvl w:ilvl="0" w:tplc="4CD6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95185156">
    <w:abstractNumId w:val="1"/>
  </w:num>
  <w:num w:numId="2" w16cid:durableId="86903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25B9D"/>
    <w:rsid w:val="000359A7"/>
    <w:rsid w:val="00037F08"/>
    <w:rsid w:val="000423C0"/>
    <w:rsid w:val="00055747"/>
    <w:rsid w:val="00094095"/>
    <w:rsid w:val="00097E09"/>
    <w:rsid w:val="000A1B79"/>
    <w:rsid w:val="000A2823"/>
    <w:rsid w:val="000A2EAD"/>
    <w:rsid w:val="000C075E"/>
    <w:rsid w:val="000E1ABF"/>
    <w:rsid w:val="00102597"/>
    <w:rsid w:val="0011475A"/>
    <w:rsid w:val="00114B3A"/>
    <w:rsid w:val="0011626B"/>
    <w:rsid w:val="0013596B"/>
    <w:rsid w:val="001629CE"/>
    <w:rsid w:val="00164D88"/>
    <w:rsid w:val="00175967"/>
    <w:rsid w:val="001900DB"/>
    <w:rsid w:val="001C7AD5"/>
    <w:rsid w:val="001D24C0"/>
    <w:rsid w:val="001E6C47"/>
    <w:rsid w:val="00233ED3"/>
    <w:rsid w:val="00246131"/>
    <w:rsid w:val="00261E3C"/>
    <w:rsid w:val="00277E42"/>
    <w:rsid w:val="002A52E2"/>
    <w:rsid w:val="002E6AE9"/>
    <w:rsid w:val="003004B9"/>
    <w:rsid w:val="00353A89"/>
    <w:rsid w:val="003928C1"/>
    <w:rsid w:val="003E328B"/>
    <w:rsid w:val="003F2587"/>
    <w:rsid w:val="003F4A24"/>
    <w:rsid w:val="003F70DE"/>
    <w:rsid w:val="004020D1"/>
    <w:rsid w:val="004101DD"/>
    <w:rsid w:val="00462174"/>
    <w:rsid w:val="004800A2"/>
    <w:rsid w:val="0048079B"/>
    <w:rsid w:val="00486DF2"/>
    <w:rsid w:val="004B1388"/>
    <w:rsid w:val="00500300"/>
    <w:rsid w:val="00515090"/>
    <w:rsid w:val="00522946"/>
    <w:rsid w:val="00524512"/>
    <w:rsid w:val="005430C5"/>
    <w:rsid w:val="00553715"/>
    <w:rsid w:val="00555C03"/>
    <w:rsid w:val="00560CB9"/>
    <w:rsid w:val="005B1CA7"/>
    <w:rsid w:val="00611339"/>
    <w:rsid w:val="00682698"/>
    <w:rsid w:val="0068579C"/>
    <w:rsid w:val="00686BD8"/>
    <w:rsid w:val="00693E11"/>
    <w:rsid w:val="006A1511"/>
    <w:rsid w:val="006A3095"/>
    <w:rsid w:val="006C3C8A"/>
    <w:rsid w:val="006D7E71"/>
    <w:rsid w:val="00701EDD"/>
    <w:rsid w:val="00711705"/>
    <w:rsid w:val="00713D4A"/>
    <w:rsid w:val="007363F1"/>
    <w:rsid w:val="00745446"/>
    <w:rsid w:val="00745A14"/>
    <w:rsid w:val="00763972"/>
    <w:rsid w:val="007718AA"/>
    <w:rsid w:val="00773939"/>
    <w:rsid w:val="00783473"/>
    <w:rsid w:val="00797916"/>
    <w:rsid w:val="007A4AF5"/>
    <w:rsid w:val="007B3E70"/>
    <w:rsid w:val="007B435C"/>
    <w:rsid w:val="007C45BA"/>
    <w:rsid w:val="007C6898"/>
    <w:rsid w:val="007D4AA4"/>
    <w:rsid w:val="007E135E"/>
    <w:rsid w:val="007E65AB"/>
    <w:rsid w:val="008138C7"/>
    <w:rsid w:val="00840460"/>
    <w:rsid w:val="00840E8C"/>
    <w:rsid w:val="00851044"/>
    <w:rsid w:val="00873097"/>
    <w:rsid w:val="00882347"/>
    <w:rsid w:val="008B2D9F"/>
    <w:rsid w:val="008C4B7E"/>
    <w:rsid w:val="008E7019"/>
    <w:rsid w:val="00923709"/>
    <w:rsid w:val="00933B85"/>
    <w:rsid w:val="0094240B"/>
    <w:rsid w:val="0097370C"/>
    <w:rsid w:val="00995003"/>
    <w:rsid w:val="009C38B6"/>
    <w:rsid w:val="009D174B"/>
    <w:rsid w:val="009D2920"/>
    <w:rsid w:val="009E6D0C"/>
    <w:rsid w:val="009F010B"/>
    <w:rsid w:val="009F6785"/>
    <w:rsid w:val="00A37270"/>
    <w:rsid w:val="00A4285B"/>
    <w:rsid w:val="00A8525A"/>
    <w:rsid w:val="00AA1CE1"/>
    <w:rsid w:val="00AF4632"/>
    <w:rsid w:val="00B175FA"/>
    <w:rsid w:val="00B26F6F"/>
    <w:rsid w:val="00B84326"/>
    <w:rsid w:val="00B93D1A"/>
    <w:rsid w:val="00BB2A94"/>
    <w:rsid w:val="00BC48E2"/>
    <w:rsid w:val="00BE214B"/>
    <w:rsid w:val="00C13AA6"/>
    <w:rsid w:val="00C20A96"/>
    <w:rsid w:val="00C44E44"/>
    <w:rsid w:val="00C54B98"/>
    <w:rsid w:val="00C75507"/>
    <w:rsid w:val="00C86F51"/>
    <w:rsid w:val="00CA231B"/>
    <w:rsid w:val="00CD5111"/>
    <w:rsid w:val="00CE0518"/>
    <w:rsid w:val="00CE0F8E"/>
    <w:rsid w:val="00CF223E"/>
    <w:rsid w:val="00CF3ED6"/>
    <w:rsid w:val="00D01A73"/>
    <w:rsid w:val="00D02AD2"/>
    <w:rsid w:val="00D14E43"/>
    <w:rsid w:val="00D30DD5"/>
    <w:rsid w:val="00D351AF"/>
    <w:rsid w:val="00D470FC"/>
    <w:rsid w:val="00D66D2E"/>
    <w:rsid w:val="00D95034"/>
    <w:rsid w:val="00D96550"/>
    <w:rsid w:val="00DA7306"/>
    <w:rsid w:val="00DB0DA5"/>
    <w:rsid w:val="00DB30AA"/>
    <w:rsid w:val="00DD4869"/>
    <w:rsid w:val="00DD643E"/>
    <w:rsid w:val="00DD72D9"/>
    <w:rsid w:val="00DF06A2"/>
    <w:rsid w:val="00DF4330"/>
    <w:rsid w:val="00E142ED"/>
    <w:rsid w:val="00E20411"/>
    <w:rsid w:val="00E23F36"/>
    <w:rsid w:val="00E41094"/>
    <w:rsid w:val="00E70ADD"/>
    <w:rsid w:val="00E84DD8"/>
    <w:rsid w:val="00E915CE"/>
    <w:rsid w:val="00E921B8"/>
    <w:rsid w:val="00E94EC0"/>
    <w:rsid w:val="00EA3E0B"/>
    <w:rsid w:val="00EB5F55"/>
    <w:rsid w:val="00EC6316"/>
    <w:rsid w:val="00ED7378"/>
    <w:rsid w:val="00EE4D41"/>
    <w:rsid w:val="00F43FAA"/>
    <w:rsid w:val="00F44E3D"/>
    <w:rsid w:val="00F8496B"/>
    <w:rsid w:val="00F87AC9"/>
    <w:rsid w:val="00F87C1F"/>
    <w:rsid w:val="00FB64B6"/>
    <w:rsid w:val="00FC0621"/>
    <w:rsid w:val="00FC2C69"/>
    <w:rsid w:val="00FD5246"/>
    <w:rsid w:val="00FE1E01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BDD1D"/>
  <w15:docId w15:val="{516716BF-7EE6-460C-99D6-B619579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semiHidden/>
    <w:rsid w:val="00094095"/>
  </w:style>
  <w:style w:type="character" w:styleId="a6">
    <w:name w:val="endnote reference"/>
    <w:basedOn w:val="a0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F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463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F463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7309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3097"/>
    <w:rPr>
      <w:sz w:val="18"/>
      <w:szCs w:val="18"/>
    </w:rPr>
  </w:style>
  <w:style w:type="paragraph" w:styleId="ad">
    <w:name w:val="Revision"/>
    <w:hidden/>
    <w:uiPriority w:val="99"/>
    <w:semiHidden/>
    <w:rsid w:val="00D96550"/>
  </w:style>
  <w:style w:type="paragraph" w:styleId="ae">
    <w:name w:val="List Paragraph"/>
    <w:basedOn w:val="a"/>
    <w:uiPriority w:val="34"/>
    <w:qFormat/>
    <w:rsid w:val="00500300"/>
    <w:pPr>
      <w:ind w:firstLineChars="200" w:firstLine="420"/>
    </w:pPr>
  </w:style>
  <w:style w:type="paragraph" w:styleId="af">
    <w:name w:val="Body Text"/>
    <w:basedOn w:val="a"/>
    <w:link w:val="af0"/>
    <w:rsid w:val="00745446"/>
    <w:pPr>
      <w:widowControl/>
      <w:spacing w:after="240"/>
    </w:pPr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character" w:customStyle="1" w:styleId="af0">
    <w:name w:val="正文文本 字符"/>
    <w:basedOn w:val="a0"/>
    <w:link w:val="af"/>
    <w:rsid w:val="00745446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 Kun</cp:lastModifiedBy>
  <cp:revision>6</cp:revision>
  <cp:lastPrinted>1899-12-31T15:59:17Z</cp:lastPrinted>
  <dcterms:created xsi:type="dcterms:W3CDTF">1899-12-31T15:59:17Z</dcterms:created>
  <dcterms:modified xsi:type="dcterms:W3CDTF">2024-04-16T15:41:00Z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ceb27-7f39-426b-89be-4c4f23c77f97_Enabled">
    <vt:lpwstr>true</vt:lpwstr>
  </property>
  <property fmtid="{D5CDD505-2E9C-101B-9397-08002B2CF9AE}" pid="3" name="MSIP_Label_374ceb27-7f39-426b-89be-4c4f23c77f97_SetDate">
    <vt:lpwstr>2024-02-26T13:49:55Z</vt:lpwstr>
  </property>
  <property fmtid="{D5CDD505-2E9C-101B-9397-08002B2CF9AE}" pid="4" name="MSIP_Label_374ceb27-7f39-426b-89be-4c4f23c77f97_Method">
    <vt:lpwstr>Privileged</vt:lpwstr>
  </property>
  <property fmtid="{D5CDD505-2E9C-101B-9397-08002B2CF9AE}" pid="5" name="MSIP_Label_374ceb27-7f39-426b-89be-4c4f23c77f97_Name">
    <vt:lpwstr>ADIA and Business Partners_0</vt:lpwstr>
  </property>
  <property fmtid="{D5CDD505-2E9C-101B-9397-08002B2CF9AE}" pid="6" name="MSIP_Label_374ceb27-7f39-426b-89be-4c4f23c77f97_SiteId">
    <vt:lpwstr>8506c69f-005d-421b-b670-9a8ccd5aee63</vt:lpwstr>
  </property>
  <property fmtid="{D5CDD505-2E9C-101B-9397-08002B2CF9AE}" pid="7" name="MSIP_Label_374ceb27-7f39-426b-89be-4c4f23c77f97_ActionId">
    <vt:lpwstr>3a500d61-f0a9-4a39-8e8a-673262fb1b07</vt:lpwstr>
  </property>
  <property fmtid="{D5CDD505-2E9C-101B-9397-08002B2CF9AE}" pid="8" name="MSIP_Label_374ceb27-7f39-426b-89be-4c4f23c77f97_ContentBits">
    <vt:lpwstr>2</vt:lpwstr>
  </property>
</Properties>
</file>