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7249" w14:textId="77777777" w:rsidR="00157D15" w:rsidRPr="004F28A9" w:rsidRDefault="00157D15" w:rsidP="00157D15">
      <w:pPr>
        <w:widowControl/>
        <w:jc w:val="center"/>
        <w:rPr>
          <w:rFonts w:ascii="Times New Roman" w:eastAsia="宋体" w:hAnsi="Times New Roman" w:cs="黑体"/>
          <w:bCs/>
          <w:color w:val="000000" w:themeColor="text1"/>
          <w:szCs w:val="21"/>
        </w:rPr>
      </w:pPr>
      <w:r>
        <w:rPr>
          <w:rStyle w:val="normaltextrun"/>
          <w:rFonts w:ascii="黑体" w:eastAsia="黑体" w:hAnsi="黑体" w:hint="eastAsia"/>
          <w:color w:val="000000"/>
          <w:sz w:val="36"/>
          <w:szCs w:val="36"/>
          <w:bdr w:val="none" w:sz="0" w:space="0" w:color="auto" w:frame="1"/>
        </w:rPr>
        <w:t>经营者集中简易案件公示表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607"/>
        <w:gridCol w:w="6093"/>
      </w:tblGrid>
      <w:tr w:rsidR="00157D15" w:rsidRPr="00157D15" w14:paraId="790944C1" w14:textId="77777777" w:rsidTr="00AF263F">
        <w:trPr>
          <w:trHeight w:val="926"/>
        </w:trPr>
        <w:tc>
          <w:tcPr>
            <w:tcW w:w="1940" w:type="dxa"/>
            <w:shd w:val="clear" w:color="auto" w:fill="D9D9D9"/>
            <w:vAlign w:val="center"/>
          </w:tcPr>
          <w:p w14:paraId="56C6466A"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t>案件名称</w:t>
            </w:r>
          </w:p>
        </w:tc>
        <w:tc>
          <w:tcPr>
            <w:tcW w:w="7700" w:type="dxa"/>
            <w:gridSpan w:val="2"/>
            <w:vAlign w:val="center"/>
          </w:tcPr>
          <w:p w14:paraId="0F883FEE" w14:textId="1CBADA8D" w:rsidR="00157D15" w:rsidRPr="00157D15" w:rsidRDefault="00157D15" w:rsidP="00157D15">
            <w:pPr>
              <w:adjustRightInd w:val="0"/>
              <w:snapToGrid w:val="0"/>
              <w:rPr>
                <w:rFonts w:ascii="宋体" w:eastAsia="宋体" w:hAnsi="宋体" w:cs="宋体"/>
                <w:bCs/>
                <w:color w:val="000000" w:themeColor="text1"/>
                <w:sz w:val="24"/>
                <w:szCs w:val="24"/>
              </w:rPr>
            </w:pPr>
            <w:r w:rsidRPr="00157D15">
              <w:rPr>
                <w:rFonts w:ascii="宋体" w:eastAsia="宋体" w:hAnsi="宋体" w:cs="宋体" w:hint="eastAsia"/>
                <w:bCs/>
                <w:color w:val="000000" w:themeColor="text1"/>
                <w:sz w:val="24"/>
                <w:szCs w:val="24"/>
              </w:rPr>
              <w:t>荷兰汇盈战略不动产投资共同基金受托人与瑞科黑檀私人有限公司等经营者</w:t>
            </w:r>
            <w:r w:rsidR="00E47D07" w:rsidRPr="00AE310F">
              <w:rPr>
                <w:rFonts w:ascii="宋体" w:eastAsia="宋体" w:hAnsi="宋体" w:cs="宋体" w:hint="eastAsia"/>
                <w:bCs/>
                <w:color w:val="000000" w:themeColor="text1"/>
                <w:sz w:val="24"/>
                <w:szCs w:val="24"/>
              </w:rPr>
              <w:t>新设合营企业案</w:t>
            </w:r>
          </w:p>
        </w:tc>
      </w:tr>
      <w:tr w:rsidR="00157D15" w:rsidRPr="00157D15" w14:paraId="5C1DDA93" w14:textId="77777777" w:rsidTr="00AF263F">
        <w:trPr>
          <w:trHeight w:val="1391"/>
        </w:trPr>
        <w:tc>
          <w:tcPr>
            <w:tcW w:w="1940" w:type="dxa"/>
            <w:shd w:val="clear" w:color="auto" w:fill="D9D9D9"/>
            <w:vAlign w:val="center"/>
          </w:tcPr>
          <w:p w14:paraId="739FA243"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t>交易概况（限200字内）</w:t>
            </w:r>
          </w:p>
        </w:tc>
        <w:tc>
          <w:tcPr>
            <w:tcW w:w="7700" w:type="dxa"/>
            <w:gridSpan w:val="2"/>
            <w:vAlign w:val="center"/>
          </w:tcPr>
          <w:p w14:paraId="4E20D1CF" w14:textId="27026C8B" w:rsidR="00157D15" w:rsidRPr="00157D15" w:rsidRDefault="00E47D07" w:rsidP="00157D15">
            <w:pPr>
              <w:adjustRightInd w:val="0"/>
              <w:snapToGrid w:val="0"/>
              <w:rPr>
                <w:rFonts w:ascii="宋体" w:eastAsia="宋体" w:hAnsi="宋体" w:cs="宋体"/>
                <w:bCs/>
                <w:color w:val="000000" w:themeColor="text1"/>
                <w:sz w:val="24"/>
                <w:szCs w:val="24"/>
              </w:rPr>
            </w:pPr>
            <w:r w:rsidRPr="00C960A5">
              <w:rPr>
                <w:rFonts w:ascii="宋体" w:eastAsia="宋体" w:hAnsi="宋体" w:cs="Arial" w:hint="eastAsia"/>
                <w:color w:val="000000" w:themeColor="text1"/>
                <w:kern w:val="0"/>
                <w:sz w:val="24"/>
                <w:szCs w:val="24"/>
              </w:rPr>
              <w:t>易商红木集团有限公司</w:t>
            </w:r>
            <w:r w:rsidRPr="00C960A5">
              <w:rPr>
                <w:rFonts w:ascii="宋体" w:eastAsia="宋体" w:hAnsi="宋体" w:cs="宋体" w:hint="eastAsia"/>
                <w:color w:val="000000" w:themeColor="text1"/>
                <w:sz w:val="24"/>
                <w:szCs w:val="24"/>
              </w:rPr>
              <w:t>（“ESR”，通过其全资子公司）、</w:t>
            </w:r>
            <w:r w:rsidRPr="00C960A5">
              <w:rPr>
                <w:rFonts w:ascii="宋体" w:eastAsia="宋体" w:hAnsi="宋体" w:cs="Arial" w:hint="eastAsia"/>
                <w:color w:val="000000" w:themeColor="text1"/>
                <w:kern w:val="0"/>
                <w:sz w:val="24"/>
                <w:szCs w:val="24"/>
              </w:rPr>
              <w:t>荷兰汇盈战略不动产投资共同基金受托人（“APG”）与</w:t>
            </w:r>
            <w:r w:rsidRPr="00C960A5">
              <w:rPr>
                <w:rFonts w:ascii="宋体" w:eastAsia="宋体" w:hAnsi="宋体" w:cs="Arial"/>
                <w:color w:val="000000" w:themeColor="text1"/>
                <w:kern w:val="0"/>
                <w:sz w:val="24"/>
                <w:szCs w:val="24"/>
              </w:rPr>
              <w:t>瑞科黑檀私人有限公司</w:t>
            </w:r>
            <w:r w:rsidRPr="00C960A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瑞科黑檀</w:t>
            </w:r>
            <w:r w:rsidRPr="00C960A5">
              <w:rPr>
                <w:rFonts w:ascii="宋体" w:eastAsia="宋体" w:hAnsi="宋体" w:cs="Arial" w:hint="eastAsia"/>
                <w:color w:val="000000" w:themeColor="text1"/>
                <w:kern w:val="0"/>
                <w:sz w:val="24"/>
                <w:szCs w:val="24"/>
              </w:rPr>
              <w:t>”）签署协议，</w:t>
            </w:r>
            <w:r>
              <w:rPr>
                <w:rFonts w:ascii="宋体" w:eastAsia="宋体" w:hAnsi="宋体" w:cs="Arial" w:hint="eastAsia"/>
                <w:color w:val="000000" w:themeColor="text1"/>
                <w:kern w:val="0"/>
                <w:sz w:val="24"/>
                <w:szCs w:val="24"/>
              </w:rPr>
              <w:t>共同新设一家</w:t>
            </w:r>
            <w:r w:rsidRPr="00C960A5">
              <w:rPr>
                <w:rFonts w:ascii="宋体" w:eastAsia="宋体" w:hAnsi="宋体" w:cs="Arial" w:hint="eastAsia"/>
                <w:color w:val="000000" w:themeColor="text1"/>
                <w:kern w:val="0"/>
                <w:sz w:val="24"/>
                <w:szCs w:val="24"/>
              </w:rPr>
              <w:t>合营企业</w:t>
            </w:r>
            <w:r>
              <w:rPr>
                <w:rFonts w:ascii="宋体" w:eastAsia="宋体" w:hAnsi="宋体" w:cs="Arial" w:hint="eastAsia"/>
                <w:color w:val="000000" w:themeColor="text1"/>
                <w:kern w:val="0"/>
                <w:sz w:val="24"/>
                <w:szCs w:val="24"/>
              </w:rPr>
              <w:t>（“合营企业”）。合营企业将从事广州市</w:t>
            </w:r>
            <w:r w:rsidRPr="00C960A5">
              <w:rPr>
                <w:rFonts w:ascii="宋体" w:eastAsia="宋体" w:hAnsi="宋体" w:cs="Arial" w:hint="eastAsia"/>
                <w:color w:val="000000" w:themeColor="text1"/>
                <w:kern w:val="0"/>
                <w:sz w:val="24"/>
                <w:szCs w:val="24"/>
              </w:rPr>
              <w:t>通用仓库</w:t>
            </w:r>
            <w:r>
              <w:rPr>
                <w:rFonts w:ascii="宋体" w:eastAsia="宋体" w:hAnsi="宋体" w:cs="Arial" w:hint="eastAsia"/>
                <w:color w:val="000000" w:themeColor="text1"/>
                <w:kern w:val="0"/>
                <w:sz w:val="24"/>
                <w:szCs w:val="24"/>
              </w:rPr>
              <w:t>的</w:t>
            </w:r>
            <w:r w:rsidRPr="00C960A5">
              <w:rPr>
                <w:rFonts w:ascii="宋体" w:eastAsia="宋体" w:hAnsi="宋体" w:cs="Arial" w:hint="eastAsia"/>
                <w:color w:val="000000" w:themeColor="text1"/>
                <w:kern w:val="0"/>
                <w:sz w:val="24"/>
                <w:szCs w:val="24"/>
              </w:rPr>
              <w:t>开发和租赁业务。</w:t>
            </w:r>
            <w:r w:rsidRPr="00C960A5">
              <w:rPr>
                <w:rFonts w:ascii="宋体" w:eastAsia="宋体" w:hAnsi="宋体" w:cs="宋体" w:hint="eastAsia"/>
                <w:bCs/>
                <w:color w:val="000000" w:themeColor="text1"/>
                <w:sz w:val="24"/>
                <w:szCs w:val="24"/>
              </w:rPr>
              <w:t>交易后，ESR</w:t>
            </w:r>
            <w:r>
              <w:rPr>
                <w:rFonts w:ascii="宋体" w:eastAsia="宋体" w:hAnsi="宋体" w:cs="宋体" w:hint="eastAsia"/>
                <w:bCs/>
                <w:color w:val="000000" w:themeColor="text1"/>
                <w:sz w:val="24"/>
                <w:szCs w:val="24"/>
              </w:rPr>
              <w:t>、APG和瑞科黑檀</w:t>
            </w:r>
            <w:r w:rsidRPr="00C960A5">
              <w:rPr>
                <w:rFonts w:ascii="宋体" w:eastAsia="宋体" w:hAnsi="宋体" w:cs="宋体" w:hint="eastAsia"/>
                <w:bCs/>
                <w:color w:val="000000" w:themeColor="text1"/>
                <w:sz w:val="24"/>
                <w:szCs w:val="24"/>
              </w:rPr>
              <w:t>间接持有</w:t>
            </w:r>
            <w:r>
              <w:rPr>
                <w:rFonts w:ascii="宋体" w:eastAsia="宋体" w:hAnsi="宋体" w:cs="Arial" w:hint="eastAsia"/>
                <w:color w:val="000000" w:themeColor="text1"/>
                <w:kern w:val="0"/>
                <w:sz w:val="24"/>
                <w:szCs w:val="24"/>
              </w:rPr>
              <w:t>合营企业</w:t>
            </w:r>
            <w:r w:rsidRPr="00C960A5">
              <w:rPr>
                <w:rFonts w:ascii="宋体" w:eastAsia="宋体" w:hAnsi="宋体" w:cs="宋体" w:hint="eastAsia"/>
                <w:bCs/>
                <w:color w:val="000000" w:themeColor="text1"/>
                <w:sz w:val="24"/>
                <w:szCs w:val="24"/>
              </w:rPr>
              <w:t>2</w:t>
            </w:r>
            <w:r w:rsidRPr="00C960A5">
              <w:rPr>
                <w:rFonts w:ascii="宋体" w:eastAsia="宋体" w:hAnsi="宋体" w:cs="宋体"/>
                <w:bCs/>
                <w:color w:val="000000" w:themeColor="text1"/>
                <w:sz w:val="24"/>
                <w:szCs w:val="24"/>
              </w:rPr>
              <w:t>0%</w:t>
            </w:r>
            <w:r>
              <w:rPr>
                <w:rFonts w:ascii="宋体" w:eastAsia="宋体" w:hAnsi="宋体" w:cs="宋体" w:hint="eastAsia"/>
                <w:bCs/>
                <w:color w:val="000000" w:themeColor="text1"/>
                <w:sz w:val="24"/>
                <w:szCs w:val="24"/>
              </w:rPr>
              <w:t>、</w:t>
            </w:r>
            <w:r w:rsidRPr="00C960A5">
              <w:rPr>
                <w:rFonts w:ascii="宋体" w:eastAsia="宋体" w:hAnsi="宋体" w:cs="宋体" w:hint="eastAsia"/>
                <w:bCs/>
                <w:color w:val="000000" w:themeColor="text1"/>
                <w:sz w:val="24"/>
                <w:szCs w:val="24"/>
              </w:rPr>
              <w:t>4</w:t>
            </w:r>
            <w:r w:rsidRPr="00C960A5">
              <w:rPr>
                <w:rFonts w:ascii="宋体" w:eastAsia="宋体" w:hAnsi="宋体" w:cs="宋体"/>
                <w:bCs/>
                <w:color w:val="000000" w:themeColor="text1"/>
                <w:sz w:val="24"/>
                <w:szCs w:val="24"/>
              </w:rPr>
              <w:t>0%</w:t>
            </w:r>
            <w:r>
              <w:rPr>
                <w:rFonts w:ascii="宋体" w:eastAsia="宋体" w:hAnsi="宋体" w:cs="宋体" w:hint="eastAsia"/>
                <w:bCs/>
                <w:color w:val="000000" w:themeColor="text1"/>
                <w:sz w:val="24"/>
                <w:szCs w:val="24"/>
              </w:rPr>
              <w:t>和</w:t>
            </w:r>
            <w:r w:rsidRPr="00C960A5">
              <w:rPr>
                <w:rFonts w:ascii="宋体" w:eastAsia="宋体" w:hAnsi="宋体" w:cs="宋体" w:hint="eastAsia"/>
                <w:bCs/>
                <w:color w:val="000000" w:themeColor="text1"/>
                <w:sz w:val="24"/>
                <w:szCs w:val="24"/>
              </w:rPr>
              <w:t>4</w:t>
            </w:r>
            <w:r w:rsidRPr="00C960A5">
              <w:rPr>
                <w:rFonts w:ascii="宋体" w:eastAsia="宋体" w:hAnsi="宋体" w:cs="宋体"/>
                <w:bCs/>
                <w:color w:val="000000" w:themeColor="text1"/>
                <w:sz w:val="24"/>
                <w:szCs w:val="24"/>
              </w:rPr>
              <w:t>0%</w:t>
            </w:r>
            <w:r w:rsidRPr="00C960A5">
              <w:rPr>
                <w:rFonts w:ascii="宋体" w:eastAsia="宋体" w:hAnsi="宋体" w:cs="宋体" w:hint="eastAsia"/>
                <w:bCs/>
                <w:color w:val="000000" w:themeColor="text1"/>
                <w:sz w:val="24"/>
                <w:szCs w:val="24"/>
              </w:rPr>
              <w:t>的股权，ESR、APG和</w:t>
            </w:r>
            <w:r>
              <w:rPr>
                <w:rFonts w:ascii="宋体" w:eastAsia="宋体" w:hAnsi="宋体" w:cs="宋体" w:hint="eastAsia"/>
                <w:bCs/>
                <w:color w:val="000000" w:themeColor="text1"/>
                <w:sz w:val="24"/>
                <w:szCs w:val="24"/>
              </w:rPr>
              <w:t>瑞科黑檀</w:t>
            </w:r>
            <w:r w:rsidRPr="00C960A5">
              <w:rPr>
                <w:rFonts w:ascii="宋体" w:eastAsia="宋体" w:hAnsi="宋体" w:cs="宋体" w:hint="eastAsia"/>
                <w:bCs/>
                <w:color w:val="000000" w:themeColor="text1"/>
                <w:sz w:val="24"/>
                <w:szCs w:val="24"/>
              </w:rPr>
              <w:t>共同控制</w:t>
            </w:r>
            <w:r>
              <w:rPr>
                <w:rFonts w:ascii="宋体" w:eastAsia="宋体" w:hAnsi="宋体" w:cs="Arial" w:hint="eastAsia"/>
                <w:color w:val="000000" w:themeColor="text1"/>
                <w:kern w:val="0"/>
                <w:sz w:val="24"/>
                <w:szCs w:val="24"/>
              </w:rPr>
              <w:t>合营企业</w:t>
            </w:r>
            <w:r w:rsidRPr="00C960A5">
              <w:rPr>
                <w:rFonts w:ascii="宋体" w:eastAsia="宋体" w:hAnsi="宋体" w:cs="宋体" w:hint="eastAsia"/>
                <w:bCs/>
                <w:color w:val="000000" w:themeColor="text1"/>
                <w:sz w:val="24"/>
                <w:szCs w:val="24"/>
              </w:rPr>
              <w:t>。</w:t>
            </w:r>
          </w:p>
        </w:tc>
      </w:tr>
      <w:tr w:rsidR="00157D15" w:rsidRPr="00157D15" w14:paraId="1F3BCD49" w14:textId="77777777" w:rsidTr="00AF263F">
        <w:trPr>
          <w:trHeight w:val="942"/>
        </w:trPr>
        <w:tc>
          <w:tcPr>
            <w:tcW w:w="1940" w:type="dxa"/>
            <w:vMerge w:val="restart"/>
            <w:shd w:val="clear" w:color="auto" w:fill="D9D9D9"/>
            <w:vAlign w:val="center"/>
          </w:tcPr>
          <w:p w14:paraId="00571438"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t>参与集中的经营者简介（每个限100字以内）</w:t>
            </w:r>
          </w:p>
        </w:tc>
        <w:tc>
          <w:tcPr>
            <w:tcW w:w="1607" w:type="dxa"/>
            <w:vAlign w:val="center"/>
          </w:tcPr>
          <w:p w14:paraId="27AF6184"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t>1.ESR</w:t>
            </w:r>
          </w:p>
        </w:tc>
        <w:tc>
          <w:tcPr>
            <w:tcW w:w="6093" w:type="dxa"/>
            <w:vAlign w:val="center"/>
          </w:tcPr>
          <w:p w14:paraId="0E3CCF23"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t>E</w:t>
            </w:r>
            <w:r w:rsidRPr="00157D15">
              <w:rPr>
                <w:rFonts w:ascii="宋体" w:eastAsia="宋体" w:hAnsi="宋体" w:cs="宋体"/>
                <w:bCs/>
                <w:color w:val="000000" w:themeColor="text1"/>
                <w:sz w:val="24"/>
              </w:rPr>
              <w:t>SR</w:t>
            </w:r>
            <w:r w:rsidRPr="00157D15">
              <w:rPr>
                <w:rFonts w:ascii="宋体" w:eastAsia="宋体" w:hAnsi="宋体" w:cs="宋体" w:hint="eastAsia"/>
                <w:bCs/>
                <w:color w:val="000000" w:themeColor="text1"/>
                <w:sz w:val="24"/>
              </w:rPr>
              <w:t>于</w:t>
            </w:r>
            <w:r w:rsidRPr="00157D15">
              <w:rPr>
                <w:rFonts w:ascii="宋体" w:eastAsia="宋体" w:hAnsi="宋体" w:cs="宋体"/>
                <w:bCs/>
                <w:color w:val="000000" w:themeColor="text1"/>
                <w:sz w:val="24"/>
              </w:rPr>
              <w:t>2011</w:t>
            </w:r>
            <w:r w:rsidRPr="00157D15">
              <w:rPr>
                <w:rFonts w:ascii="宋体" w:eastAsia="宋体" w:hAnsi="宋体" w:cs="宋体" w:hint="eastAsia"/>
                <w:bCs/>
                <w:color w:val="000000" w:themeColor="text1"/>
                <w:sz w:val="24"/>
              </w:rPr>
              <w:t>年</w:t>
            </w:r>
            <w:r w:rsidRPr="00157D15">
              <w:rPr>
                <w:rFonts w:ascii="宋体" w:eastAsia="宋体" w:hAnsi="宋体" w:cs="宋体"/>
                <w:bCs/>
                <w:color w:val="000000" w:themeColor="text1"/>
                <w:sz w:val="24"/>
              </w:rPr>
              <w:t>6</w:t>
            </w:r>
            <w:r w:rsidRPr="00157D15">
              <w:rPr>
                <w:rFonts w:ascii="宋体" w:eastAsia="宋体" w:hAnsi="宋体" w:cs="宋体" w:hint="eastAsia"/>
                <w:bCs/>
                <w:color w:val="000000" w:themeColor="text1"/>
                <w:sz w:val="24"/>
              </w:rPr>
              <w:t>月1</w:t>
            </w:r>
            <w:r w:rsidRPr="00157D15">
              <w:rPr>
                <w:rFonts w:ascii="宋体" w:eastAsia="宋体" w:hAnsi="宋体" w:cs="宋体"/>
                <w:bCs/>
                <w:color w:val="000000" w:themeColor="text1"/>
                <w:sz w:val="24"/>
              </w:rPr>
              <w:t>4</w:t>
            </w:r>
            <w:r w:rsidRPr="00157D15">
              <w:rPr>
                <w:rFonts w:ascii="宋体" w:eastAsia="宋体" w:hAnsi="宋体" w:cs="宋体" w:hint="eastAsia"/>
                <w:bCs/>
                <w:color w:val="000000" w:themeColor="text1"/>
                <w:sz w:val="24"/>
              </w:rPr>
              <w:t>日成立于开曼群岛，为香港交易所上市公司，主要业务为在亚太地区投资和开发物流、数据中心和商业地产。</w:t>
            </w:r>
          </w:p>
          <w:p w14:paraId="4DE32CD5"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t>ESR无最终控制人。</w:t>
            </w:r>
          </w:p>
        </w:tc>
      </w:tr>
      <w:tr w:rsidR="00157D15" w:rsidRPr="00157D15" w14:paraId="3DF309C9" w14:textId="77777777" w:rsidTr="00AF263F">
        <w:trPr>
          <w:trHeight w:val="984"/>
        </w:trPr>
        <w:tc>
          <w:tcPr>
            <w:tcW w:w="1940" w:type="dxa"/>
            <w:vMerge/>
            <w:shd w:val="clear" w:color="auto" w:fill="D9D9D9"/>
            <w:vAlign w:val="center"/>
          </w:tcPr>
          <w:p w14:paraId="543F1E31"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p>
        </w:tc>
        <w:tc>
          <w:tcPr>
            <w:tcW w:w="1607" w:type="dxa"/>
            <w:vAlign w:val="center"/>
          </w:tcPr>
          <w:p w14:paraId="1476323E"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t>2.APG</w:t>
            </w:r>
          </w:p>
        </w:tc>
        <w:tc>
          <w:tcPr>
            <w:tcW w:w="6093" w:type="dxa"/>
            <w:vAlign w:val="center"/>
          </w:tcPr>
          <w:p w14:paraId="15723258" w14:textId="77777777" w:rsidR="00157D15" w:rsidRPr="00157D15" w:rsidRDefault="00157D15" w:rsidP="00157D15">
            <w:pPr>
              <w:adjustRightInd w:val="0"/>
              <w:snapToGrid w:val="0"/>
              <w:rPr>
                <w:rFonts w:ascii="宋体" w:eastAsia="宋体" w:hAnsi="宋体" w:cs="宋体"/>
                <w:bCs/>
                <w:color w:val="000000" w:themeColor="text1"/>
                <w:sz w:val="24"/>
                <w:szCs w:val="24"/>
              </w:rPr>
            </w:pPr>
            <w:r w:rsidRPr="00157D15">
              <w:rPr>
                <w:rFonts w:ascii="宋体" w:eastAsia="宋体" w:hAnsi="宋体" w:cs="宋体" w:hint="eastAsia"/>
                <w:bCs/>
                <w:color w:val="000000" w:themeColor="text1"/>
                <w:sz w:val="24"/>
                <w:szCs w:val="24"/>
              </w:rPr>
              <w:t>APG于2</w:t>
            </w:r>
            <w:r w:rsidRPr="00157D15">
              <w:rPr>
                <w:rFonts w:ascii="宋体" w:eastAsia="宋体" w:hAnsi="宋体" w:cs="宋体"/>
                <w:bCs/>
                <w:color w:val="000000" w:themeColor="text1"/>
                <w:sz w:val="24"/>
                <w:szCs w:val="24"/>
              </w:rPr>
              <w:t>009</w:t>
            </w:r>
            <w:r w:rsidRPr="00157D15">
              <w:rPr>
                <w:rFonts w:ascii="宋体" w:eastAsia="宋体" w:hAnsi="宋体" w:cs="宋体" w:hint="eastAsia"/>
                <w:bCs/>
                <w:color w:val="000000" w:themeColor="text1"/>
                <w:sz w:val="24"/>
                <w:szCs w:val="24"/>
              </w:rPr>
              <w:t>年5月2</w:t>
            </w:r>
            <w:r w:rsidRPr="00157D15">
              <w:rPr>
                <w:rFonts w:ascii="宋体" w:eastAsia="宋体" w:hAnsi="宋体" w:cs="宋体"/>
                <w:bCs/>
                <w:color w:val="000000" w:themeColor="text1"/>
                <w:sz w:val="24"/>
                <w:szCs w:val="24"/>
              </w:rPr>
              <w:t>0</w:t>
            </w:r>
            <w:r w:rsidRPr="00157D15">
              <w:rPr>
                <w:rFonts w:ascii="宋体" w:eastAsia="宋体" w:hAnsi="宋体" w:cs="宋体" w:hint="eastAsia"/>
                <w:bCs/>
                <w:color w:val="000000" w:themeColor="text1"/>
                <w:sz w:val="24"/>
                <w:szCs w:val="24"/>
              </w:rPr>
              <w:t>日成立于荷兰，主要业务为房地产投资。</w:t>
            </w:r>
          </w:p>
          <w:p w14:paraId="590207D3" w14:textId="77777777" w:rsidR="00157D15" w:rsidRPr="00157D15" w:rsidRDefault="00157D15" w:rsidP="00157D15">
            <w:pPr>
              <w:adjustRightInd w:val="0"/>
              <w:snapToGrid w:val="0"/>
              <w:rPr>
                <w:rFonts w:ascii="宋体" w:eastAsia="宋体" w:hAnsi="宋体" w:cs="宋体"/>
                <w:bCs/>
                <w:color w:val="000000" w:themeColor="text1"/>
                <w:sz w:val="24"/>
                <w:szCs w:val="24"/>
              </w:rPr>
            </w:pPr>
            <w:r w:rsidRPr="00157D15">
              <w:rPr>
                <w:rFonts w:ascii="宋体" w:eastAsia="宋体" w:hAnsi="宋体" w:cs="宋体" w:hint="eastAsia"/>
                <w:bCs/>
                <w:color w:val="000000" w:themeColor="text1"/>
                <w:sz w:val="24"/>
                <w:szCs w:val="24"/>
              </w:rPr>
              <w:t>APG最终控制人为荷兰国民养老基金，主要业务为房地产投资。</w:t>
            </w:r>
          </w:p>
        </w:tc>
      </w:tr>
      <w:tr w:rsidR="00157D15" w:rsidRPr="00157D15" w14:paraId="4D18ACCB" w14:textId="77777777" w:rsidTr="00AF263F">
        <w:trPr>
          <w:trHeight w:val="984"/>
        </w:trPr>
        <w:tc>
          <w:tcPr>
            <w:tcW w:w="1940" w:type="dxa"/>
            <w:vMerge/>
            <w:shd w:val="clear" w:color="auto" w:fill="D9D9D9"/>
            <w:vAlign w:val="center"/>
          </w:tcPr>
          <w:p w14:paraId="2FCB3F95"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p>
        </w:tc>
        <w:tc>
          <w:tcPr>
            <w:tcW w:w="1607" w:type="dxa"/>
            <w:vAlign w:val="center"/>
          </w:tcPr>
          <w:p w14:paraId="23530F9F"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bCs/>
                <w:color w:val="000000" w:themeColor="text1"/>
                <w:sz w:val="24"/>
              </w:rPr>
              <w:t>3</w:t>
            </w:r>
            <w:r w:rsidRPr="00157D15">
              <w:rPr>
                <w:rFonts w:ascii="宋体" w:eastAsia="宋体" w:hAnsi="宋体" w:cs="宋体" w:hint="eastAsia"/>
                <w:bCs/>
                <w:color w:val="000000" w:themeColor="text1"/>
                <w:sz w:val="24"/>
              </w:rPr>
              <w:t>.瑞科黑檀</w:t>
            </w:r>
          </w:p>
        </w:tc>
        <w:tc>
          <w:tcPr>
            <w:tcW w:w="6093" w:type="dxa"/>
            <w:vAlign w:val="center"/>
          </w:tcPr>
          <w:p w14:paraId="448B0E18" w14:textId="77777777" w:rsidR="00157D15" w:rsidRPr="00157D15" w:rsidRDefault="00157D15" w:rsidP="00157D15">
            <w:pPr>
              <w:adjustRightInd w:val="0"/>
              <w:snapToGrid w:val="0"/>
              <w:rPr>
                <w:rFonts w:ascii="宋体" w:eastAsia="宋体" w:hAnsi="宋体" w:cs="宋体"/>
                <w:bCs/>
                <w:color w:val="000000" w:themeColor="text1"/>
                <w:sz w:val="24"/>
                <w:szCs w:val="24"/>
              </w:rPr>
            </w:pPr>
            <w:r w:rsidRPr="00157D15">
              <w:rPr>
                <w:rFonts w:ascii="宋体" w:eastAsia="宋体" w:hAnsi="宋体" w:cs="宋体" w:hint="eastAsia"/>
                <w:bCs/>
                <w:color w:val="000000" w:themeColor="text1"/>
                <w:sz w:val="24"/>
                <w:szCs w:val="24"/>
              </w:rPr>
              <w:t>瑞科黑檀于2</w:t>
            </w:r>
            <w:r w:rsidRPr="00157D15">
              <w:rPr>
                <w:rFonts w:ascii="宋体" w:eastAsia="宋体" w:hAnsi="宋体" w:cs="宋体"/>
                <w:bCs/>
                <w:color w:val="000000" w:themeColor="text1"/>
                <w:sz w:val="24"/>
                <w:szCs w:val="24"/>
              </w:rPr>
              <w:t>021</w:t>
            </w:r>
            <w:r w:rsidRPr="00157D15">
              <w:rPr>
                <w:rFonts w:ascii="宋体" w:eastAsia="宋体" w:hAnsi="宋体" w:cs="宋体" w:hint="eastAsia"/>
                <w:bCs/>
                <w:color w:val="000000" w:themeColor="text1"/>
                <w:sz w:val="24"/>
                <w:szCs w:val="24"/>
              </w:rPr>
              <w:t>年1月2</w:t>
            </w:r>
            <w:r w:rsidRPr="00157D15">
              <w:rPr>
                <w:rFonts w:ascii="宋体" w:eastAsia="宋体" w:hAnsi="宋体" w:cs="宋体"/>
                <w:bCs/>
                <w:color w:val="000000" w:themeColor="text1"/>
                <w:sz w:val="24"/>
                <w:szCs w:val="24"/>
              </w:rPr>
              <w:t>0</w:t>
            </w:r>
            <w:r w:rsidRPr="00157D15">
              <w:rPr>
                <w:rFonts w:ascii="宋体" w:eastAsia="宋体" w:hAnsi="宋体" w:cs="宋体" w:hint="eastAsia"/>
                <w:bCs/>
                <w:color w:val="000000" w:themeColor="text1"/>
                <w:sz w:val="24"/>
                <w:szCs w:val="24"/>
              </w:rPr>
              <w:t>日成立于新加坡，主要业务为投资位于中国的特定物流和地产项目。</w:t>
            </w:r>
          </w:p>
          <w:p w14:paraId="25A88590" w14:textId="44C4E5E6" w:rsidR="00157D15" w:rsidRPr="00157D15" w:rsidRDefault="00E47D07" w:rsidP="00157D15">
            <w:pPr>
              <w:adjustRightInd w:val="0"/>
              <w:snapToGrid w:val="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瑞科黑檀</w:t>
            </w:r>
            <w:r w:rsidRPr="00C960A5">
              <w:rPr>
                <w:rFonts w:ascii="宋体" w:eastAsia="宋体" w:hAnsi="宋体" w:cs="宋体" w:hint="eastAsia"/>
                <w:bCs/>
                <w:color w:val="000000" w:themeColor="text1"/>
                <w:sz w:val="24"/>
                <w:szCs w:val="24"/>
              </w:rPr>
              <w:t>最终控制人为</w:t>
            </w:r>
            <w:r w:rsidRPr="00C960A5">
              <w:rPr>
                <w:rFonts w:ascii="宋体" w:eastAsia="宋体" w:hAnsi="宋体" w:cs="宋体"/>
                <w:bCs/>
                <w:color w:val="000000" w:themeColor="text1"/>
                <w:sz w:val="24"/>
                <w:szCs w:val="24"/>
              </w:rPr>
              <w:t>GIC (Realty) Private Limited</w:t>
            </w:r>
            <w:r>
              <w:rPr>
                <w:rFonts w:ascii="宋体" w:eastAsia="宋体" w:hAnsi="宋体" w:cs="宋体" w:hint="eastAsia"/>
                <w:bCs/>
                <w:color w:val="000000" w:themeColor="text1"/>
                <w:sz w:val="24"/>
                <w:szCs w:val="24"/>
              </w:rPr>
              <w:t>（“G</w:t>
            </w:r>
            <w:r>
              <w:rPr>
                <w:rFonts w:ascii="宋体" w:eastAsia="宋体" w:hAnsi="宋体" w:cs="宋体"/>
                <w:bCs/>
                <w:color w:val="000000" w:themeColor="text1"/>
                <w:sz w:val="24"/>
                <w:szCs w:val="24"/>
              </w:rPr>
              <w:t>IC Realty</w:t>
            </w:r>
            <w:r>
              <w:rPr>
                <w:rFonts w:ascii="宋体" w:eastAsia="宋体" w:hAnsi="宋体" w:cs="宋体" w:hint="eastAsia"/>
                <w:bCs/>
                <w:color w:val="000000" w:themeColor="text1"/>
                <w:sz w:val="24"/>
                <w:szCs w:val="24"/>
              </w:rPr>
              <w:t>”）。G</w:t>
            </w:r>
            <w:r>
              <w:rPr>
                <w:rFonts w:ascii="宋体" w:eastAsia="宋体" w:hAnsi="宋体" w:cs="宋体"/>
                <w:bCs/>
                <w:color w:val="000000" w:themeColor="text1"/>
                <w:sz w:val="24"/>
                <w:szCs w:val="24"/>
              </w:rPr>
              <w:t>IC Realty</w:t>
            </w:r>
            <w:r w:rsidRPr="00C960A5">
              <w:rPr>
                <w:rFonts w:ascii="宋体" w:eastAsia="宋体" w:hAnsi="宋体" w:cs="宋体"/>
                <w:bCs/>
                <w:color w:val="000000" w:themeColor="text1"/>
                <w:sz w:val="24"/>
                <w:szCs w:val="24"/>
              </w:rPr>
              <w:t>主要从事地产投资</w:t>
            </w:r>
            <w:r w:rsidR="007D7B3F">
              <w:rPr>
                <w:rFonts w:ascii="宋体" w:eastAsia="宋体" w:hAnsi="宋体" w:cs="宋体" w:hint="eastAsia"/>
                <w:bCs/>
                <w:color w:val="000000" w:themeColor="text1"/>
                <w:sz w:val="24"/>
                <w:szCs w:val="24"/>
              </w:rPr>
              <w:t>业务</w:t>
            </w:r>
            <w:r w:rsidRPr="00C960A5">
              <w:rPr>
                <w:rFonts w:ascii="宋体" w:eastAsia="宋体" w:hAnsi="宋体" w:cs="宋体"/>
                <w:bCs/>
                <w:color w:val="000000" w:themeColor="text1"/>
                <w:sz w:val="24"/>
                <w:szCs w:val="24"/>
              </w:rPr>
              <w:t>。</w:t>
            </w:r>
          </w:p>
        </w:tc>
      </w:tr>
      <w:tr w:rsidR="00157D15" w:rsidRPr="00157D15" w14:paraId="661BADAF" w14:textId="77777777" w:rsidTr="00AF263F">
        <w:trPr>
          <w:trHeight w:val="279"/>
        </w:trPr>
        <w:tc>
          <w:tcPr>
            <w:tcW w:w="1940" w:type="dxa"/>
            <w:vMerge w:val="restart"/>
            <w:shd w:val="clear" w:color="auto" w:fill="D9D9D9"/>
            <w:vAlign w:val="center"/>
          </w:tcPr>
          <w:p w14:paraId="46A9CC86"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t>简易案件理由（可以单选，也可以多选）</w:t>
            </w:r>
          </w:p>
        </w:tc>
        <w:tc>
          <w:tcPr>
            <w:tcW w:w="7700" w:type="dxa"/>
            <w:gridSpan w:val="2"/>
            <w:vAlign w:val="center"/>
          </w:tcPr>
          <w:p w14:paraId="7B181647"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sym w:font="Wingdings" w:char="00FE"/>
            </w:r>
            <w:r w:rsidRPr="00157D15">
              <w:rPr>
                <w:rFonts w:ascii="宋体" w:eastAsia="宋体" w:hAnsi="宋体" w:cs="宋体" w:hint="eastAsia"/>
                <w:bCs/>
                <w:color w:val="000000" w:themeColor="text1"/>
                <w:sz w:val="24"/>
              </w:rPr>
              <w:t xml:space="preserve"> 1、在同一相关市场，所有参与集中的经营者所占市场份额之和小于15%。</w:t>
            </w:r>
          </w:p>
        </w:tc>
      </w:tr>
      <w:tr w:rsidR="00157D15" w:rsidRPr="00157D15" w14:paraId="553AE71A" w14:textId="77777777" w:rsidTr="00AF263F">
        <w:trPr>
          <w:trHeight w:val="330"/>
        </w:trPr>
        <w:tc>
          <w:tcPr>
            <w:tcW w:w="1940" w:type="dxa"/>
            <w:vMerge/>
            <w:shd w:val="clear" w:color="auto" w:fill="D9D9D9"/>
            <w:vAlign w:val="center"/>
          </w:tcPr>
          <w:p w14:paraId="4EE2F135"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p>
        </w:tc>
        <w:tc>
          <w:tcPr>
            <w:tcW w:w="7700" w:type="dxa"/>
            <w:gridSpan w:val="2"/>
            <w:vAlign w:val="center"/>
          </w:tcPr>
          <w:p w14:paraId="734C67E6"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sym w:font="Wingdings" w:char="00A8"/>
            </w:r>
            <w:r w:rsidRPr="00157D15">
              <w:rPr>
                <w:rFonts w:ascii="宋体" w:eastAsia="宋体" w:hAnsi="宋体" w:cs="宋体" w:hint="eastAsia"/>
                <w:bCs/>
                <w:color w:val="000000" w:themeColor="text1"/>
                <w:sz w:val="24"/>
              </w:rPr>
              <w:t xml:space="preserve"> 2、存在上下游关系的参与集中的经营者，在上下游市场所占的市场份额均小于25%。</w:t>
            </w:r>
          </w:p>
        </w:tc>
      </w:tr>
      <w:tr w:rsidR="00157D15" w:rsidRPr="00157D15" w14:paraId="2CF1CF0B" w14:textId="77777777" w:rsidTr="00AF263F">
        <w:trPr>
          <w:trHeight w:val="285"/>
        </w:trPr>
        <w:tc>
          <w:tcPr>
            <w:tcW w:w="1940" w:type="dxa"/>
            <w:vMerge/>
            <w:shd w:val="clear" w:color="auto" w:fill="D9D9D9"/>
            <w:vAlign w:val="center"/>
          </w:tcPr>
          <w:p w14:paraId="4FC0B6B9"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p>
        </w:tc>
        <w:tc>
          <w:tcPr>
            <w:tcW w:w="7700" w:type="dxa"/>
            <w:gridSpan w:val="2"/>
            <w:vAlign w:val="center"/>
          </w:tcPr>
          <w:p w14:paraId="2F2EAEBA"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sym w:font="Wingdings" w:char="00A8"/>
            </w:r>
            <w:r w:rsidRPr="00157D15">
              <w:rPr>
                <w:rFonts w:ascii="宋体" w:eastAsia="宋体" w:hAnsi="宋体" w:cs="宋体" w:hint="eastAsia"/>
                <w:bCs/>
                <w:color w:val="000000" w:themeColor="text1"/>
                <w:sz w:val="24"/>
              </w:rPr>
              <w:t xml:space="preserve">  3、不在同一相关市场、也不存在上下游关系的参与集中的经营者，在与交易有关的每个市场所占的份额均小于25%。</w:t>
            </w:r>
          </w:p>
        </w:tc>
      </w:tr>
      <w:tr w:rsidR="00157D15" w:rsidRPr="00157D15" w14:paraId="68B4990E" w14:textId="77777777" w:rsidTr="00AF263F">
        <w:trPr>
          <w:trHeight w:val="870"/>
        </w:trPr>
        <w:tc>
          <w:tcPr>
            <w:tcW w:w="1940" w:type="dxa"/>
            <w:vMerge/>
            <w:shd w:val="clear" w:color="auto" w:fill="D9D9D9"/>
            <w:vAlign w:val="center"/>
          </w:tcPr>
          <w:p w14:paraId="53A098AF"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p>
        </w:tc>
        <w:tc>
          <w:tcPr>
            <w:tcW w:w="7700" w:type="dxa"/>
            <w:gridSpan w:val="2"/>
            <w:vAlign w:val="center"/>
          </w:tcPr>
          <w:p w14:paraId="530E5A8C"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sym w:font="Wingdings" w:char="00A8"/>
            </w:r>
            <w:r w:rsidRPr="00157D15">
              <w:rPr>
                <w:rFonts w:ascii="宋体" w:eastAsia="宋体" w:hAnsi="宋体" w:cs="宋体" w:hint="eastAsia"/>
                <w:bCs/>
                <w:color w:val="000000" w:themeColor="text1"/>
                <w:sz w:val="24"/>
              </w:rPr>
              <w:t xml:space="preserve"> 4、参与集中的经营者在中国境外设立合营企业，合营企业不在中国境内从事经济活动。</w:t>
            </w:r>
          </w:p>
        </w:tc>
      </w:tr>
      <w:tr w:rsidR="00157D15" w:rsidRPr="00157D15" w14:paraId="7C8176EC" w14:textId="77777777" w:rsidTr="00AF263F">
        <w:trPr>
          <w:trHeight w:val="264"/>
        </w:trPr>
        <w:tc>
          <w:tcPr>
            <w:tcW w:w="1940" w:type="dxa"/>
            <w:vMerge/>
            <w:shd w:val="clear" w:color="auto" w:fill="D9D9D9"/>
            <w:vAlign w:val="center"/>
          </w:tcPr>
          <w:p w14:paraId="73609303"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p>
        </w:tc>
        <w:tc>
          <w:tcPr>
            <w:tcW w:w="7700" w:type="dxa"/>
            <w:gridSpan w:val="2"/>
            <w:vAlign w:val="center"/>
          </w:tcPr>
          <w:p w14:paraId="5AF4CDA1"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sym w:font="Wingdings" w:char="00A8"/>
            </w:r>
            <w:r w:rsidRPr="00157D15">
              <w:rPr>
                <w:rFonts w:ascii="宋体" w:eastAsia="宋体" w:hAnsi="宋体" w:cs="宋体" w:hint="eastAsia"/>
                <w:bCs/>
                <w:color w:val="000000" w:themeColor="text1"/>
                <w:sz w:val="24"/>
              </w:rPr>
              <w:t xml:space="preserve"> 5、参与集中的经营者收购境外企业股权或资产的，该境外企业不在中国境内从事经济活动。</w:t>
            </w:r>
          </w:p>
        </w:tc>
      </w:tr>
      <w:tr w:rsidR="00157D15" w:rsidRPr="00157D15" w14:paraId="035EE5B8" w14:textId="77777777" w:rsidTr="00AF263F">
        <w:trPr>
          <w:trHeight w:val="345"/>
        </w:trPr>
        <w:tc>
          <w:tcPr>
            <w:tcW w:w="1940" w:type="dxa"/>
            <w:vMerge/>
            <w:shd w:val="clear" w:color="auto" w:fill="D9D9D9"/>
            <w:vAlign w:val="center"/>
          </w:tcPr>
          <w:p w14:paraId="0DBC28FC"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p>
        </w:tc>
        <w:tc>
          <w:tcPr>
            <w:tcW w:w="7700" w:type="dxa"/>
            <w:gridSpan w:val="2"/>
            <w:vAlign w:val="center"/>
          </w:tcPr>
          <w:p w14:paraId="067CF8BC"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sym w:font="Wingdings" w:char="00A8"/>
            </w:r>
            <w:r w:rsidRPr="00157D15">
              <w:rPr>
                <w:rFonts w:ascii="宋体" w:eastAsia="宋体" w:hAnsi="宋体" w:cs="宋体" w:hint="eastAsia"/>
                <w:bCs/>
                <w:color w:val="000000" w:themeColor="text1"/>
                <w:sz w:val="24"/>
              </w:rPr>
              <w:t xml:space="preserve"> 6、由两个以上的经营者共同控制的合营企业，通过集中被其中一个或一个以上经营者控制。</w:t>
            </w:r>
          </w:p>
        </w:tc>
      </w:tr>
      <w:tr w:rsidR="00157D15" w:rsidRPr="00157D15" w14:paraId="408BD9EF" w14:textId="77777777" w:rsidTr="00AF263F">
        <w:trPr>
          <w:trHeight w:val="1250"/>
        </w:trPr>
        <w:tc>
          <w:tcPr>
            <w:tcW w:w="1940" w:type="dxa"/>
            <w:shd w:val="clear" w:color="auto" w:fill="D9D9D9"/>
            <w:vAlign w:val="center"/>
          </w:tcPr>
          <w:p w14:paraId="6A9F77C4"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t>备注</w:t>
            </w:r>
          </w:p>
        </w:tc>
        <w:tc>
          <w:tcPr>
            <w:tcW w:w="7700" w:type="dxa"/>
            <w:gridSpan w:val="2"/>
            <w:vAlign w:val="center"/>
          </w:tcPr>
          <w:p w14:paraId="02C295B0"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
                <w:color w:val="000000" w:themeColor="text1"/>
                <w:sz w:val="24"/>
              </w:rPr>
              <w:t>横向重叠</w:t>
            </w:r>
            <w:r w:rsidRPr="00157D15">
              <w:rPr>
                <w:rFonts w:ascii="宋体" w:eastAsia="宋体" w:hAnsi="宋体" w:cs="宋体" w:hint="eastAsia"/>
                <w:bCs/>
                <w:color w:val="000000" w:themeColor="text1"/>
                <w:sz w:val="24"/>
              </w:rPr>
              <w:t>：</w:t>
            </w:r>
          </w:p>
          <w:p w14:paraId="7DF54199" w14:textId="77777777" w:rsidR="00157D15" w:rsidRPr="00157D15" w:rsidRDefault="00157D15" w:rsidP="00157D15">
            <w:pPr>
              <w:pStyle w:val="a1"/>
              <w:adjustRightInd w:val="0"/>
              <w:snapToGrid w:val="0"/>
              <w:spacing w:after="0"/>
              <w:rPr>
                <w:rFonts w:ascii="宋体" w:eastAsia="宋体" w:hAnsi="宋体" w:cs="宋体"/>
                <w:bCs/>
                <w:color w:val="000000" w:themeColor="text1"/>
                <w:sz w:val="24"/>
              </w:rPr>
            </w:pPr>
            <w:r w:rsidRPr="00157D15">
              <w:rPr>
                <w:rFonts w:ascii="宋体" w:eastAsia="宋体" w:hAnsi="宋体" w:cs="宋体" w:hint="eastAsia"/>
                <w:bCs/>
                <w:color w:val="000000" w:themeColor="text1"/>
                <w:sz w:val="24"/>
              </w:rPr>
              <w:t>2</w:t>
            </w:r>
            <w:r w:rsidRPr="00157D15">
              <w:rPr>
                <w:rFonts w:ascii="宋体" w:eastAsia="宋体" w:hAnsi="宋体" w:cs="宋体"/>
                <w:bCs/>
                <w:color w:val="000000" w:themeColor="text1"/>
                <w:sz w:val="24"/>
              </w:rPr>
              <w:t>023</w:t>
            </w:r>
            <w:r w:rsidRPr="00157D15">
              <w:rPr>
                <w:rFonts w:ascii="宋体" w:eastAsia="宋体" w:hAnsi="宋体" w:cs="宋体" w:hint="eastAsia"/>
                <w:bCs/>
                <w:color w:val="000000" w:themeColor="text1"/>
                <w:sz w:val="24"/>
              </w:rPr>
              <w:t>年广州市通用仓库开发和租赁市场：</w:t>
            </w:r>
          </w:p>
          <w:p w14:paraId="44E2816C" w14:textId="459031B4" w:rsidR="00157D15" w:rsidRPr="00157D15" w:rsidRDefault="00E47D07" w:rsidP="00157D15">
            <w:pPr>
              <w:pStyle w:val="a1"/>
              <w:adjustRightInd w:val="0"/>
              <w:snapToGrid w:val="0"/>
              <w:spacing w:after="0"/>
              <w:rPr>
                <w:rFonts w:ascii="宋体" w:eastAsia="宋体" w:hAnsi="宋体" w:cs="宋体"/>
                <w:bCs/>
                <w:color w:val="000000" w:themeColor="text1"/>
                <w:sz w:val="24"/>
              </w:rPr>
            </w:pPr>
            <w:r w:rsidRPr="00E47D07">
              <w:rPr>
                <w:rFonts w:ascii="宋体" w:eastAsia="宋体" w:hAnsi="宋体" w:cs="宋体" w:hint="eastAsia"/>
                <w:bCs/>
                <w:color w:val="000000" w:themeColor="text1"/>
                <w:sz w:val="24"/>
              </w:rPr>
              <w:t>ESR：0</w:t>
            </w:r>
            <w:r w:rsidRPr="00E47D07">
              <w:rPr>
                <w:rFonts w:ascii="宋体" w:eastAsia="宋体" w:hAnsi="宋体" w:cs="宋体"/>
                <w:bCs/>
                <w:color w:val="000000" w:themeColor="text1"/>
                <w:sz w:val="24"/>
              </w:rPr>
              <w:t>-5%</w:t>
            </w:r>
            <w:r w:rsidRPr="00E47D07">
              <w:rPr>
                <w:rFonts w:ascii="宋体" w:eastAsia="宋体" w:hAnsi="宋体" w:cs="宋体" w:hint="eastAsia"/>
                <w:bCs/>
                <w:color w:val="000000" w:themeColor="text1"/>
                <w:sz w:val="24"/>
              </w:rPr>
              <w:t>；瑞科黑檀：</w:t>
            </w:r>
            <w:r w:rsidRPr="00E47D07">
              <w:rPr>
                <w:rFonts w:ascii="宋体" w:eastAsia="宋体" w:hAnsi="宋体" w:cs="宋体"/>
                <w:bCs/>
                <w:color w:val="000000" w:themeColor="text1"/>
                <w:sz w:val="24"/>
              </w:rPr>
              <w:t>0-5%</w:t>
            </w:r>
            <w:r w:rsidRPr="00E47D07">
              <w:rPr>
                <w:rFonts w:ascii="宋体" w:eastAsia="宋体" w:hAnsi="宋体" w:cs="宋体" w:hint="eastAsia"/>
                <w:bCs/>
                <w:color w:val="000000" w:themeColor="text1"/>
                <w:sz w:val="24"/>
              </w:rPr>
              <w:t>；各方合计：</w:t>
            </w:r>
            <w:r w:rsidR="001057A4">
              <w:rPr>
                <w:rFonts w:ascii="宋体" w:eastAsia="宋体" w:hAnsi="宋体" w:cs="宋体"/>
                <w:bCs/>
                <w:color w:val="000000" w:themeColor="text1"/>
                <w:sz w:val="24"/>
              </w:rPr>
              <w:t>0</w:t>
            </w:r>
            <w:r w:rsidRPr="00E47D07">
              <w:rPr>
                <w:rFonts w:ascii="宋体" w:eastAsia="宋体" w:hAnsi="宋体" w:cs="宋体"/>
                <w:bCs/>
                <w:color w:val="000000" w:themeColor="text1"/>
                <w:sz w:val="24"/>
              </w:rPr>
              <w:t>-</w:t>
            </w:r>
            <w:r w:rsidR="001057A4">
              <w:rPr>
                <w:rFonts w:ascii="宋体" w:eastAsia="宋体" w:hAnsi="宋体" w:cs="宋体"/>
                <w:bCs/>
                <w:color w:val="000000" w:themeColor="text1"/>
                <w:sz w:val="24"/>
              </w:rPr>
              <w:t>5</w:t>
            </w:r>
            <w:r w:rsidRPr="00E47D07">
              <w:rPr>
                <w:rFonts w:ascii="宋体" w:eastAsia="宋体" w:hAnsi="宋体" w:cs="宋体"/>
                <w:bCs/>
                <w:color w:val="000000" w:themeColor="text1"/>
                <w:sz w:val="24"/>
              </w:rPr>
              <w:t>%</w:t>
            </w:r>
          </w:p>
        </w:tc>
      </w:tr>
    </w:tbl>
    <w:p w14:paraId="31168F87" w14:textId="77777777" w:rsidR="006144FC" w:rsidRPr="00157D15" w:rsidRDefault="006144FC" w:rsidP="00E47D07">
      <w:pPr>
        <w:rPr>
          <w:rFonts w:eastAsia="宋体"/>
        </w:rPr>
      </w:pPr>
    </w:p>
    <w:sectPr w:rsidR="006144FC" w:rsidRPr="00157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8917" w14:textId="77777777" w:rsidR="00D33470" w:rsidRDefault="00D33470" w:rsidP="00157D15">
      <w:r>
        <w:separator/>
      </w:r>
    </w:p>
  </w:endnote>
  <w:endnote w:type="continuationSeparator" w:id="0">
    <w:p w14:paraId="46FC0FFA" w14:textId="77777777" w:rsidR="00D33470" w:rsidRDefault="00D33470" w:rsidP="0015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E936" w14:textId="77777777" w:rsidR="00D33470" w:rsidRDefault="00D33470" w:rsidP="00157D15">
      <w:r>
        <w:separator/>
      </w:r>
    </w:p>
  </w:footnote>
  <w:footnote w:type="continuationSeparator" w:id="0">
    <w:p w14:paraId="7A2158E5" w14:textId="77777777" w:rsidR="00D33470" w:rsidRDefault="00D33470" w:rsidP="0015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1965830"/>
    <w:lvl w:ilvl="0">
      <w:start w:val="1"/>
      <w:numFmt w:val="decimal"/>
      <w:lvlText w:val="%1."/>
      <w:lvlJc w:val="left"/>
      <w:pPr>
        <w:tabs>
          <w:tab w:val="num" w:pos="1620"/>
        </w:tabs>
        <w:ind w:leftChars="600" w:left="1620" w:hangingChars="200" w:hanging="360"/>
      </w:pPr>
    </w:lvl>
  </w:abstractNum>
  <w:abstractNum w:abstractNumId="1" w15:restartNumberingAfterBreak="0">
    <w:nsid w:val="FFFFFF7E"/>
    <w:multiLevelType w:val="singleLevel"/>
    <w:tmpl w:val="6E58B076"/>
    <w:lvl w:ilvl="0">
      <w:start w:val="1"/>
      <w:numFmt w:val="decimal"/>
      <w:lvlText w:val="%1."/>
      <w:lvlJc w:val="left"/>
      <w:pPr>
        <w:tabs>
          <w:tab w:val="num" w:pos="1200"/>
        </w:tabs>
        <w:ind w:leftChars="400" w:left="1200" w:hangingChars="200" w:hanging="360"/>
      </w:pPr>
    </w:lvl>
  </w:abstractNum>
  <w:abstractNum w:abstractNumId="2" w15:restartNumberingAfterBreak="0">
    <w:nsid w:val="FFFFFF7F"/>
    <w:multiLevelType w:val="singleLevel"/>
    <w:tmpl w:val="0C8A51D2"/>
    <w:lvl w:ilvl="0">
      <w:start w:val="1"/>
      <w:numFmt w:val="decimal"/>
      <w:lvlText w:val="%1."/>
      <w:lvlJc w:val="left"/>
      <w:pPr>
        <w:tabs>
          <w:tab w:val="num" w:pos="780"/>
        </w:tabs>
        <w:ind w:leftChars="200" w:left="780" w:hangingChars="200" w:hanging="360"/>
      </w:pPr>
    </w:lvl>
  </w:abstractNum>
  <w:abstractNum w:abstractNumId="3" w15:restartNumberingAfterBreak="0">
    <w:nsid w:val="FFFFFF88"/>
    <w:multiLevelType w:val="singleLevel"/>
    <w:tmpl w:val="FD00AECA"/>
    <w:lvl w:ilvl="0">
      <w:start w:val="1"/>
      <w:numFmt w:val="decimal"/>
      <w:lvlText w:val="%1."/>
      <w:lvlJc w:val="left"/>
      <w:pPr>
        <w:tabs>
          <w:tab w:val="num" w:pos="360"/>
        </w:tabs>
        <w:ind w:left="360" w:hangingChars="200" w:hanging="360"/>
      </w:pPr>
    </w:lvl>
  </w:abstractNum>
  <w:abstractNum w:abstractNumId="4"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99F52AB"/>
    <w:multiLevelType w:val="multilevel"/>
    <w:tmpl w:val="D70EC034"/>
    <w:numStyleLink w:val="BMSchedules"/>
  </w:abstractNum>
  <w:abstractNum w:abstractNumId="6"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F1C7A27"/>
    <w:multiLevelType w:val="hybridMultilevel"/>
    <w:tmpl w:val="06924C16"/>
    <w:lvl w:ilvl="0" w:tplc="1434604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51C4C"/>
    <w:multiLevelType w:val="multilevel"/>
    <w:tmpl w:val="7B24B224"/>
    <w:styleLink w:val="BMHeadings"/>
    <w:lvl w:ilvl="0">
      <w:start w:val="1"/>
      <w:numFmt w:val="none"/>
      <w:pStyle w:val="1"/>
      <w:suff w:val="nothing"/>
      <w:lvlText w:val=""/>
      <w:lvlJc w:val="left"/>
      <w:pPr>
        <w:ind w:left="0" w:firstLine="0"/>
      </w:pPr>
      <w:rPr>
        <w:rFonts w:hint="default"/>
      </w:rPr>
    </w:lvl>
    <w:lvl w:ilvl="1">
      <w:start w:val="1"/>
      <w:numFmt w:val="decimal"/>
      <w:pStyle w:val="2"/>
      <w:lvlText w:val="%2."/>
      <w:lvlJc w:val="left"/>
      <w:pPr>
        <w:tabs>
          <w:tab w:val="num" w:pos="709"/>
        </w:tabs>
        <w:ind w:left="709" w:hanging="709"/>
      </w:pPr>
      <w:rPr>
        <w:rFonts w:hint="default"/>
      </w:rPr>
    </w:lvl>
    <w:lvl w:ilvl="2">
      <w:start w:val="1"/>
      <w:numFmt w:val="decimal"/>
      <w:pStyle w:val="3"/>
      <w:lvlText w:val="%2.%3"/>
      <w:lvlJc w:val="left"/>
      <w:pPr>
        <w:tabs>
          <w:tab w:val="num" w:pos="709"/>
        </w:tabs>
        <w:ind w:left="709" w:hanging="709"/>
      </w:pPr>
      <w:rPr>
        <w:rFonts w:hint="default"/>
      </w:rPr>
    </w:lvl>
    <w:lvl w:ilvl="3">
      <w:start w:val="1"/>
      <w:numFmt w:val="lowerLetter"/>
      <w:pStyle w:val="4"/>
      <w:lvlText w:val="(%4)"/>
      <w:lvlJc w:val="left"/>
      <w:pPr>
        <w:tabs>
          <w:tab w:val="num" w:pos="1418"/>
        </w:tabs>
        <w:ind w:left="1418" w:hanging="709"/>
      </w:pPr>
      <w:rPr>
        <w:rFonts w:hint="default"/>
      </w:rPr>
    </w:lvl>
    <w:lvl w:ilvl="4">
      <w:start w:val="1"/>
      <w:numFmt w:val="lowerRoman"/>
      <w:pStyle w:val="5"/>
      <w:lvlText w:val="(%5)"/>
      <w:lvlJc w:val="left"/>
      <w:pPr>
        <w:tabs>
          <w:tab w:val="num" w:pos="2126"/>
        </w:tabs>
        <w:ind w:left="2126" w:hanging="708"/>
      </w:pPr>
      <w:rPr>
        <w:rFonts w:hint="default"/>
      </w:rPr>
    </w:lvl>
    <w:lvl w:ilvl="5">
      <w:start w:val="1"/>
      <w:numFmt w:val="upperLetter"/>
      <w:pStyle w:val="6"/>
      <w:lvlText w:val="(%6)"/>
      <w:lvlJc w:val="left"/>
      <w:pPr>
        <w:tabs>
          <w:tab w:val="num" w:pos="2835"/>
        </w:tabs>
        <w:ind w:left="2835" w:hanging="709"/>
      </w:pPr>
      <w:rPr>
        <w:rFonts w:hint="default"/>
      </w:rPr>
    </w:lvl>
    <w:lvl w:ilvl="6">
      <w:start w:val="1"/>
      <w:numFmt w:val="decimal"/>
      <w:pStyle w:val="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0622118"/>
    <w:multiLevelType w:val="multilevel"/>
    <w:tmpl w:val="F492126A"/>
    <w:styleLink w:val="BMListNumbers"/>
    <w:lvl w:ilvl="0">
      <w:start w:val="1"/>
      <w:numFmt w:val="decimal"/>
      <w:pStyle w:val="a"/>
      <w:lvlText w:val="%1."/>
      <w:lvlJc w:val="left"/>
      <w:pPr>
        <w:tabs>
          <w:tab w:val="num" w:pos="709"/>
        </w:tabs>
        <w:ind w:left="709" w:hanging="709"/>
      </w:pPr>
      <w:rPr>
        <w:rFonts w:hint="default"/>
      </w:rPr>
    </w:lvl>
    <w:lvl w:ilvl="1">
      <w:start w:val="1"/>
      <w:numFmt w:val="lowerLetter"/>
      <w:lvlRestart w:val="0"/>
      <w:pStyle w:val="20"/>
      <w:lvlText w:val="(%2)"/>
      <w:lvlJc w:val="left"/>
      <w:pPr>
        <w:tabs>
          <w:tab w:val="num" w:pos="1418"/>
        </w:tabs>
        <w:ind w:left="1418" w:hanging="709"/>
      </w:pPr>
      <w:rPr>
        <w:rFonts w:hint="default"/>
      </w:rPr>
    </w:lvl>
    <w:lvl w:ilvl="2">
      <w:start w:val="1"/>
      <w:numFmt w:val="lowerRoman"/>
      <w:lvlRestart w:val="0"/>
      <w:pStyle w:val="30"/>
      <w:lvlText w:val="(%3)"/>
      <w:lvlJc w:val="left"/>
      <w:pPr>
        <w:tabs>
          <w:tab w:val="num" w:pos="2126"/>
        </w:tabs>
        <w:ind w:left="2126" w:hanging="708"/>
      </w:pPr>
      <w:rPr>
        <w:rFonts w:hint="default"/>
      </w:rPr>
    </w:lvl>
    <w:lvl w:ilvl="3">
      <w:start w:val="1"/>
      <w:numFmt w:val="upperLetter"/>
      <w:lvlRestart w:val="0"/>
      <w:pStyle w:val="4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8FC3910"/>
    <w:multiLevelType w:val="multilevel"/>
    <w:tmpl w:val="7B24B224"/>
    <w:numStyleLink w:val="BMHeadings"/>
  </w:abstractNum>
  <w:abstractNum w:abstractNumId="11"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5D3867F6"/>
    <w:multiLevelType w:val="hybridMultilevel"/>
    <w:tmpl w:val="1BCEEF14"/>
    <w:lvl w:ilvl="0" w:tplc="72441892">
      <w:start w:val="1"/>
      <w:numFmt w:val="bullet"/>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42247F"/>
    <w:multiLevelType w:val="multilevel"/>
    <w:tmpl w:val="90F2074C"/>
    <w:lvl w:ilvl="0">
      <w:start w:val="1"/>
      <w:numFmt w:val="decimal"/>
      <w:pStyle w:val="AMLNotifyL1"/>
      <w:lvlText w:val="%1."/>
      <w:lvlJc w:val="left"/>
      <w:pPr>
        <w:tabs>
          <w:tab w:val="left" w:pos="706"/>
        </w:tabs>
      </w:pPr>
      <w:rPr>
        <w:b/>
        <w:i w:val="0"/>
        <w:caps w:val="0"/>
        <w:smallCaps w:val="0"/>
      </w:rPr>
    </w:lvl>
    <w:lvl w:ilvl="1">
      <w:start w:val="1"/>
      <w:numFmt w:val="decimal"/>
      <w:pStyle w:val="AMLNotifyL2"/>
      <w:isLgl/>
      <w:lvlText w:val="%1.%2"/>
      <w:lvlJc w:val="left"/>
      <w:pPr>
        <w:tabs>
          <w:tab w:val="left" w:pos="709"/>
        </w:tabs>
      </w:pPr>
      <w:rPr>
        <w:b w:val="0"/>
        <w:i w:val="0"/>
        <w:caps w:val="0"/>
      </w:rPr>
    </w:lvl>
    <w:lvl w:ilvl="2">
      <w:start w:val="1"/>
      <w:numFmt w:val="decimal"/>
      <w:pStyle w:val="AMLNotifyL3"/>
      <w:lvlText w:val="%1.%2.%3"/>
      <w:lvlJc w:val="left"/>
      <w:pPr>
        <w:tabs>
          <w:tab w:val="left" w:pos="567"/>
        </w:tabs>
      </w:pPr>
      <w:rPr>
        <w:b w:val="0"/>
        <w:i w:val="0"/>
        <w:caps w:val="0"/>
      </w:rPr>
    </w:lvl>
    <w:lvl w:ilvl="3">
      <w:start w:val="1"/>
      <w:numFmt w:val="lowerLetter"/>
      <w:pStyle w:val="AMLNotifyL4"/>
      <w:lvlText w:val="(%4)"/>
      <w:lvlJc w:val="left"/>
      <w:pPr>
        <w:tabs>
          <w:tab w:val="left" w:pos="706"/>
        </w:tabs>
      </w:pPr>
      <w:rPr>
        <w:b w:val="0"/>
        <w:i w:val="0"/>
        <w:caps w:val="0"/>
      </w:rPr>
    </w:lvl>
    <w:lvl w:ilvl="4">
      <w:start w:val="1"/>
      <w:numFmt w:val="lowerRoman"/>
      <w:pStyle w:val="AMLNotifyL5"/>
      <w:lvlText w:val="(%5)"/>
      <w:lvlJc w:val="left"/>
      <w:pPr>
        <w:tabs>
          <w:tab w:val="left" w:pos="709"/>
        </w:tabs>
      </w:pPr>
      <w:rPr>
        <w:rFonts w:ascii="Times New Roman" w:hAnsi="Times New Roman"/>
        <w:b w:val="0"/>
        <w:i w:val="0"/>
        <w:caps w:val="0"/>
      </w:rPr>
    </w:lvl>
    <w:lvl w:ilvl="5">
      <w:start w:val="1"/>
      <w:numFmt w:val="decimal"/>
      <w:lvlText w:val="%6."/>
      <w:lvlJc w:val="left"/>
      <w:pPr>
        <w:tabs>
          <w:tab w:val="left" w:pos="6480"/>
        </w:tabs>
        <w:ind w:firstLine="5760"/>
      </w:pPr>
      <w:rPr>
        <w:b w:val="0"/>
        <w:i w:val="0"/>
        <w:caps w:val="0"/>
      </w:rPr>
    </w:lvl>
    <w:lvl w:ilvl="6">
      <w:start w:val="1"/>
      <w:numFmt w:val="decimal"/>
      <w:lvlText w:val="%7."/>
      <w:lvlJc w:val="left"/>
      <w:pPr>
        <w:tabs>
          <w:tab w:val="left" w:pos="6480"/>
        </w:tabs>
        <w:ind w:firstLine="5760"/>
      </w:pPr>
      <w:rPr>
        <w:b w:val="0"/>
        <w:i w:val="0"/>
        <w:caps w:val="0"/>
      </w:rPr>
    </w:lvl>
    <w:lvl w:ilvl="7">
      <w:start w:val="1"/>
      <w:numFmt w:val="decimal"/>
      <w:lvlText w:val="%8."/>
      <w:lvlJc w:val="left"/>
      <w:pPr>
        <w:tabs>
          <w:tab w:val="left" w:pos="6480"/>
        </w:tabs>
        <w:ind w:firstLine="5760"/>
      </w:pPr>
      <w:rPr>
        <w:b w:val="0"/>
        <w:i w:val="0"/>
        <w:caps w:val="0"/>
      </w:rPr>
    </w:lvl>
    <w:lvl w:ilvl="8">
      <w:start w:val="1"/>
      <w:numFmt w:val="decimal"/>
      <w:lvlText w:val="%9."/>
      <w:lvlJc w:val="left"/>
      <w:pPr>
        <w:tabs>
          <w:tab w:val="left" w:pos="6480"/>
        </w:tabs>
        <w:ind w:firstLine="5760"/>
      </w:pPr>
      <w:rPr>
        <w:b w:val="0"/>
        <w:i w:val="0"/>
        <w:caps w:val="0"/>
      </w:rPr>
    </w:lvl>
  </w:abstractNum>
  <w:num w:numId="1" w16cid:durableId="476151389">
    <w:abstractNumId w:val="12"/>
  </w:num>
  <w:num w:numId="2" w16cid:durableId="2115905924">
    <w:abstractNumId w:val="7"/>
  </w:num>
  <w:num w:numId="3" w16cid:durableId="411314653">
    <w:abstractNumId w:val="11"/>
  </w:num>
  <w:num w:numId="4" w16cid:durableId="279915380">
    <w:abstractNumId w:val="8"/>
  </w:num>
  <w:num w:numId="5" w16cid:durableId="377049697">
    <w:abstractNumId w:val="9"/>
  </w:num>
  <w:num w:numId="6" w16cid:durableId="2105178185">
    <w:abstractNumId w:val="4"/>
  </w:num>
  <w:num w:numId="7" w16cid:durableId="1460613602">
    <w:abstractNumId w:val="11"/>
  </w:num>
  <w:num w:numId="8" w16cid:durableId="282270730">
    <w:abstractNumId w:val="6"/>
  </w:num>
  <w:num w:numId="9" w16cid:durableId="690257110">
    <w:abstractNumId w:val="5"/>
  </w:num>
  <w:num w:numId="10" w16cid:durableId="951326740">
    <w:abstractNumId w:val="5"/>
  </w:num>
  <w:num w:numId="11" w16cid:durableId="1677688156">
    <w:abstractNumId w:val="5"/>
  </w:num>
  <w:num w:numId="12" w16cid:durableId="358312476">
    <w:abstractNumId w:val="5"/>
  </w:num>
  <w:num w:numId="13" w16cid:durableId="1433627277">
    <w:abstractNumId w:val="5"/>
  </w:num>
  <w:num w:numId="14" w16cid:durableId="2063088710">
    <w:abstractNumId w:val="5"/>
  </w:num>
  <w:num w:numId="15" w16cid:durableId="1064988116">
    <w:abstractNumId w:val="10"/>
  </w:num>
  <w:num w:numId="16" w16cid:durableId="756096029">
    <w:abstractNumId w:val="10"/>
  </w:num>
  <w:num w:numId="17" w16cid:durableId="1458716476">
    <w:abstractNumId w:val="10"/>
  </w:num>
  <w:num w:numId="18" w16cid:durableId="605846066">
    <w:abstractNumId w:val="10"/>
  </w:num>
  <w:num w:numId="19" w16cid:durableId="1337810269">
    <w:abstractNumId w:val="10"/>
  </w:num>
  <w:num w:numId="20" w16cid:durableId="497620599">
    <w:abstractNumId w:val="10"/>
  </w:num>
  <w:num w:numId="21" w16cid:durableId="427196412">
    <w:abstractNumId w:val="10"/>
  </w:num>
  <w:num w:numId="22" w16cid:durableId="2102872882">
    <w:abstractNumId w:val="3"/>
  </w:num>
  <w:num w:numId="23" w16cid:durableId="2068257551">
    <w:abstractNumId w:val="9"/>
  </w:num>
  <w:num w:numId="24" w16cid:durableId="1352103740">
    <w:abstractNumId w:val="2"/>
  </w:num>
  <w:num w:numId="25" w16cid:durableId="757411524">
    <w:abstractNumId w:val="9"/>
  </w:num>
  <w:num w:numId="26" w16cid:durableId="1623070071">
    <w:abstractNumId w:val="1"/>
  </w:num>
  <w:num w:numId="27" w16cid:durableId="401492825">
    <w:abstractNumId w:val="9"/>
  </w:num>
  <w:num w:numId="28" w16cid:durableId="363363889">
    <w:abstractNumId w:val="0"/>
  </w:num>
  <w:num w:numId="29" w16cid:durableId="1624726891">
    <w:abstractNumId w:val="9"/>
  </w:num>
  <w:num w:numId="30" w16cid:durableId="13470560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i" w:val="Shanghai - Baker &amp; McKenzie FenXun - SIMPLIFIED CHINESE (ALL).ini"/>
  </w:docVars>
  <w:rsids>
    <w:rsidRoot w:val="008C3F5A"/>
    <w:rsid w:val="001057A4"/>
    <w:rsid w:val="00157D15"/>
    <w:rsid w:val="00244C63"/>
    <w:rsid w:val="002F4136"/>
    <w:rsid w:val="00462EAA"/>
    <w:rsid w:val="006144FC"/>
    <w:rsid w:val="00636F23"/>
    <w:rsid w:val="006813F7"/>
    <w:rsid w:val="007A7D98"/>
    <w:rsid w:val="007D7B3F"/>
    <w:rsid w:val="00880C31"/>
    <w:rsid w:val="008C3F5A"/>
    <w:rsid w:val="009F1FAB"/>
    <w:rsid w:val="00A75303"/>
    <w:rsid w:val="00A80112"/>
    <w:rsid w:val="00AD3170"/>
    <w:rsid w:val="00AF596A"/>
    <w:rsid w:val="00B05C71"/>
    <w:rsid w:val="00B74D58"/>
    <w:rsid w:val="00C7327B"/>
    <w:rsid w:val="00CF0ED8"/>
    <w:rsid w:val="00D33470"/>
    <w:rsid w:val="00E47D07"/>
    <w:rsid w:val="00E63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73EB1"/>
  <w15:chartTrackingRefBased/>
  <w15:docId w15:val="{8BEE0854-CE61-4DA6-88C5-26D9DD19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57D15"/>
    <w:pPr>
      <w:widowControl w:val="0"/>
      <w:jc w:val="both"/>
    </w:pPr>
  </w:style>
  <w:style w:type="paragraph" w:styleId="1">
    <w:name w:val="heading 1"/>
    <w:basedOn w:val="a0"/>
    <w:next w:val="a1"/>
    <w:link w:val="10"/>
    <w:qFormat/>
    <w:pPr>
      <w:keepNext/>
      <w:numPr>
        <w:numId w:val="21"/>
      </w:numPr>
      <w:spacing w:after="180" w:line="260" w:lineRule="atLeast"/>
      <w:outlineLvl w:val="0"/>
    </w:pPr>
    <w:rPr>
      <w:rFonts w:asciiTheme="majorHAnsi" w:eastAsiaTheme="majorEastAsia" w:hAnsiTheme="majorHAnsi" w:cstheme="majorHAnsi"/>
      <w:b/>
      <w:bCs/>
    </w:rPr>
  </w:style>
  <w:style w:type="paragraph" w:styleId="2">
    <w:name w:val="heading 2"/>
    <w:basedOn w:val="a0"/>
    <w:next w:val="a1"/>
    <w:link w:val="21"/>
    <w:qFormat/>
    <w:pPr>
      <w:keepNext/>
      <w:numPr>
        <w:ilvl w:val="1"/>
        <w:numId w:val="21"/>
      </w:numPr>
      <w:spacing w:after="180" w:line="260" w:lineRule="atLeast"/>
      <w:outlineLvl w:val="1"/>
    </w:pPr>
    <w:rPr>
      <w:rFonts w:asciiTheme="majorHAnsi" w:eastAsiaTheme="majorEastAsia" w:hAnsiTheme="majorHAnsi" w:cstheme="majorHAnsi"/>
      <w:b/>
      <w:bCs/>
    </w:rPr>
  </w:style>
  <w:style w:type="paragraph" w:styleId="3">
    <w:name w:val="heading 3"/>
    <w:basedOn w:val="a0"/>
    <w:link w:val="31"/>
    <w:qFormat/>
    <w:pPr>
      <w:numPr>
        <w:ilvl w:val="2"/>
        <w:numId w:val="21"/>
      </w:numPr>
      <w:spacing w:after="180" w:line="260" w:lineRule="atLeast"/>
      <w:outlineLvl w:val="2"/>
    </w:pPr>
  </w:style>
  <w:style w:type="paragraph" w:styleId="4">
    <w:name w:val="heading 4"/>
    <w:basedOn w:val="a0"/>
    <w:link w:val="41"/>
    <w:qFormat/>
    <w:pPr>
      <w:numPr>
        <w:ilvl w:val="3"/>
        <w:numId w:val="21"/>
      </w:numPr>
      <w:spacing w:after="180" w:line="260" w:lineRule="atLeast"/>
      <w:outlineLvl w:val="3"/>
    </w:pPr>
  </w:style>
  <w:style w:type="paragraph" w:styleId="5">
    <w:name w:val="heading 5"/>
    <w:basedOn w:val="a0"/>
    <w:link w:val="50"/>
    <w:qFormat/>
    <w:pPr>
      <w:numPr>
        <w:ilvl w:val="4"/>
        <w:numId w:val="21"/>
      </w:numPr>
      <w:spacing w:after="180" w:line="260" w:lineRule="atLeast"/>
      <w:outlineLvl w:val="4"/>
    </w:pPr>
  </w:style>
  <w:style w:type="paragraph" w:styleId="6">
    <w:name w:val="heading 6"/>
    <w:basedOn w:val="a0"/>
    <w:link w:val="60"/>
    <w:qFormat/>
    <w:pPr>
      <w:numPr>
        <w:ilvl w:val="5"/>
        <w:numId w:val="21"/>
      </w:numPr>
      <w:spacing w:after="180" w:line="260" w:lineRule="atLeast"/>
      <w:outlineLvl w:val="5"/>
    </w:pPr>
  </w:style>
  <w:style w:type="paragraph" w:styleId="7">
    <w:name w:val="heading 7"/>
    <w:basedOn w:val="a0"/>
    <w:link w:val="70"/>
    <w:qFormat/>
    <w:pPr>
      <w:numPr>
        <w:ilvl w:val="6"/>
        <w:numId w:val="21"/>
      </w:numPr>
      <w:spacing w:after="180" w:line="260" w:lineRule="atLeast"/>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ullet1">
    <w:name w:val="Bullet 1"/>
    <w:basedOn w:val="a0"/>
    <w:uiPriority w:val="8"/>
    <w:qFormat/>
    <w:pPr>
      <w:spacing w:after="180" w:line="260" w:lineRule="atLeast"/>
    </w:pPr>
  </w:style>
  <w:style w:type="paragraph" w:customStyle="1" w:styleId="Bullet2">
    <w:name w:val="Bullet 2"/>
    <w:basedOn w:val="a0"/>
    <w:uiPriority w:val="8"/>
    <w:qFormat/>
    <w:pPr>
      <w:spacing w:line="260" w:lineRule="atLeast"/>
    </w:pPr>
  </w:style>
  <w:style w:type="numbering" w:customStyle="1" w:styleId="BMDefinitions">
    <w:name w:val="B&amp;M Definitions"/>
    <w:uiPriority w:val="99"/>
    <w:pPr>
      <w:numPr>
        <w:numId w:val="3"/>
      </w:numPr>
    </w:pPr>
  </w:style>
  <w:style w:type="numbering" w:customStyle="1" w:styleId="BMHeadings">
    <w:name w:val="B&amp;M Headings"/>
    <w:uiPriority w:val="99"/>
    <w:pPr>
      <w:numPr>
        <w:numId w:val="4"/>
      </w:numPr>
    </w:pPr>
  </w:style>
  <w:style w:type="numbering" w:customStyle="1" w:styleId="BMListNumbers">
    <w:name w:val="B&amp;M List Numbers"/>
    <w:uiPriority w:val="99"/>
    <w:pPr>
      <w:numPr>
        <w:numId w:val="5"/>
      </w:numPr>
    </w:pPr>
  </w:style>
  <w:style w:type="numbering" w:customStyle="1" w:styleId="BMSchedules">
    <w:name w:val="B&amp;M Schedules"/>
    <w:uiPriority w:val="99"/>
    <w:pPr>
      <w:numPr>
        <w:numId w:val="6"/>
      </w:numPr>
    </w:pPr>
  </w:style>
  <w:style w:type="paragraph" w:customStyle="1" w:styleId="BMKAddressInfo">
    <w:name w:val="BMK Address Info"/>
    <w:link w:val="BMKAddressInfoChar"/>
    <w:semiHidden/>
    <w:rPr>
      <w:rFonts w:ascii="Arial" w:eastAsia="PMingLiU" w:hAnsi="Arial"/>
      <w:noProof/>
      <w:kern w:val="0"/>
      <w:sz w:val="16"/>
      <w:lang w:val="en-AU"/>
    </w:rPr>
  </w:style>
  <w:style w:type="character" w:customStyle="1" w:styleId="BMKAddressInfoChar">
    <w:name w:val="BMK Address Info Char"/>
    <w:link w:val="BMKAddressInfo"/>
    <w:semiHidden/>
    <w:rPr>
      <w:rFonts w:ascii="Arial" w:eastAsia="PMingLiU" w:hAnsi="Arial"/>
      <w:noProof/>
      <w:kern w:val="0"/>
      <w:sz w:val="16"/>
      <w:lang w:val="en-AU"/>
    </w:rPr>
  </w:style>
  <w:style w:type="paragraph" w:customStyle="1" w:styleId="BMKAddress1">
    <w:name w:val="BMK Address1"/>
    <w:basedOn w:val="a0"/>
    <w:semiHidden/>
    <w:pPr>
      <w:spacing w:line="260" w:lineRule="atLeast"/>
    </w:pPr>
  </w:style>
  <w:style w:type="paragraph" w:customStyle="1" w:styleId="BMKAttention">
    <w:name w:val="BMK Attention"/>
    <w:basedOn w:val="a0"/>
    <w:semiHidden/>
    <w:pPr>
      <w:spacing w:line="260" w:lineRule="atLeast"/>
    </w:pPr>
  </w:style>
  <w:style w:type="paragraph" w:customStyle="1" w:styleId="BMKCities">
    <w:name w:val="BMK Cities"/>
    <w:semiHidden/>
    <w:rPr>
      <w:rFonts w:ascii="Arial" w:eastAsia="PMingLiU" w:hAnsi="Arial"/>
      <w:noProof/>
      <w:spacing w:val="2"/>
      <w:kern w:val="0"/>
      <w:sz w:val="11"/>
      <w:szCs w:val="11"/>
      <w:lang w:val="en-AU"/>
    </w:rPr>
  </w:style>
  <w:style w:type="paragraph" w:customStyle="1" w:styleId="BMKCitiesSpace">
    <w:name w:val="BMK Cities Space"/>
    <w:basedOn w:val="BMKCities"/>
    <w:semiHidden/>
  </w:style>
  <w:style w:type="paragraph" w:customStyle="1" w:styleId="BMKDeliveryPhrase">
    <w:name w:val="BMK Delivery Phrase"/>
    <w:basedOn w:val="BMKAddressInfo"/>
    <w:semiHidden/>
    <w:pPr>
      <w:framePr w:w="2943" w:h="1734" w:hRule="exact" w:wrap="around" w:vAnchor="text" w:hAnchor="page" w:x="8533" w:y="208"/>
    </w:pPr>
    <w:rPr>
      <w:b/>
    </w:rPr>
  </w:style>
  <w:style w:type="paragraph" w:customStyle="1" w:styleId="BMKDocumentName">
    <w:name w:val="BMK Document Name"/>
    <w:basedOn w:val="a0"/>
    <w:next w:val="a0"/>
    <w:semiHidden/>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a0"/>
    <w:next w:val="a0"/>
    <w:semiHidden/>
    <w:pPr>
      <w:spacing w:line="200" w:lineRule="atLeast"/>
    </w:pPr>
    <w:rPr>
      <w:rFonts w:ascii="Arial Black" w:eastAsiaTheme="majorEastAsia" w:hAnsi="Arial Black" w:cstheme="majorHAnsi"/>
      <w:b/>
      <w:noProof/>
      <w:sz w:val="18"/>
      <w:szCs w:val="32"/>
    </w:rPr>
  </w:style>
  <w:style w:type="paragraph" w:customStyle="1" w:styleId="BMKLegalNoticePhrase">
    <w:name w:val="BMK Legal Notice Phrase"/>
    <w:basedOn w:val="a0"/>
    <w:semiHidden/>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a0"/>
    <w:semiHidden/>
    <w:pPr>
      <w:spacing w:before="0"/>
    </w:pPr>
  </w:style>
  <w:style w:type="paragraph" w:customStyle="1" w:styleId="BMKMemberFirmName">
    <w:name w:val="BMK Member Firm Name"/>
    <w:basedOn w:val="BMKAddressInfo"/>
    <w:next w:val="BMKAddressInfo"/>
    <w:link w:val="BMKMemberFirmNameChar"/>
    <w:semiHidden/>
    <w:rPr>
      <w:b/>
      <w:bCs/>
    </w:rPr>
  </w:style>
  <w:style w:type="character" w:customStyle="1" w:styleId="BMKMemberFirmNameChar">
    <w:name w:val="BMK Member Firm Name Char"/>
    <w:link w:val="BMKMemberFirmName"/>
    <w:semiHidden/>
    <w:rPr>
      <w:rFonts w:ascii="Arial" w:eastAsia="PMingLiU" w:hAnsi="Arial"/>
      <w:b/>
      <w:bCs/>
      <w:noProof/>
      <w:kern w:val="0"/>
      <w:sz w:val="16"/>
      <w:lang w:val="en-AU"/>
    </w:rPr>
  </w:style>
  <w:style w:type="paragraph" w:customStyle="1" w:styleId="BMKMultiOffice">
    <w:name w:val="BMK Multi Office"/>
    <w:basedOn w:val="a0"/>
    <w:next w:val="a0"/>
    <w:semiHidden/>
    <w:rPr>
      <w:rFonts w:ascii="Arial Black" w:eastAsia="PMingLiU" w:hAnsi="Arial Black"/>
      <w:noProof/>
      <w:spacing w:val="2"/>
      <w:sz w:val="11"/>
      <w:szCs w:val="24"/>
    </w:rPr>
  </w:style>
  <w:style w:type="paragraph" w:customStyle="1" w:styleId="BMKMultiOfficeAddress">
    <w:name w:val="BMK Multi Office Address"/>
    <w:basedOn w:val="BMKCities"/>
    <w:semiHidden/>
  </w:style>
  <w:style w:type="paragraph" w:customStyle="1" w:styleId="BMKPartnerList">
    <w:name w:val="BMK Partner List"/>
    <w:basedOn w:val="BMKCities"/>
    <w:semiHidden/>
    <w:pPr>
      <w:adjustRightInd w:val="0"/>
      <w:snapToGrid w:val="0"/>
      <w:spacing w:after="20"/>
    </w:pPr>
    <w:rPr>
      <w:spacing w:val="0"/>
      <w:sz w:val="10"/>
      <w:szCs w:val="16"/>
    </w:rPr>
  </w:style>
  <w:style w:type="paragraph" w:customStyle="1" w:styleId="BMKPrivacyText">
    <w:name w:val="BMK Privacy Text"/>
    <w:basedOn w:val="a5"/>
    <w:link w:val="BMKPrivacyTextChar"/>
    <w:semiHidden/>
  </w:style>
  <w:style w:type="character" w:customStyle="1" w:styleId="BMKPrivacyTextChar">
    <w:name w:val="BMK Privacy Text Char"/>
    <w:link w:val="BMKPrivacyText"/>
    <w:semiHidden/>
    <w:rPr>
      <w:rFonts w:asciiTheme="majorHAnsi" w:eastAsiaTheme="majorEastAsia" w:hAnsiTheme="majorHAnsi" w:cstheme="majorHAnsi"/>
      <w:noProof/>
      <w:kern w:val="0"/>
      <w:sz w:val="16"/>
      <w:lang w:val="en-AU"/>
    </w:rPr>
  </w:style>
  <w:style w:type="paragraph" w:styleId="a5">
    <w:name w:val="footer"/>
    <w:basedOn w:val="a0"/>
    <w:link w:val="a6"/>
    <w:uiPriority w:val="99"/>
    <w:pPr>
      <w:tabs>
        <w:tab w:val="right" w:pos="9350"/>
      </w:tabs>
      <w:spacing w:line="200" w:lineRule="atLeast"/>
    </w:pPr>
    <w:rPr>
      <w:rFonts w:asciiTheme="majorHAnsi" w:eastAsiaTheme="majorEastAsia" w:hAnsiTheme="majorHAnsi" w:cstheme="majorHAnsi"/>
      <w:noProof/>
      <w:sz w:val="16"/>
    </w:rPr>
  </w:style>
  <w:style w:type="character" w:customStyle="1" w:styleId="a6">
    <w:name w:val="页脚 字符"/>
    <w:link w:val="a5"/>
    <w:uiPriority w:val="99"/>
    <w:rPr>
      <w:rFonts w:asciiTheme="majorHAnsi" w:eastAsiaTheme="majorEastAsia" w:hAnsiTheme="majorHAnsi" w:cstheme="majorHAnsi"/>
      <w:noProof/>
      <w:kern w:val="0"/>
      <w:sz w:val="16"/>
      <w:lang w:val="en-AU"/>
    </w:rPr>
  </w:style>
  <w:style w:type="paragraph" w:customStyle="1" w:styleId="BMKPrivacyTitle">
    <w:name w:val="BMK Privacy Title"/>
    <w:basedOn w:val="a0"/>
    <w:semiHidden/>
    <w:pPr>
      <w:spacing w:before="260" w:after="140" w:line="240" w:lineRule="atLeast"/>
    </w:pPr>
    <w:rPr>
      <w:rFonts w:ascii="Arial Black" w:hAnsi="Arial Black"/>
      <w:sz w:val="18"/>
    </w:rPr>
  </w:style>
  <w:style w:type="paragraph" w:customStyle="1" w:styleId="BMKQualifier">
    <w:name w:val="BMK Qualifier"/>
    <w:semiHidden/>
    <w:pPr>
      <w:spacing w:after="200" w:line="170" w:lineRule="atLeast"/>
    </w:pPr>
    <w:rPr>
      <w:rFonts w:asciiTheme="majorHAnsi" w:eastAsia="PMingLiU" w:hAnsiTheme="majorHAnsi"/>
      <w:caps/>
      <w:noProof/>
      <w:kern w:val="0"/>
      <w:sz w:val="13"/>
      <w:szCs w:val="13"/>
      <w:lang w:val="en-AU"/>
    </w:rPr>
  </w:style>
  <w:style w:type="paragraph" w:customStyle="1" w:styleId="BMKRecipient1">
    <w:name w:val="BMK Recipient1"/>
    <w:basedOn w:val="a0"/>
    <w:semiHidden/>
    <w:pPr>
      <w:spacing w:line="260" w:lineRule="atLeast"/>
    </w:pPr>
  </w:style>
  <w:style w:type="paragraph" w:customStyle="1" w:styleId="BMKRefInfo">
    <w:name w:val="BMK Ref Info"/>
    <w:basedOn w:val="BMKAddressInfo"/>
    <w:semiHidden/>
    <w:pPr>
      <w:framePr w:w="2943" w:h="1734" w:hRule="exact" w:wrap="around" w:vAnchor="text" w:hAnchor="page" w:x="8533" w:y="208"/>
    </w:pPr>
  </w:style>
  <w:style w:type="paragraph" w:customStyle="1" w:styleId="BMKRegions">
    <w:name w:val="BMK Regions"/>
    <w:basedOn w:val="BMKCities"/>
    <w:next w:val="BMKCities"/>
    <w:semiHidden/>
    <w:rPr>
      <w:rFonts w:ascii="Arial Black" w:hAnsi="Arial Black"/>
      <w:szCs w:val="24"/>
    </w:rPr>
  </w:style>
  <w:style w:type="paragraph" w:customStyle="1" w:styleId="BMKSalutation">
    <w:name w:val="BMK Salutation"/>
    <w:basedOn w:val="a0"/>
    <w:semiHidden/>
    <w:pPr>
      <w:spacing w:line="260" w:lineRule="atLeast"/>
    </w:pPr>
  </w:style>
  <w:style w:type="paragraph" w:customStyle="1" w:styleId="BMKSubject">
    <w:name w:val="BMK Subject"/>
    <w:basedOn w:val="a0"/>
    <w:semiHidden/>
    <w:pPr>
      <w:spacing w:line="260" w:lineRule="atLeast"/>
    </w:pPr>
    <w:rPr>
      <w:rFonts w:asciiTheme="majorHAnsi" w:eastAsiaTheme="majorEastAsia" w:hAnsiTheme="majorHAnsi" w:cstheme="majorHAnsi"/>
      <w:b/>
      <w:bCs/>
    </w:rPr>
  </w:style>
  <w:style w:type="paragraph" w:customStyle="1" w:styleId="BMKSubtitle">
    <w:name w:val="BMK Subtitle"/>
    <w:basedOn w:val="a0"/>
    <w:next w:val="a1"/>
    <w:semiHidden/>
    <w:pPr>
      <w:spacing w:after="180" w:line="260" w:lineRule="atLeast"/>
    </w:pPr>
    <w:rPr>
      <w:rFonts w:asciiTheme="majorHAnsi" w:eastAsiaTheme="majorEastAsia" w:hAnsiTheme="majorHAnsi" w:cstheme="majorHAnsi"/>
      <w:sz w:val="32"/>
    </w:rPr>
  </w:style>
  <w:style w:type="paragraph" w:styleId="a1">
    <w:name w:val="Body Text"/>
    <w:basedOn w:val="a0"/>
    <w:link w:val="a7"/>
    <w:unhideWhenUsed/>
    <w:qFormat/>
    <w:pPr>
      <w:spacing w:after="120"/>
    </w:pPr>
  </w:style>
  <w:style w:type="character" w:customStyle="1" w:styleId="a7">
    <w:name w:val="正文文本 字符"/>
    <w:basedOn w:val="a2"/>
    <w:link w:val="a1"/>
  </w:style>
  <w:style w:type="paragraph" w:customStyle="1" w:styleId="BMKTitle">
    <w:name w:val="BMK Title"/>
    <w:basedOn w:val="a0"/>
    <w:next w:val="a1"/>
    <w:semiHidden/>
    <w:pPr>
      <w:spacing w:after="180" w:line="260" w:lineRule="atLeast"/>
    </w:pPr>
    <w:rPr>
      <w:rFonts w:asciiTheme="majorHAnsi" w:eastAsiaTheme="majorEastAsia" w:hAnsiTheme="majorHAnsi" w:cstheme="majorHAnsi"/>
      <w:sz w:val="48"/>
    </w:rPr>
  </w:style>
  <w:style w:type="paragraph" w:customStyle="1" w:styleId="BMKDate">
    <w:name w:val="BMKDate"/>
    <w:basedOn w:val="a0"/>
    <w:semiHidden/>
    <w:pPr>
      <w:spacing w:line="260" w:lineRule="atLeast"/>
    </w:pPr>
  </w:style>
  <w:style w:type="paragraph" w:customStyle="1" w:styleId="BMKHeaderLogoSHI">
    <w:name w:val="BMKHeaderLogoSHI"/>
    <w:semiHidden/>
    <w:pPr>
      <w:tabs>
        <w:tab w:val="left" w:pos="709"/>
        <w:tab w:val="left" w:pos="1418"/>
        <w:tab w:val="left" w:pos="2126"/>
        <w:tab w:val="left" w:pos="2835"/>
        <w:tab w:val="right" w:pos="7876"/>
      </w:tabs>
      <w:spacing w:after="140" w:line="260" w:lineRule="atLeast"/>
    </w:pPr>
    <w:rPr>
      <w:rFonts w:cstheme="minorHAnsi"/>
      <w:kern w:val="0"/>
      <w:sz w:val="22"/>
      <w:szCs w:val="24"/>
      <w:lang w:val="en-AU"/>
    </w:rPr>
  </w:style>
  <w:style w:type="character" w:customStyle="1" w:styleId="Definition">
    <w:name w:val="Definition"/>
    <w:basedOn w:val="a2"/>
    <w:uiPriority w:val="3"/>
    <w:rPr>
      <w:b/>
      <w:bCs/>
      <w:i w:val="0"/>
      <w:szCs w:val="28"/>
    </w:rPr>
  </w:style>
  <w:style w:type="paragraph" w:customStyle="1" w:styleId="DefinitionParagraph">
    <w:name w:val="Definition Paragraph"/>
    <w:basedOn w:val="a0"/>
    <w:uiPriority w:val="2"/>
    <w:pPr>
      <w:numPr>
        <w:numId w:val="7"/>
      </w:numPr>
      <w:spacing w:after="180" w:line="260" w:lineRule="atLeast"/>
    </w:pPr>
  </w:style>
  <w:style w:type="character" w:customStyle="1" w:styleId="DMReference">
    <w:name w:val="DMReference"/>
    <w:basedOn w:val="a6"/>
    <w:semiHidden/>
    <w:rPr>
      <w:rFonts w:asciiTheme="majorHAnsi" w:eastAsiaTheme="majorEastAsia" w:hAnsiTheme="majorHAnsi" w:cstheme="majorHAnsi"/>
      <w:noProof/>
      <w:kern w:val="0"/>
      <w:sz w:val="16"/>
      <w:szCs w:val="16"/>
      <w:lang w:val="en-AU"/>
    </w:rPr>
  </w:style>
  <w:style w:type="paragraph" w:customStyle="1" w:styleId="LetterDetail">
    <w:name w:val="LetterDetail"/>
    <w:basedOn w:val="a0"/>
    <w:semiHidden/>
    <w:pPr>
      <w:spacing w:line="260" w:lineRule="atLeast"/>
    </w:pPr>
  </w:style>
  <w:style w:type="paragraph" w:customStyle="1" w:styleId="OtherContact">
    <w:name w:val="OtherContact"/>
    <w:basedOn w:val="a0"/>
    <w:semiHidden/>
    <w:rPr>
      <w:rFonts w:asciiTheme="majorHAnsi" w:eastAsiaTheme="majorEastAsia" w:hAnsiTheme="majorHAnsi" w:cstheme="majorHAnsi"/>
      <w:sz w:val="16"/>
    </w:rPr>
  </w:style>
  <w:style w:type="paragraph" w:customStyle="1" w:styleId="Recital">
    <w:name w:val="Recital"/>
    <w:basedOn w:val="a0"/>
    <w:uiPriority w:val="7"/>
    <w:pPr>
      <w:numPr>
        <w:numId w:val="8"/>
      </w:numPr>
      <w:spacing w:after="180" w:line="260" w:lineRule="atLeast"/>
    </w:pPr>
    <w:rPr>
      <w:rFonts w:cs="Times New Roman"/>
    </w:rPr>
  </w:style>
  <w:style w:type="paragraph" w:customStyle="1" w:styleId="SchH1">
    <w:name w:val="SchH1"/>
    <w:basedOn w:val="a0"/>
    <w:next w:val="a1"/>
    <w:uiPriority w:val="6"/>
    <w:pPr>
      <w:keepNext/>
      <w:numPr>
        <w:numId w:val="14"/>
      </w:numPr>
      <w:spacing w:after="180" w:line="260" w:lineRule="atLeast"/>
    </w:pPr>
    <w:rPr>
      <w:rFonts w:asciiTheme="majorHAnsi" w:eastAsiaTheme="majorEastAsia" w:hAnsiTheme="majorHAnsi" w:cstheme="majorHAnsi"/>
      <w:b/>
      <w:bCs/>
    </w:rPr>
  </w:style>
  <w:style w:type="paragraph" w:customStyle="1" w:styleId="SchH2">
    <w:name w:val="SchH2"/>
    <w:basedOn w:val="a0"/>
    <w:next w:val="a1"/>
    <w:uiPriority w:val="6"/>
    <w:pPr>
      <w:keepNext/>
      <w:numPr>
        <w:ilvl w:val="1"/>
        <w:numId w:val="14"/>
      </w:numPr>
      <w:spacing w:after="180" w:line="260" w:lineRule="atLeast"/>
    </w:pPr>
    <w:rPr>
      <w:rFonts w:asciiTheme="majorHAnsi" w:eastAsiaTheme="majorEastAsia" w:hAnsiTheme="majorHAnsi" w:cstheme="majorHAnsi"/>
      <w:b/>
      <w:bCs/>
    </w:rPr>
  </w:style>
  <w:style w:type="paragraph" w:customStyle="1" w:styleId="SchH3">
    <w:name w:val="SchH3"/>
    <w:basedOn w:val="a0"/>
    <w:uiPriority w:val="6"/>
    <w:pPr>
      <w:numPr>
        <w:ilvl w:val="2"/>
        <w:numId w:val="14"/>
      </w:numPr>
      <w:spacing w:after="180" w:line="260" w:lineRule="atLeast"/>
    </w:pPr>
  </w:style>
  <w:style w:type="paragraph" w:customStyle="1" w:styleId="SchH4">
    <w:name w:val="SchH4"/>
    <w:basedOn w:val="a0"/>
    <w:uiPriority w:val="6"/>
    <w:pPr>
      <w:numPr>
        <w:ilvl w:val="3"/>
        <w:numId w:val="14"/>
      </w:numPr>
      <w:spacing w:after="180" w:line="260" w:lineRule="atLeast"/>
    </w:pPr>
  </w:style>
  <w:style w:type="paragraph" w:customStyle="1" w:styleId="SchH5">
    <w:name w:val="SchH5"/>
    <w:basedOn w:val="a0"/>
    <w:uiPriority w:val="6"/>
    <w:pPr>
      <w:numPr>
        <w:ilvl w:val="4"/>
        <w:numId w:val="14"/>
      </w:numPr>
      <w:spacing w:after="180" w:line="260" w:lineRule="atLeast"/>
    </w:pPr>
  </w:style>
  <w:style w:type="paragraph" w:customStyle="1" w:styleId="SchH6">
    <w:name w:val="SchH6"/>
    <w:basedOn w:val="a0"/>
    <w:uiPriority w:val="6"/>
    <w:pPr>
      <w:numPr>
        <w:ilvl w:val="5"/>
        <w:numId w:val="14"/>
      </w:numPr>
      <w:spacing w:after="180" w:line="260" w:lineRule="atLeast"/>
    </w:pPr>
  </w:style>
  <w:style w:type="paragraph" w:customStyle="1" w:styleId="SchSH">
    <w:name w:val="SchSH"/>
    <w:basedOn w:val="a0"/>
    <w:next w:val="a1"/>
    <w:uiPriority w:val="6"/>
    <w:pPr>
      <w:keepNext/>
      <w:spacing w:after="180" w:line="260" w:lineRule="atLeast"/>
    </w:pPr>
    <w:rPr>
      <w:rFonts w:asciiTheme="majorHAnsi" w:eastAsiaTheme="majorEastAsia" w:hAnsiTheme="majorHAnsi" w:cstheme="majorHAnsi"/>
      <w:b/>
    </w:rPr>
  </w:style>
  <w:style w:type="paragraph" w:customStyle="1" w:styleId="TOCHeading">
    <w:name w:val="TOCHeading"/>
    <w:basedOn w:val="a0"/>
    <w:next w:val="a1"/>
    <w:uiPriority w:val="11"/>
    <w:semiHidden/>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10">
    <w:name w:val="标题 1 字符"/>
    <w:basedOn w:val="a2"/>
    <w:link w:val="1"/>
    <w:rPr>
      <w:rFonts w:asciiTheme="majorHAnsi" w:eastAsiaTheme="majorEastAsia" w:hAnsiTheme="majorHAnsi" w:cstheme="majorHAnsi"/>
      <w:b/>
      <w:bCs/>
      <w:kern w:val="0"/>
      <w:sz w:val="22"/>
      <w:szCs w:val="28"/>
      <w:lang w:val="en-AU"/>
    </w:rPr>
  </w:style>
  <w:style w:type="character" w:customStyle="1" w:styleId="21">
    <w:name w:val="标题 2 字符"/>
    <w:basedOn w:val="a2"/>
    <w:link w:val="2"/>
    <w:rPr>
      <w:rFonts w:asciiTheme="majorHAnsi" w:eastAsiaTheme="majorEastAsia" w:hAnsiTheme="majorHAnsi" w:cstheme="majorHAnsi"/>
      <w:b/>
      <w:bCs/>
      <w:kern w:val="0"/>
      <w:sz w:val="22"/>
      <w:szCs w:val="28"/>
      <w:lang w:val="en-AU"/>
    </w:rPr>
  </w:style>
  <w:style w:type="character" w:customStyle="1" w:styleId="31">
    <w:name w:val="标题 3 字符"/>
    <w:basedOn w:val="a2"/>
    <w:link w:val="3"/>
    <w:rPr>
      <w:kern w:val="0"/>
      <w:sz w:val="22"/>
      <w:szCs w:val="28"/>
      <w:lang w:val="en-AU"/>
    </w:rPr>
  </w:style>
  <w:style w:type="character" w:customStyle="1" w:styleId="41">
    <w:name w:val="标题 4 字符"/>
    <w:basedOn w:val="a2"/>
    <w:link w:val="4"/>
    <w:rPr>
      <w:kern w:val="0"/>
      <w:sz w:val="22"/>
      <w:szCs w:val="28"/>
      <w:lang w:val="en-AU"/>
    </w:rPr>
  </w:style>
  <w:style w:type="character" w:customStyle="1" w:styleId="50">
    <w:name w:val="标题 5 字符"/>
    <w:basedOn w:val="a2"/>
    <w:link w:val="5"/>
    <w:rPr>
      <w:kern w:val="0"/>
      <w:sz w:val="22"/>
      <w:szCs w:val="28"/>
      <w:lang w:val="en-AU"/>
    </w:rPr>
  </w:style>
  <w:style w:type="character" w:customStyle="1" w:styleId="60">
    <w:name w:val="标题 6 字符"/>
    <w:basedOn w:val="a2"/>
    <w:link w:val="6"/>
    <w:rPr>
      <w:kern w:val="0"/>
      <w:sz w:val="22"/>
      <w:szCs w:val="28"/>
      <w:lang w:val="en-AU"/>
    </w:rPr>
  </w:style>
  <w:style w:type="character" w:customStyle="1" w:styleId="70">
    <w:name w:val="标题 7 字符"/>
    <w:basedOn w:val="a2"/>
    <w:link w:val="7"/>
    <w:rPr>
      <w:kern w:val="0"/>
      <w:sz w:val="22"/>
      <w:szCs w:val="28"/>
      <w:lang w:val="en-AU"/>
    </w:rPr>
  </w:style>
  <w:style w:type="character" w:styleId="a8">
    <w:name w:val="Hyperlink"/>
    <w:uiPriority w:val="6"/>
    <w:semiHidden/>
    <w:rPr>
      <w:color w:val="0000FF"/>
      <w:u w:val="single"/>
    </w:rPr>
  </w:style>
  <w:style w:type="character" w:styleId="a9">
    <w:name w:val="FollowedHyperlink"/>
    <w:basedOn w:val="a2"/>
    <w:unhideWhenUsed/>
    <w:rPr>
      <w:color w:val="800080"/>
      <w:u w:val="single"/>
    </w:rPr>
  </w:style>
  <w:style w:type="paragraph" w:styleId="a">
    <w:name w:val="List Number"/>
    <w:basedOn w:val="a0"/>
    <w:uiPriority w:val="7"/>
    <w:qFormat/>
    <w:pPr>
      <w:numPr>
        <w:numId w:val="29"/>
      </w:numPr>
      <w:spacing w:after="180" w:line="260" w:lineRule="atLeast"/>
    </w:pPr>
  </w:style>
  <w:style w:type="paragraph" w:styleId="20">
    <w:name w:val="List Number 2"/>
    <w:basedOn w:val="a0"/>
    <w:uiPriority w:val="7"/>
    <w:qFormat/>
    <w:pPr>
      <w:numPr>
        <w:ilvl w:val="1"/>
        <w:numId w:val="29"/>
      </w:numPr>
      <w:spacing w:after="180" w:line="260" w:lineRule="atLeast"/>
    </w:pPr>
  </w:style>
  <w:style w:type="paragraph" w:styleId="30">
    <w:name w:val="List Number 3"/>
    <w:basedOn w:val="a0"/>
    <w:uiPriority w:val="7"/>
    <w:qFormat/>
    <w:pPr>
      <w:numPr>
        <w:ilvl w:val="2"/>
        <w:numId w:val="29"/>
      </w:numPr>
      <w:spacing w:after="180" w:line="260" w:lineRule="atLeast"/>
    </w:pPr>
  </w:style>
  <w:style w:type="paragraph" w:styleId="40">
    <w:name w:val="List Number 4"/>
    <w:basedOn w:val="a0"/>
    <w:uiPriority w:val="7"/>
    <w:qFormat/>
    <w:pPr>
      <w:numPr>
        <w:ilvl w:val="3"/>
        <w:numId w:val="29"/>
      </w:numPr>
      <w:spacing w:after="180" w:line="260" w:lineRule="atLeast"/>
    </w:pPr>
  </w:style>
  <w:style w:type="character" w:styleId="aa">
    <w:name w:val="page number"/>
    <w:basedOn w:val="a2"/>
    <w:uiPriority w:val="99"/>
    <w:semiHidden/>
    <w:rPr>
      <w:szCs w:val="16"/>
    </w:rPr>
  </w:style>
  <w:style w:type="paragraph" w:styleId="ab">
    <w:name w:val="header"/>
    <w:basedOn w:val="a0"/>
    <w:link w:val="ac"/>
    <w:uiPriority w:val="99"/>
    <w:unhideWhenUsed/>
    <w:rsid w:val="00157D1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2"/>
    <w:link w:val="ab"/>
    <w:uiPriority w:val="99"/>
    <w:rsid w:val="00157D15"/>
    <w:rPr>
      <w:kern w:val="0"/>
      <w:sz w:val="18"/>
      <w:szCs w:val="18"/>
      <w:lang w:val="en-AU"/>
    </w:rPr>
  </w:style>
  <w:style w:type="character" w:customStyle="1" w:styleId="normaltextrun">
    <w:name w:val="normaltextrun"/>
    <w:basedOn w:val="a2"/>
    <w:rsid w:val="00157D15"/>
  </w:style>
  <w:style w:type="paragraph" w:customStyle="1" w:styleId="AMLNotifyL5">
    <w:name w:val="AMLNotify_L5"/>
    <w:basedOn w:val="AMLNotifyL4"/>
    <w:next w:val="a0"/>
    <w:rsid w:val="00157D15"/>
    <w:pPr>
      <w:numPr>
        <w:ilvl w:val="4"/>
      </w:numPr>
      <w:tabs>
        <w:tab w:val="left" w:pos="2126"/>
      </w:tabs>
      <w:ind w:left="2126" w:hanging="708"/>
    </w:pPr>
  </w:style>
  <w:style w:type="paragraph" w:customStyle="1" w:styleId="AMLNotifyL1">
    <w:name w:val="AMLNotify_L1"/>
    <w:basedOn w:val="a0"/>
    <w:next w:val="a0"/>
    <w:rsid w:val="00157D15"/>
    <w:pPr>
      <w:keepNext/>
      <w:keepLines/>
      <w:widowControl/>
      <w:numPr>
        <w:numId w:val="30"/>
      </w:numPr>
      <w:adjustRightInd w:val="0"/>
      <w:spacing w:after="240"/>
      <w:jc w:val="left"/>
      <w:outlineLvl w:val="0"/>
    </w:pPr>
    <w:rPr>
      <w:rFonts w:ascii="Times New Roman" w:eastAsia="Times New Roman" w:hAnsi="Times New Roman" w:cs="Times New Roman"/>
      <w:b/>
      <w:bCs/>
      <w:smallCaps/>
      <w:kern w:val="0"/>
      <w:sz w:val="24"/>
      <w:szCs w:val="24"/>
      <w:lang w:eastAsia="en-GB"/>
    </w:rPr>
  </w:style>
  <w:style w:type="paragraph" w:customStyle="1" w:styleId="AMLNotifyL2">
    <w:name w:val="AMLNotify_L2"/>
    <w:basedOn w:val="AMLNotifyL1"/>
    <w:next w:val="a0"/>
    <w:rsid w:val="00157D15"/>
    <w:pPr>
      <w:keepNext w:val="0"/>
      <w:keepLines w:val="0"/>
      <w:numPr>
        <w:ilvl w:val="1"/>
      </w:numPr>
      <w:ind w:left="709" w:hanging="709"/>
      <w:jc w:val="both"/>
      <w:outlineLvl w:val="1"/>
    </w:pPr>
    <w:rPr>
      <w:smallCaps w:val="0"/>
    </w:rPr>
  </w:style>
  <w:style w:type="paragraph" w:customStyle="1" w:styleId="AMLNotifyL3">
    <w:name w:val="AMLNotify_L3"/>
    <w:basedOn w:val="AMLNotifyL2"/>
    <w:next w:val="a0"/>
    <w:rsid w:val="00157D15"/>
    <w:pPr>
      <w:numPr>
        <w:ilvl w:val="2"/>
      </w:numPr>
      <w:tabs>
        <w:tab w:val="clear" w:pos="709"/>
      </w:tabs>
      <w:outlineLvl w:val="2"/>
    </w:pPr>
  </w:style>
  <w:style w:type="paragraph" w:customStyle="1" w:styleId="AMLNotifyL4">
    <w:name w:val="AMLNotify_L4"/>
    <w:basedOn w:val="AMLNotifyL3"/>
    <w:next w:val="a0"/>
    <w:rsid w:val="00157D15"/>
    <w:pPr>
      <w:numPr>
        <w:ilvl w:val="3"/>
      </w:numPr>
      <w:tabs>
        <w:tab w:val="left" w:pos="1418"/>
      </w:tabs>
      <w:ind w:lef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Company>BakerMcKenzie</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McKenzie FenXun</dc:creator>
  <cp:keywords/>
  <dc:description/>
  <cp:lastModifiedBy>Baker McKenzie FenXun</cp:lastModifiedBy>
  <cp:revision>2</cp:revision>
  <dcterms:created xsi:type="dcterms:W3CDTF">2024-04-16T01:53:00Z</dcterms:created>
  <dcterms:modified xsi:type="dcterms:W3CDTF">2024-04-16T01:53:00Z</dcterms:modified>
</cp:coreProperties>
</file>