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307C" w14:textId="77777777" w:rsidR="00E16A2F" w:rsidRDefault="007B7E04">
      <w:pPr>
        <w:spacing w:line="440" w:lineRule="exact"/>
        <w:jc w:val="center"/>
        <w:rPr>
          <w:rFonts w:ascii="黑体" w:eastAsia="黑体" w:hAnsi="Times New Roman"/>
          <w:sz w:val="36"/>
          <w:szCs w:val="30"/>
        </w:rPr>
      </w:pPr>
      <w:r>
        <w:rPr>
          <w:rFonts w:ascii="黑体" w:eastAsia="黑体" w:hAnsi="Times New Roman" w:hint="eastAsia"/>
          <w:sz w:val="36"/>
          <w:szCs w:val="30"/>
        </w:rPr>
        <w:t>经营者集中简易案件公示表</w:t>
      </w:r>
    </w:p>
    <w:p w14:paraId="5068F19E" w14:textId="77777777" w:rsidR="00E16A2F" w:rsidRDefault="00E16A2F">
      <w:pPr>
        <w:spacing w:line="440" w:lineRule="exact"/>
        <w:jc w:val="center"/>
        <w:rPr>
          <w:rFonts w:ascii="黑体" w:eastAsia="黑体" w:hAnsi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40"/>
        <w:gridCol w:w="5588"/>
      </w:tblGrid>
      <w:tr w:rsidR="00E16A2F" w14:paraId="67FA40B9" w14:textId="77777777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50A1BCE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7028" w:type="dxa"/>
            <w:gridSpan w:val="2"/>
            <w:vAlign w:val="center"/>
          </w:tcPr>
          <w:p w14:paraId="4FD98CC5" w14:textId="40A90E49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青岛水务集团环境能源有限公司</w:t>
            </w:r>
            <w:r w:rsidR="00680745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与中法水</w:t>
            </w:r>
            <w:proofErr w:type="gramStart"/>
            <w:r w:rsidR="00680745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 w:rsidR="00680745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投资有限公司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新设合营企业案</w:t>
            </w:r>
            <w:r w:rsidR="00942D8E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（</w:t>
            </w:r>
            <w:r w:rsidR="00942D8E" w:rsidRPr="00942D8E">
              <w:rPr>
                <w:rFonts w:ascii="Times New Roman" w:hAnsi="Times New Roman" w:hint="eastAsia"/>
                <w:b/>
                <w:bCs/>
                <w:color w:val="333333"/>
                <w:kern w:val="0"/>
                <w:sz w:val="24"/>
                <w:szCs w:val="24"/>
              </w:rPr>
              <w:t>“拟议交易”</w:t>
            </w:r>
            <w:r w:rsidR="00942D8E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16A2F" w14:paraId="692161CD" w14:textId="77777777">
        <w:trPr>
          <w:trHeight w:val="993"/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0691ED46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交易概况（限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028" w:type="dxa"/>
            <w:gridSpan w:val="2"/>
            <w:vAlign w:val="center"/>
          </w:tcPr>
          <w:p w14:paraId="274857C5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青岛水务集团环境能源有限公司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hint="eastAsia"/>
                <w:b/>
                <w:bCs/>
                <w:color w:val="333333"/>
                <w:kern w:val="0"/>
                <w:sz w:val="24"/>
                <w:szCs w:val="24"/>
              </w:rPr>
              <w:t>青岛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水务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和中法水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投资有限公司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中法水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签署交易协议，拟在山东省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青岛市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设立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青水环境水</w:t>
            </w:r>
            <w:proofErr w:type="gramStart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发展集团有限公司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合营企业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，合营企业拟从事市政污水处理业务。</w:t>
            </w:r>
          </w:p>
          <w:p w14:paraId="1D5BE308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拟议交易完成后，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和中法水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将分别持有合营企业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的股权，合营企业将由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和中法水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共同控制。</w:t>
            </w:r>
          </w:p>
        </w:tc>
      </w:tr>
      <w:tr w:rsidR="00E16A2F" w14:paraId="338BEB58" w14:textId="77777777">
        <w:trPr>
          <w:trHeight w:val="468"/>
          <w:jc w:val="center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40B1E2A5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参与集中的经营者简介</w:t>
            </w:r>
          </w:p>
        </w:tc>
        <w:tc>
          <w:tcPr>
            <w:tcW w:w="1440" w:type="dxa"/>
            <w:vAlign w:val="center"/>
          </w:tcPr>
          <w:p w14:paraId="47251A7A" w14:textId="52586AFF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</w:t>
            </w:r>
            <w:r w:rsidR="00680745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</w:t>
            </w:r>
            <w:r w:rsidR="00680745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水</w:t>
            </w:r>
            <w:proofErr w:type="gramStart"/>
            <w:r w:rsidR="00680745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5588" w:type="dxa"/>
            <w:vAlign w:val="center"/>
          </w:tcPr>
          <w:p w14:paraId="5BAACBC4" w14:textId="77777777" w:rsidR="00680745" w:rsidRDefault="00680745" w:rsidP="00680745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年成立于山东省，主要在中国境内从事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  <w:lang w:eastAsia="zh-Hans"/>
              </w:rPr>
              <w:t>污水处理、再生水利用、污泥处置、新能源开发等市政环保项目的投资建设和运营管理等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业务。</w:t>
            </w:r>
          </w:p>
          <w:p w14:paraId="4257F4BF" w14:textId="77777777" w:rsidR="00680745" w:rsidRDefault="00680745" w:rsidP="00680745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  <w:p w14:paraId="0919883B" w14:textId="427E182A" w:rsidR="00E16A2F" w:rsidRDefault="00680745">
            <w:pPr>
              <w:jc w:val="left"/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水</w:t>
            </w:r>
            <w:proofErr w:type="gramStart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的最终控制人为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青岛水务集团有限公司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，其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主营业务为青岛市城乡水</w:t>
            </w:r>
            <w:proofErr w:type="gramStart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投资建设与运营管理及城市固体废弃物处理处置，产业</w:t>
            </w:r>
            <w:proofErr w:type="gramStart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链涉及</w:t>
            </w:r>
            <w:proofErr w:type="gramEnd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城乡供水、排水防汛、污水处理、中水回用、海水淡化、河道运维、污泥处置、固废转运处置及相关产业链延伸发展等领域。</w:t>
            </w:r>
          </w:p>
        </w:tc>
      </w:tr>
      <w:tr w:rsidR="00E16A2F" w14:paraId="39B85867" w14:textId="77777777">
        <w:trPr>
          <w:trHeight w:val="404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19D05362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1B83DB" w14:textId="794C57B0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、</w:t>
            </w:r>
            <w:r w:rsidR="00680745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中法水</w:t>
            </w:r>
            <w:proofErr w:type="gramStart"/>
            <w:r w:rsidR="00680745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5588" w:type="dxa"/>
            <w:vAlign w:val="center"/>
          </w:tcPr>
          <w:p w14:paraId="5EDD57B7" w14:textId="77777777" w:rsidR="00680745" w:rsidRDefault="00680745" w:rsidP="00680745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中法水</w:t>
            </w:r>
            <w:proofErr w:type="gramStart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1992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年成立于中国香港，业务主要涉及供水、污水处理、固体废弃物（包括危险废弃物）的回收和再利用、水处理项目设备系统集成服务业务，以及咨询服务等。</w:t>
            </w:r>
          </w:p>
          <w:p w14:paraId="6C7ADF25" w14:textId="77777777" w:rsidR="00680745" w:rsidRDefault="00680745" w:rsidP="00680745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  <w:p w14:paraId="0F548D2B" w14:textId="40CF7C36" w:rsidR="00E16A2F" w:rsidRDefault="00680745" w:rsidP="00680745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中法水</w:t>
            </w:r>
            <w:proofErr w:type="gramStart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的最终控制人为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GIM Participation Fund Holding GP, Limited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Meridiam Infrastructure Partners SAS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，二者均主要从事基金和资产管理业务。</w:t>
            </w:r>
          </w:p>
        </w:tc>
      </w:tr>
      <w:tr w:rsidR="00E16A2F" w14:paraId="403DCAC1" w14:textId="77777777">
        <w:trPr>
          <w:trHeight w:val="279"/>
          <w:jc w:val="center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70244094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028" w:type="dxa"/>
            <w:gridSpan w:val="2"/>
            <w:vAlign w:val="center"/>
          </w:tcPr>
          <w:p w14:paraId="39CE73D0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、在同一相关市场，所有参与集中的经营者所占市场份额之和小于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15%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E16A2F" w14:paraId="6368CD26" w14:textId="77777777">
        <w:trPr>
          <w:trHeight w:val="330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1D981FF0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2"/>
            <w:vAlign w:val="center"/>
          </w:tcPr>
          <w:p w14:paraId="700DFB26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、存在上下游关系的参与集中的经营者，在上下游市场所占的市场份额均小于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E16A2F" w14:paraId="3636FEB0" w14:textId="77777777">
        <w:trPr>
          <w:trHeight w:val="285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46931DD2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2"/>
            <w:vAlign w:val="center"/>
          </w:tcPr>
          <w:p w14:paraId="14EBD42A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E16A2F" w14:paraId="3E3E3E66" w14:textId="77777777">
        <w:trPr>
          <w:trHeight w:val="870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76D57EF3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2"/>
            <w:vAlign w:val="center"/>
          </w:tcPr>
          <w:p w14:paraId="77742862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E16A2F" w14:paraId="60493E82" w14:textId="77777777">
        <w:trPr>
          <w:trHeight w:val="264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74ECA033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2"/>
            <w:vAlign w:val="center"/>
          </w:tcPr>
          <w:p w14:paraId="34CAB9DE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E16A2F" w14:paraId="1164CC58" w14:textId="77777777">
        <w:trPr>
          <w:trHeight w:val="345"/>
          <w:jc w:val="center"/>
        </w:trPr>
        <w:tc>
          <w:tcPr>
            <w:tcW w:w="1242" w:type="dxa"/>
            <w:vMerge/>
            <w:shd w:val="clear" w:color="auto" w:fill="D9D9D9"/>
            <w:vAlign w:val="center"/>
          </w:tcPr>
          <w:p w14:paraId="74EFD84A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2"/>
            <w:vAlign w:val="center"/>
          </w:tcPr>
          <w:p w14:paraId="304991A2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E16A2F" w14:paraId="7620F037" w14:textId="77777777">
        <w:trPr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300134C" w14:textId="77777777" w:rsidR="00E16A2F" w:rsidRDefault="007B7E04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028" w:type="dxa"/>
            <w:gridSpan w:val="2"/>
            <w:vAlign w:val="center"/>
          </w:tcPr>
          <w:p w14:paraId="14F147D1" w14:textId="77777777" w:rsidR="00E16A2F" w:rsidRDefault="007B7E04">
            <w:pPr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横向重叠：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235"/>
              <w:gridCol w:w="1787"/>
              <w:gridCol w:w="2775"/>
            </w:tblGrid>
            <w:tr w:rsidR="00E16A2F" w14:paraId="074A6BC1" w14:textId="77777777" w:rsidTr="00E81E2D">
              <w:tc>
                <w:tcPr>
                  <w:tcW w:w="2235" w:type="dxa"/>
                  <w:shd w:val="clear" w:color="auto" w:fill="FFFFFF" w:themeFill="background1"/>
                  <w:vAlign w:val="center"/>
                </w:tcPr>
                <w:p w14:paraId="075CE469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787" w:type="dxa"/>
                  <w:shd w:val="clear" w:color="auto" w:fill="FFFFFF" w:themeFill="background1"/>
                  <w:vAlign w:val="center"/>
                </w:tcPr>
                <w:p w14:paraId="11B34E90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775" w:type="dxa"/>
                  <w:shd w:val="clear" w:color="auto" w:fill="FFFFFF" w:themeFill="background1"/>
                  <w:vAlign w:val="center"/>
                </w:tcPr>
                <w:p w14:paraId="26D9A98E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年市场份额</w:t>
                  </w:r>
                </w:p>
              </w:tc>
            </w:tr>
            <w:tr w:rsidR="00E16A2F" w14:paraId="3C3C5EB9" w14:textId="77777777" w:rsidTr="00E81E2D">
              <w:tc>
                <w:tcPr>
                  <w:tcW w:w="2235" w:type="dxa"/>
                  <w:vAlign w:val="center"/>
                </w:tcPr>
                <w:p w14:paraId="4D14834F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市政污水处理市场</w:t>
                  </w:r>
                </w:p>
              </w:tc>
              <w:tc>
                <w:tcPr>
                  <w:tcW w:w="1787" w:type="dxa"/>
                  <w:vAlign w:val="center"/>
                </w:tcPr>
                <w:p w14:paraId="26FE5062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75" w:type="dxa"/>
                  <w:vAlign w:val="center"/>
                </w:tcPr>
                <w:p w14:paraId="055E7B8C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青岛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  <w:p w14:paraId="14B66954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中法水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  <w:p w14:paraId="34F36939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双方合计：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  <w:p w14:paraId="791881E6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合营企业预估：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</w:tc>
            </w:tr>
          </w:tbl>
          <w:p w14:paraId="730AB6F2" w14:textId="77777777" w:rsidR="00E16A2F" w:rsidRDefault="00E16A2F">
            <w:pPr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7D1956A6" w14:textId="77777777" w:rsidR="00E16A2F" w:rsidRDefault="007B7E04">
            <w:pPr>
              <w:jc w:val="left"/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纵向关联：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265"/>
              <w:gridCol w:w="1757"/>
              <w:gridCol w:w="2775"/>
            </w:tblGrid>
            <w:tr w:rsidR="00E16A2F" w14:paraId="1A05CE08" w14:textId="77777777" w:rsidTr="00E81E2D">
              <w:trPr>
                <w:trHeight w:val="97"/>
              </w:trPr>
              <w:tc>
                <w:tcPr>
                  <w:tcW w:w="2265" w:type="dxa"/>
                  <w:shd w:val="clear" w:color="auto" w:fill="FFFFFF" w:themeFill="background1"/>
                  <w:vAlign w:val="center"/>
                </w:tcPr>
                <w:p w14:paraId="501E1E82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757" w:type="dxa"/>
                  <w:shd w:val="clear" w:color="auto" w:fill="FFFFFF" w:themeFill="background1"/>
                  <w:vAlign w:val="center"/>
                </w:tcPr>
                <w:p w14:paraId="2E8532FA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775" w:type="dxa"/>
                  <w:shd w:val="clear" w:color="auto" w:fill="FFFFFF" w:themeFill="background1"/>
                  <w:vAlign w:val="center"/>
                </w:tcPr>
                <w:p w14:paraId="47015AD1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年市场份额</w:t>
                  </w:r>
                </w:p>
              </w:tc>
            </w:tr>
            <w:tr w:rsidR="006340D7" w14:paraId="3CE11671" w14:textId="77777777" w:rsidTr="00E81E2D">
              <w:trPr>
                <w:trHeight w:val="97"/>
              </w:trPr>
              <w:tc>
                <w:tcPr>
                  <w:tcW w:w="2265" w:type="dxa"/>
                  <w:shd w:val="clear" w:color="auto" w:fill="FFFFFF" w:themeFill="background1"/>
                  <w:vAlign w:val="center"/>
                </w:tcPr>
                <w:p w14:paraId="5346BCB1" w14:textId="77777777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</w:t>
                  </w: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市政公用工程施工总承包市场</w:t>
                  </w:r>
                </w:p>
                <w:p w14:paraId="2F113ABA" w14:textId="5BC1A8C4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下游：市政污水处理市场</w:t>
                  </w:r>
                </w:p>
              </w:tc>
              <w:tc>
                <w:tcPr>
                  <w:tcW w:w="1757" w:type="dxa"/>
                  <w:shd w:val="clear" w:color="auto" w:fill="FFFFFF" w:themeFill="background1"/>
                  <w:vAlign w:val="center"/>
                </w:tcPr>
                <w:p w14:paraId="2F745892" w14:textId="77777777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上游：中国境内</w:t>
                  </w:r>
                </w:p>
                <w:p w14:paraId="4306CC02" w14:textId="1D76AC10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2775" w:type="dxa"/>
                  <w:shd w:val="clear" w:color="auto" w:fill="FFFFFF" w:themeFill="background1"/>
                  <w:vAlign w:val="center"/>
                </w:tcPr>
                <w:p w14:paraId="6CB39F2D" w14:textId="2995D27E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</w:t>
                  </w:r>
                  <w:r w:rsidR="00E81E2D"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中国境内</w:t>
                  </w: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市政公用工程施工总承包市场</w:t>
                  </w:r>
                </w:p>
                <w:p w14:paraId="41EE787C" w14:textId="77777777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青岛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  <w:p w14:paraId="7490FFB1" w14:textId="77777777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</w:p>
                <w:p w14:paraId="79AE108C" w14:textId="77777777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下游：中国境内市政污水处理市场</w:t>
                  </w:r>
                </w:p>
                <w:p w14:paraId="76CD4BC7" w14:textId="25BDD6C1" w:rsidR="006340D7" w:rsidRDefault="006340D7" w:rsidP="006340D7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青岛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、中法水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市场份额和合营企业预估市场份额：如上所述</w:t>
                  </w:r>
                </w:p>
              </w:tc>
            </w:tr>
            <w:tr w:rsidR="00E16A2F" w14:paraId="00F1B605" w14:textId="77777777" w:rsidTr="00E81E2D">
              <w:tc>
                <w:tcPr>
                  <w:tcW w:w="2265" w:type="dxa"/>
                  <w:vAlign w:val="center"/>
                </w:tcPr>
                <w:p w14:paraId="6BBDD508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上游：水处理项目设备系统集成服务市场</w:t>
                  </w:r>
                </w:p>
                <w:p w14:paraId="6CA282B9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下游：市政污水处理市场</w:t>
                  </w:r>
                </w:p>
              </w:tc>
              <w:tc>
                <w:tcPr>
                  <w:tcW w:w="1757" w:type="dxa"/>
                  <w:vAlign w:val="center"/>
                </w:tcPr>
                <w:p w14:paraId="317DE5EC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上游：中国境内</w:t>
                  </w:r>
                </w:p>
                <w:p w14:paraId="45EA6C2B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2775" w:type="dxa"/>
                  <w:vAlign w:val="center"/>
                </w:tcPr>
                <w:p w14:paraId="4D449ADE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上游：中国境内水处理项目设备系统集成服务市场</w:t>
                  </w:r>
                </w:p>
                <w:p w14:paraId="5BF60A0B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中法水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[0-5] %</w:t>
                  </w:r>
                </w:p>
                <w:p w14:paraId="08EC2835" w14:textId="77777777" w:rsidR="00E16A2F" w:rsidRDefault="00E16A2F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</w:p>
                <w:p w14:paraId="66CF356B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下游：中国境内市政污水处理市场</w:t>
                  </w:r>
                </w:p>
                <w:p w14:paraId="3641449B" w14:textId="77777777" w:rsidR="00E16A2F" w:rsidRDefault="007B7E04">
                  <w:pPr>
                    <w:jc w:val="left"/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color w:val="333333"/>
                      <w:kern w:val="0"/>
                      <w:sz w:val="24"/>
                      <w:szCs w:val="24"/>
                    </w:rPr>
                    <w:t>青岛</w:t>
                  </w:r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、中法水</w:t>
                  </w:r>
                  <w:proofErr w:type="gramStart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>
                    <w:rPr>
                      <w:rFonts w:ascii="Times New Roman" w:hAnsi="Times New Roman"/>
                      <w:color w:val="333333"/>
                      <w:kern w:val="0"/>
                      <w:sz w:val="24"/>
                      <w:szCs w:val="24"/>
                    </w:rPr>
                    <w:t>市场份额和合营企业预估市场份额：如上所述</w:t>
                  </w:r>
                </w:p>
              </w:tc>
            </w:tr>
          </w:tbl>
          <w:p w14:paraId="0C460B02" w14:textId="77777777" w:rsidR="00E16A2F" w:rsidRDefault="00E16A2F">
            <w:pPr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AC596D" w14:textId="77777777" w:rsidR="00E16A2F" w:rsidRDefault="00E16A2F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sectPr w:rsidR="00E16A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6739" w14:textId="77777777" w:rsidR="00E46788" w:rsidRDefault="00E46788">
      <w:r>
        <w:separator/>
      </w:r>
    </w:p>
  </w:endnote>
  <w:endnote w:type="continuationSeparator" w:id="0">
    <w:p w14:paraId="18A9C56D" w14:textId="77777777" w:rsidR="00E46788" w:rsidRDefault="00E4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951" w14:textId="77777777" w:rsidR="00E16A2F" w:rsidRDefault="007B7E04">
    <w:pPr>
      <w:pStyle w:val="a7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/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NUMPAGES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6486" w14:textId="77777777" w:rsidR="00E46788" w:rsidRDefault="00E46788">
      <w:r>
        <w:separator/>
      </w:r>
    </w:p>
  </w:footnote>
  <w:footnote w:type="continuationSeparator" w:id="0">
    <w:p w14:paraId="0BECFE55" w14:textId="77777777" w:rsidR="00E46788" w:rsidRDefault="00E4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yNmRhMzE0MjA2NThkYzczMTg0MTA2OTMzYWY3N2IifQ=="/>
  </w:docVars>
  <w:rsids>
    <w:rsidRoot w:val="00CB00DF"/>
    <w:rsid w:val="00004DCC"/>
    <w:rsid w:val="00014627"/>
    <w:rsid w:val="00037065"/>
    <w:rsid w:val="000408D4"/>
    <w:rsid w:val="000724B9"/>
    <w:rsid w:val="00090126"/>
    <w:rsid w:val="000C0FA4"/>
    <w:rsid w:val="000D3380"/>
    <w:rsid w:val="000D7EBA"/>
    <w:rsid w:val="001164CD"/>
    <w:rsid w:val="0013024F"/>
    <w:rsid w:val="001424AA"/>
    <w:rsid w:val="00155717"/>
    <w:rsid w:val="001837A3"/>
    <w:rsid w:val="001B2208"/>
    <w:rsid w:val="001C546C"/>
    <w:rsid w:val="00205436"/>
    <w:rsid w:val="00295CE7"/>
    <w:rsid w:val="002E06B5"/>
    <w:rsid w:val="002F5AF0"/>
    <w:rsid w:val="003441AF"/>
    <w:rsid w:val="003966D8"/>
    <w:rsid w:val="003C0AEB"/>
    <w:rsid w:val="004118D9"/>
    <w:rsid w:val="004454BD"/>
    <w:rsid w:val="00476072"/>
    <w:rsid w:val="004A795C"/>
    <w:rsid w:val="004C49DD"/>
    <w:rsid w:val="004F7688"/>
    <w:rsid w:val="005014ED"/>
    <w:rsid w:val="00576769"/>
    <w:rsid w:val="0058136C"/>
    <w:rsid w:val="005D22F2"/>
    <w:rsid w:val="005E4405"/>
    <w:rsid w:val="005F52C2"/>
    <w:rsid w:val="00602362"/>
    <w:rsid w:val="00632BB5"/>
    <w:rsid w:val="006340D7"/>
    <w:rsid w:val="00635D2D"/>
    <w:rsid w:val="00637A8A"/>
    <w:rsid w:val="00643D06"/>
    <w:rsid w:val="006467D8"/>
    <w:rsid w:val="006768B6"/>
    <w:rsid w:val="00680745"/>
    <w:rsid w:val="0068591F"/>
    <w:rsid w:val="006A531B"/>
    <w:rsid w:val="006B7413"/>
    <w:rsid w:val="006D3A34"/>
    <w:rsid w:val="006F7693"/>
    <w:rsid w:val="00710140"/>
    <w:rsid w:val="0073600A"/>
    <w:rsid w:val="00750C04"/>
    <w:rsid w:val="007B22AD"/>
    <w:rsid w:val="007B3924"/>
    <w:rsid w:val="007B7E04"/>
    <w:rsid w:val="007D423A"/>
    <w:rsid w:val="007F2275"/>
    <w:rsid w:val="008C386A"/>
    <w:rsid w:val="008E1F4C"/>
    <w:rsid w:val="00915F0F"/>
    <w:rsid w:val="00942D8E"/>
    <w:rsid w:val="009532DF"/>
    <w:rsid w:val="00987F54"/>
    <w:rsid w:val="00997019"/>
    <w:rsid w:val="009A5029"/>
    <w:rsid w:val="009D38D5"/>
    <w:rsid w:val="009D69FE"/>
    <w:rsid w:val="009E17B4"/>
    <w:rsid w:val="00A00AD7"/>
    <w:rsid w:val="00A53F26"/>
    <w:rsid w:val="00A75D12"/>
    <w:rsid w:val="00AA0CC5"/>
    <w:rsid w:val="00AA2524"/>
    <w:rsid w:val="00B16AFE"/>
    <w:rsid w:val="00B271AA"/>
    <w:rsid w:val="00B5115C"/>
    <w:rsid w:val="00B65DD5"/>
    <w:rsid w:val="00B96D6D"/>
    <w:rsid w:val="00BC7F29"/>
    <w:rsid w:val="00BD10B6"/>
    <w:rsid w:val="00BE105C"/>
    <w:rsid w:val="00C06EF0"/>
    <w:rsid w:val="00C07076"/>
    <w:rsid w:val="00C159D9"/>
    <w:rsid w:val="00C46A9E"/>
    <w:rsid w:val="00C81963"/>
    <w:rsid w:val="00CB00DF"/>
    <w:rsid w:val="00CD219A"/>
    <w:rsid w:val="00CF69CE"/>
    <w:rsid w:val="00D11B55"/>
    <w:rsid w:val="00D73C72"/>
    <w:rsid w:val="00DA1B89"/>
    <w:rsid w:val="00DA2808"/>
    <w:rsid w:val="00DC059C"/>
    <w:rsid w:val="00DC6498"/>
    <w:rsid w:val="00DD0DB6"/>
    <w:rsid w:val="00DE5C1E"/>
    <w:rsid w:val="00E0592B"/>
    <w:rsid w:val="00E16A2F"/>
    <w:rsid w:val="00E31738"/>
    <w:rsid w:val="00E4488B"/>
    <w:rsid w:val="00E46788"/>
    <w:rsid w:val="00E4762F"/>
    <w:rsid w:val="00E479CE"/>
    <w:rsid w:val="00E47EAD"/>
    <w:rsid w:val="00E67DBC"/>
    <w:rsid w:val="00E81E2D"/>
    <w:rsid w:val="00E86786"/>
    <w:rsid w:val="00EA0383"/>
    <w:rsid w:val="00EC16D8"/>
    <w:rsid w:val="00EC6F91"/>
    <w:rsid w:val="00ED2F80"/>
    <w:rsid w:val="00EE1499"/>
    <w:rsid w:val="00EF0F79"/>
    <w:rsid w:val="00F1624E"/>
    <w:rsid w:val="00F32F8A"/>
    <w:rsid w:val="00F3464F"/>
    <w:rsid w:val="00F40FF4"/>
    <w:rsid w:val="00F77F2C"/>
    <w:rsid w:val="00F810AA"/>
    <w:rsid w:val="00FA28F4"/>
    <w:rsid w:val="00FB43EC"/>
    <w:rsid w:val="00FB6B40"/>
    <w:rsid w:val="00FD243D"/>
    <w:rsid w:val="00FF6EC4"/>
    <w:rsid w:val="0D363981"/>
    <w:rsid w:val="10D97CD5"/>
    <w:rsid w:val="1E1D5A5B"/>
    <w:rsid w:val="212F71FE"/>
    <w:rsid w:val="23A245C8"/>
    <w:rsid w:val="375C0B95"/>
    <w:rsid w:val="3A4359F6"/>
    <w:rsid w:val="3CFA123A"/>
    <w:rsid w:val="3DAF79E0"/>
    <w:rsid w:val="3E3948A1"/>
    <w:rsid w:val="467718F4"/>
    <w:rsid w:val="489824B9"/>
    <w:rsid w:val="4EEA0D24"/>
    <w:rsid w:val="59471C07"/>
    <w:rsid w:val="5F3D09FC"/>
    <w:rsid w:val="6CC03682"/>
    <w:rsid w:val="701139EA"/>
    <w:rsid w:val="7A7D6161"/>
    <w:rsid w:val="7D27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BB2A7"/>
  <w15:docId w15:val="{06780345-039D-4774-B2D8-3E5CC16F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sz w:val="20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na wang</cp:lastModifiedBy>
  <cp:revision>2</cp:revision>
  <dcterms:created xsi:type="dcterms:W3CDTF">2024-05-11T01:37:00Z</dcterms:created>
  <dcterms:modified xsi:type="dcterms:W3CDTF">2024-05-11T01:37:00Z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219ABE55DF564B428C18C9CC416A4890_13</vt:lpwstr>
  </property>
</Properties>
</file>