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过滤式消防自救呼吸器产品质量监督抽查实施细则</w:t>
      </w:r>
    </w:p>
    <w:p>
      <w:pPr>
        <w:snapToGrid w:val="0"/>
        <w:spacing w:line="440" w:lineRule="exac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（2024年版）</w:t>
      </w:r>
    </w:p>
    <w:p>
      <w:pPr>
        <w:snapToGrid w:val="0"/>
        <w:spacing w:line="440" w:lineRule="exact"/>
        <w:ind w:firstLine="359" w:firstLineChars="171"/>
        <w:rPr>
          <w:szCs w:val="21"/>
        </w:rPr>
      </w:pPr>
    </w:p>
    <w:p>
      <w:pPr>
        <w:snapToGrid w:val="0"/>
        <w:spacing w:line="440" w:lineRule="exact"/>
        <w:rPr>
          <w:rFonts w:eastAsia="黑体"/>
          <w:szCs w:val="21"/>
        </w:rPr>
      </w:pPr>
      <w:r>
        <w:rPr>
          <w:rFonts w:eastAsia="黑体"/>
          <w:szCs w:val="21"/>
        </w:rPr>
        <w:t>1 抽样方法</w:t>
      </w:r>
    </w:p>
    <w:p>
      <w:pPr>
        <w:snapToGrid w:val="0"/>
        <w:spacing w:line="440" w:lineRule="exact"/>
        <w:ind w:firstLine="420" w:firstLineChars="200"/>
        <w:rPr>
          <w:szCs w:val="21"/>
        </w:rPr>
      </w:pPr>
      <w:r>
        <w:rPr>
          <w:szCs w:val="21"/>
        </w:rPr>
        <w:t>以随机抽样的方式在被抽样生产者、销售者的待销产品中抽取。</w:t>
      </w:r>
    </w:p>
    <w:p>
      <w:pPr>
        <w:snapToGrid w:val="0"/>
        <w:spacing w:line="440" w:lineRule="exact"/>
        <w:ind w:firstLine="420" w:firstLineChars="200"/>
        <w:rPr>
          <w:szCs w:val="21"/>
        </w:rPr>
      </w:pPr>
      <w:r>
        <w:rPr>
          <w:szCs w:val="21"/>
        </w:rPr>
        <w:t>随机数一般可使用随机数表等方法产生。</w:t>
      </w:r>
    </w:p>
    <w:p>
      <w:pPr>
        <w:snapToGrid w:val="0"/>
        <w:spacing w:line="440" w:lineRule="exact"/>
        <w:ind w:firstLine="420" w:firstLineChars="200"/>
        <w:rPr>
          <w:szCs w:val="21"/>
        </w:rPr>
      </w:pPr>
      <w:r>
        <w:t>每批次产品抽取样品</w:t>
      </w:r>
      <w:r>
        <w:rPr>
          <w:szCs w:val="21"/>
        </w:rPr>
        <w:t>12具</w:t>
      </w:r>
      <w:r>
        <w:t>，其中</w:t>
      </w:r>
      <w:r>
        <w:rPr>
          <w:szCs w:val="21"/>
        </w:rPr>
        <w:t>6</w:t>
      </w:r>
      <w:r>
        <w:rPr>
          <w:rFonts w:hint="eastAsia"/>
          <w:szCs w:val="21"/>
        </w:rPr>
        <w:t>具</w:t>
      </w:r>
      <w:r>
        <w:t>为检验样品，</w:t>
      </w:r>
      <w:r>
        <w:rPr>
          <w:szCs w:val="21"/>
        </w:rPr>
        <w:t>6</w:t>
      </w:r>
      <w:r>
        <w:rPr>
          <w:rFonts w:hint="eastAsia"/>
          <w:szCs w:val="21"/>
        </w:rPr>
        <w:t>具</w:t>
      </w:r>
      <w:r>
        <w:t>为备用样品。</w:t>
      </w:r>
    </w:p>
    <w:p>
      <w:pPr>
        <w:snapToGrid w:val="0"/>
        <w:spacing w:line="440" w:lineRule="exact"/>
        <w:rPr>
          <w:szCs w:val="21"/>
        </w:rPr>
      </w:pPr>
    </w:p>
    <w:p>
      <w:pPr>
        <w:snapToGrid w:val="0"/>
        <w:spacing w:line="440" w:lineRule="exact"/>
        <w:rPr>
          <w:rFonts w:eastAsia="黑体"/>
          <w:szCs w:val="21"/>
        </w:rPr>
      </w:pPr>
      <w:r>
        <w:rPr>
          <w:rFonts w:eastAsia="黑体"/>
          <w:szCs w:val="21"/>
        </w:rPr>
        <w:t>2 检验依据</w:t>
      </w:r>
    </w:p>
    <w:p>
      <w:pPr>
        <w:snapToGrid w:val="0"/>
        <w:spacing w:line="440" w:lineRule="exact"/>
        <w:jc w:val="center"/>
        <w:rPr>
          <w:szCs w:val="21"/>
        </w:rPr>
      </w:pP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9"/>
        <w:gridCol w:w="3802"/>
        <w:gridCol w:w="4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1" w:type="pct"/>
          </w:tcPr>
          <w:p>
            <w:pPr>
              <w:snapToGrid w:val="0"/>
              <w:spacing w:line="440" w:lineRule="exact"/>
              <w:jc w:val="center"/>
              <w:rPr>
                <w:szCs w:val="21"/>
              </w:rPr>
            </w:pPr>
            <w:r>
              <w:rPr>
                <w:szCs w:val="21"/>
              </w:rPr>
              <w:t>序号</w:t>
            </w:r>
          </w:p>
        </w:tc>
        <w:tc>
          <w:tcPr>
            <w:tcW w:w="2072" w:type="pct"/>
          </w:tcPr>
          <w:p>
            <w:pPr>
              <w:snapToGrid w:val="0"/>
              <w:spacing w:line="440" w:lineRule="exact"/>
              <w:jc w:val="center"/>
              <w:rPr>
                <w:szCs w:val="21"/>
              </w:rPr>
            </w:pPr>
            <w:r>
              <w:rPr>
                <w:szCs w:val="21"/>
              </w:rPr>
              <w:t>检验项目</w:t>
            </w:r>
          </w:p>
        </w:tc>
        <w:tc>
          <w:tcPr>
            <w:tcW w:w="2247" w:type="pct"/>
          </w:tcPr>
          <w:p>
            <w:pPr>
              <w:snapToGrid w:val="0"/>
              <w:spacing w:line="440" w:lineRule="exact"/>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1" w:type="pct"/>
          </w:tcPr>
          <w:p>
            <w:pPr>
              <w:snapToGrid w:val="0"/>
              <w:spacing w:line="440" w:lineRule="exact"/>
              <w:jc w:val="center"/>
              <w:rPr>
                <w:szCs w:val="21"/>
              </w:rPr>
            </w:pPr>
            <w:r>
              <w:rPr>
                <w:szCs w:val="21"/>
              </w:rPr>
              <w:t>1</w:t>
            </w:r>
          </w:p>
        </w:tc>
        <w:tc>
          <w:tcPr>
            <w:tcW w:w="2072" w:type="pct"/>
          </w:tcPr>
          <w:p>
            <w:pPr>
              <w:spacing w:line="360" w:lineRule="auto"/>
              <w:jc w:val="center"/>
              <w:rPr>
                <w:szCs w:val="21"/>
              </w:rPr>
            </w:pPr>
            <w:r>
              <w:t>结构</w:t>
            </w:r>
          </w:p>
        </w:tc>
        <w:tc>
          <w:tcPr>
            <w:tcW w:w="2247" w:type="pct"/>
            <w:vAlign w:val="center"/>
          </w:tcPr>
          <w:p>
            <w:pPr>
              <w:spacing w:line="360" w:lineRule="auto"/>
              <w:jc w:val="center"/>
              <w:rPr>
                <w:szCs w:val="21"/>
              </w:rPr>
            </w:pPr>
            <w:r>
              <w:t>GB 21976.7</w:t>
            </w:r>
            <w:r>
              <w:rPr>
                <w:color w:val="000000"/>
                <w:szCs w:val="21"/>
              </w:rPr>
              <w:t>—</w:t>
            </w:r>
            <w: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1" w:type="pct"/>
          </w:tcPr>
          <w:p>
            <w:pPr>
              <w:snapToGrid w:val="0"/>
              <w:spacing w:line="440" w:lineRule="exact"/>
              <w:jc w:val="center"/>
              <w:rPr>
                <w:szCs w:val="21"/>
              </w:rPr>
            </w:pPr>
            <w:r>
              <w:rPr>
                <w:szCs w:val="21"/>
              </w:rPr>
              <w:t>2</w:t>
            </w:r>
          </w:p>
        </w:tc>
        <w:tc>
          <w:tcPr>
            <w:tcW w:w="2072" w:type="pct"/>
          </w:tcPr>
          <w:p>
            <w:pPr>
              <w:spacing w:line="360" w:lineRule="auto"/>
              <w:jc w:val="center"/>
              <w:rPr>
                <w:szCs w:val="21"/>
              </w:rPr>
            </w:pPr>
            <w:r>
              <w:t>材料阻燃性能</w:t>
            </w:r>
          </w:p>
        </w:tc>
        <w:tc>
          <w:tcPr>
            <w:tcW w:w="2247" w:type="pct"/>
            <w:vAlign w:val="center"/>
          </w:tcPr>
          <w:p>
            <w:pPr>
              <w:spacing w:line="360" w:lineRule="auto"/>
              <w:jc w:val="center"/>
              <w:rPr>
                <w:szCs w:val="21"/>
              </w:rPr>
            </w:pPr>
            <w:r>
              <w:t>GB 21976.7</w:t>
            </w:r>
            <w:r>
              <w:rPr>
                <w:color w:val="000000"/>
                <w:szCs w:val="21"/>
              </w:rPr>
              <w:t>—</w:t>
            </w:r>
            <w: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1" w:type="pct"/>
          </w:tcPr>
          <w:p>
            <w:pPr>
              <w:snapToGrid w:val="0"/>
              <w:spacing w:line="440" w:lineRule="exact"/>
              <w:jc w:val="center"/>
              <w:rPr>
                <w:szCs w:val="21"/>
              </w:rPr>
            </w:pPr>
            <w:r>
              <w:rPr>
                <w:szCs w:val="21"/>
              </w:rPr>
              <w:t>3</w:t>
            </w:r>
          </w:p>
        </w:tc>
        <w:tc>
          <w:tcPr>
            <w:tcW w:w="2072" w:type="pct"/>
          </w:tcPr>
          <w:p>
            <w:pPr>
              <w:spacing w:line="360" w:lineRule="auto"/>
              <w:jc w:val="center"/>
              <w:rPr>
                <w:szCs w:val="21"/>
              </w:rPr>
            </w:pPr>
            <w:r>
              <w:t>一氧化碳防护性能</w:t>
            </w:r>
          </w:p>
        </w:tc>
        <w:tc>
          <w:tcPr>
            <w:tcW w:w="2247" w:type="pct"/>
            <w:vAlign w:val="center"/>
          </w:tcPr>
          <w:p>
            <w:pPr>
              <w:spacing w:line="360" w:lineRule="auto"/>
              <w:jc w:val="center"/>
              <w:rPr>
                <w:szCs w:val="21"/>
              </w:rPr>
            </w:pPr>
            <w:r>
              <w:t>GB 21976.7</w:t>
            </w:r>
            <w:r>
              <w:rPr>
                <w:color w:val="000000"/>
                <w:szCs w:val="21"/>
              </w:rPr>
              <w:t>—</w:t>
            </w:r>
            <w: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1" w:type="pct"/>
          </w:tcPr>
          <w:p>
            <w:pPr>
              <w:snapToGrid w:val="0"/>
              <w:spacing w:line="440" w:lineRule="exact"/>
              <w:jc w:val="center"/>
              <w:rPr>
                <w:szCs w:val="21"/>
              </w:rPr>
            </w:pPr>
            <w:r>
              <w:rPr>
                <w:szCs w:val="21"/>
              </w:rPr>
              <w:t>4</w:t>
            </w:r>
          </w:p>
        </w:tc>
        <w:tc>
          <w:tcPr>
            <w:tcW w:w="2072" w:type="pct"/>
          </w:tcPr>
          <w:p>
            <w:pPr>
              <w:spacing w:line="360" w:lineRule="auto"/>
              <w:jc w:val="center"/>
            </w:pPr>
            <w:r>
              <w:rPr>
                <w:rFonts w:hint="eastAsia"/>
              </w:rPr>
              <w:t>滤烟性能</w:t>
            </w:r>
            <w:r>
              <w:t xml:space="preserve"> </w:t>
            </w:r>
          </w:p>
        </w:tc>
        <w:tc>
          <w:tcPr>
            <w:tcW w:w="2247" w:type="pct"/>
            <w:vAlign w:val="center"/>
          </w:tcPr>
          <w:p>
            <w:pPr>
              <w:spacing w:line="360" w:lineRule="auto"/>
              <w:jc w:val="center"/>
            </w:pPr>
            <w:r>
              <w:t>GB 21976.7</w:t>
            </w:r>
            <w:r>
              <w:rPr>
                <w:color w:val="000000"/>
                <w:szCs w:val="21"/>
              </w:rPr>
              <w:t>—</w:t>
            </w:r>
            <w: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1" w:type="pct"/>
          </w:tcPr>
          <w:p>
            <w:pPr>
              <w:snapToGrid w:val="0"/>
              <w:spacing w:line="440" w:lineRule="exact"/>
              <w:jc w:val="center"/>
              <w:rPr>
                <w:szCs w:val="21"/>
              </w:rPr>
            </w:pPr>
            <w:r>
              <w:rPr>
                <w:szCs w:val="21"/>
              </w:rPr>
              <w:t>5</w:t>
            </w:r>
          </w:p>
        </w:tc>
        <w:tc>
          <w:tcPr>
            <w:tcW w:w="2072" w:type="pct"/>
          </w:tcPr>
          <w:p>
            <w:pPr>
              <w:spacing w:line="360" w:lineRule="auto"/>
              <w:jc w:val="center"/>
              <w:rPr>
                <w:szCs w:val="21"/>
              </w:rPr>
            </w:pPr>
            <w:r>
              <w:t>连接强度</w:t>
            </w:r>
          </w:p>
        </w:tc>
        <w:tc>
          <w:tcPr>
            <w:tcW w:w="2247" w:type="pct"/>
            <w:vAlign w:val="center"/>
          </w:tcPr>
          <w:p>
            <w:pPr>
              <w:spacing w:line="360" w:lineRule="auto"/>
              <w:jc w:val="center"/>
              <w:rPr>
                <w:szCs w:val="21"/>
              </w:rPr>
            </w:pPr>
            <w:r>
              <w:t>GB 21976.7</w:t>
            </w:r>
            <w:r>
              <w:rPr>
                <w:color w:val="000000"/>
                <w:szCs w:val="21"/>
              </w:rPr>
              <w:t>—</w:t>
            </w:r>
            <w:r>
              <w:t>2012</w:t>
            </w:r>
          </w:p>
        </w:tc>
      </w:tr>
    </w:tbl>
    <w:p>
      <w:pPr>
        <w:adjustRightInd w:val="0"/>
        <w:snapToGrid w:val="0"/>
        <w:spacing w:line="440" w:lineRule="exact"/>
        <w:ind w:firstLine="420" w:firstLineChars="200"/>
        <w:rPr>
          <w:szCs w:val="21"/>
        </w:rPr>
      </w:pPr>
      <w:r>
        <w:rPr>
          <w:szCs w:val="21"/>
        </w:rPr>
        <w:t>执行企业标准、团体标准、地方标准的产品，检验项目参照上述内容执行。</w:t>
      </w:r>
    </w:p>
    <w:p>
      <w:pPr>
        <w:snapToGrid w:val="0"/>
        <w:spacing w:line="440" w:lineRule="exact"/>
        <w:ind w:firstLine="359" w:firstLineChars="171"/>
        <w:rPr>
          <w:szCs w:val="21"/>
        </w:rPr>
      </w:pPr>
      <w:r>
        <w:rPr>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szCs w:val="21"/>
        </w:rPr>
      </w:pPr>
    </w:p>
    <w:p>
      <w:pPr>
        <w:spacing w:line="440" w:lineRule="exact"/>
        <w:rPr>
          <w:rFonts w:eastAsia="黑体"/>
          <w:szCs w:val="21"/>
        </w:rPr>
      </w:pPr>
      <w:r>
        <w:rPr>
          <w:rFonts w:eastAsia="黑体"/>
          <w:szCs w:val="21"/>
        </w:rPr>
        <w:t>3 判定规则</w:t>
      </w:r>
      <w:bookmarkStart w:id="0" w:name="_GoBack"/>
      <w:bookmarkEnd w:id="0"/>
    </w:p>
    <w:p>
      <w:pPr>
        <w:snapToGrid w:val="0"/>
        <w:spacing w:line="440" w:lineRule="exact"/>
        <w:rPr>
          <w:szCs w:val="21"/>
        </w:rPr>
      </w:pPr>
      <w:r>
        <w:rPr>
          <w:szCs w:val="21"/>
        </w:rPr>
        <w:t>3.1依据标准</w:t>
      </w:r>
    </w:p>
    <w:p>
      <w:pPr>
        <w:snapToGrid w:val="0"/>
        <w:spacing w:line="440" w:lineRule="exact"/>
        <w:ind w:firstLine="420" w:firstLineChars="200"/>
        <w:rPr>
          <w:rFonts w:hint="eastAsia"/>
        </w:rPr>
      </w:pPr>
      <w:r>
        <w:t>GB 21976.7</w:t>
      </w:r>
      <w:r>
        <w:rPr>
          <w:color w:val="000000"/>
          <w:szCs w:val="21"/>
        </w:rPr>
        <w:t>—</w:t>
      </w:r>
      <w:r>
        <w:t>2012 建筑火灾逃生避难器材 第7部分：过滤式消防自救呼吸器</w:t>
      </w:r>
    </w:p>
    <w:p>
      <w:pPr>
        <w:snapToGrid w:val="0"/>
        <w:spacing w:line="440" w:lineRule="exact"/>
        <w:ind w:firstLine="420" w:firstLineChars="200"/>
        <w:rPr>
          <w:szCs w:val="21"/>
        </w:rPr>
      </w:pPr>
      <w:r>
        <w:rPr>
          <w:szCs w:val="21"/>
        </w:rPr>
        <w:t>现行有效的企业标准、团体标准、地方标准及产品明示质量要求。</w:t>
      </w:r>
    </w:p>
    <w:p>
      <w:pPr>
        <w:snapToGrid w:val="0"/>
        <w:spacing w:line="440" w:lineRule="exact"/>
        <w:rPr>
          <w:szCs w:val="21"/>
        </w:rPr>
      </w:pPr>
      <w:r>
        <w:rPr>
          <w:szCs w:val="21"/>
        </w:rPr>
        <w:t>3.2判定原则</w:t>
      </w:r>
    </w:p>
    <w:p>
      <w:pPr>
        <w:snapToGrid w:val="0"/>
        <w:spacing w:line="440" w:lineRule="exact"/>
        <w:ind w:firstLine="420" w:firstLineChars="200"/>
        <w:rPr>
          <w:szCs w:val="21"/>
        </w:rPr>
      </w:pPr>
      <w:r>
        <w:rPr>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szCs w:val="21"/>
        </w:rPr>
      </w:pPr>
      <w:r>
        <w:rPr>
          <w:szCs w:val="21"/>
        </w:rPr>
        <w:t>若被检产品明示的质量要求高于本细则中检验项目依据的标准要求时，应按被检产品明示的质量要求判定。</w:t>
      </w:r>
    </w:p>
    <w:p>
      <w:pPr>
        <w:snapToGrid w:val="0"/>
        <w:spacing w:line="440" w:lineRule="exact"/>
        <w:ind w:firstLine="417" w:firstLineChars="199"/>
        <w:rPr>
          <w:szCs w:val="21"/>
        </w:rPr>
      </w:pPr>
      <w:r>
        <w:rPr>
          <w:szCs w:val="21"/>
        </w:rPr>
        <w:t>若被检产品明示的质量要求低于本细则中检验项目依据的强制性标准要求时，应按照强制性标准要求判定。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szCs w:val="21"/>
        </w:rPr>
      </w:pPr>
      <w:r>
        <w:rPr>
          <w:szCs w:val="21"/>
        </w:rPr>
        <w:t>若被检产品明示的质量要求缺少本细则中检验项目依据的强制性标准要求时，应按照强制性标准要求判定。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若被检产品明示的质量要求缺少本细则中检验项目依据的推荐性标准要求时，该项目不参与判定。</w:t>
      </w:r>
    </w:p>
    <w:p>
      <w:pPr>
        <w:snapToGrid w:val="0"/>
        <w:spacing w:line="440" w:lineRule="exact"/>
        <w:ind w:firstLine="417" w:firstLineChars="199"/>
        <w:rPr>
          <w:szCs w:val="21"/>
        </w:rPr>
      </w:pPr>
    </w:p>
    <w:p>
      <w:pPr>
        <w:spacing w:line="440" w:lineRule="exact"/>
        <w:rPr>
          <w:rFonts w:eastAsia="黑体"/>
          <w:szCs w:val="21"/>
        </w:rPr>
      </w:pPr>
      <w:r>
        <w:rPr>
          <w:rFonts w:eastAsia="黑体"/>
          <w:szCs w:val="21"/>
        </w:rPr>
        <w:t>4 附则</w:t>
      </w:r>
    </w:p>
    <w:p>
      <w:pPr>
        <w:snapToGrid w:val="0"/>
        <w:spacing w:line="440" w:lineRule="exact"/>
        <w:ind w:firstLine="420" w:firstLineChars="200"/>
        <w:rPr>
          <w:szCs w:val="21"/>
        </w:rPr>
      </w:pPr>
      <w:r>
        <w:rPr>
          <w:szCs w:val="21"/>
        </w:rPr>
        <w:t>本细则首次发布。</w:t>
      </w:r>
    </w:p>
    <w:p>
      <w:pPr>
        <w:snapToGrid w:val="0"/>
        <w:spacing w:line="440" w:lineRule="exact"/>
        <w:rPr>
          <w:szCs w:val="21"/>
        </w:rPr>
      </w:pPr>
    </w:p>
    <w:sectPr>
      <w:headerReference r:id="rId3" w:type="default"/>
      <w:footerReference r:id="rId4" w:type="default"/>
      <w:footerReference r:id="rId5" w:type="even"/>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604D316-743B-4E0F-8D52-38D02C37793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lZTg4MTIyMzkwYWY2YjZmM2M5NWM4ZjgyY2JmZGIifQ=="/>
  </w:docVars>
  <w:rsids>
    <w:rsidRoot w:val="00172A27"/>
    <w:rsid w:val="00051A44"/>
    <w:rsid w:val="00081CBD"/>
    <w:rsid w:val="000976DE"/>
    <w:rsid w:val="000B7BA8"/>
    <w:rsid w:val="00123D1C"/>
    <w:rsid w:val="00172A27"/>
    <w:rsid w:val="001809DD"/>
    <w:rsid w:val="00195559"/>
    <w:rsid w:val="001A057E"/>
    <w:rsid w:val="00232530"/>
    <w:rsid w:val="00253624"/>
    <w:rsid w:val="002D7F8A"/>
    <w:rsid w:val="002E0D1D"/>
    <w:rsid w:val="003203A3"/>
    <w:rsid w:val="00332461"/>
    <w:rsid w:val="00365CBE"/>
    <w:rsid w:val="003A3D25"/>
    <w:rsid w:val="003A7D30"/>
    <w:rsid w:val="003B4E52"/>
    <w:rsid w:val="003C388C"/>
    <w:rsid w:val="003D09A1"/>
    <w:rsid w:val="003E61BF"/>
    <w:rsid w:val="004021C4"/>
    <w:rsid w:val="004104AC"/>
    <w:rsid w:val="00445E86"/>
    <w:rsid w:val="0045434D"/>
    <w:rsid w:val="00474E04"/>
    <w:rsid w:val="00483277"/>
    <w:rsid w:val="004D0C5A"/>
    <w:rsid w:val="004D184C"/>
    <w:rsid w:val="004E1396"/>
    <w:rsid w:val="004E6C21"/>
    <w:rsid w:val="00563EBC"/>
    <w:rsid w:val="005B0EF1"/>
    <w:rsid w:val="005F4ED9"/>
    <w:rsid w:val="006E1171"/>
    <w:rsid w:val="006F0971"/>
    <w:rsid w:val="0072334C"/>
    <w:rsid w:val="007C46E1"/>
    <w:rsid w:val="007D7863"/>
    <w:rsid w:val="00847E10"/>
    <w:rsid w:val="00864CC8"/>
    <w:rsid w:val="00895A46"/>
    <w:rsid w:val="00895BEA"/>
    <w:rsid w:val="008A3497"/>
    <w:rsid w:val="008F73D2"/>
    <w:rsid w:val="00917A54"/>
    <w:rsid w:val="009518C4"/>
    <w:rsid w:val="00A15A30"/>
    <w:rsid w:val="00A17737"/>
    <w:rsid w:val="00A23D98"/>
    <w:rsid w:val="00A43553"/>
    <w:rsid w:val="00AC26DA"/>
    <w:rsid w:val="00AC5391"/>
    <w:rsid w:val="00B65F23"/>
    <w:rsid w:val="00B66661"/>
    <w:rsid w:val="00BF2B8C"/>
    <w:rsid w:val="00C26074"/>
    <w:rsid w:val="00C61F4D"/>
    <w:rsid w:val="00C83B0A"/>
    <w:rsid w:val="00CE1E0C"/>
    <w:rsid w:val="00CE277E"/>
    <w:rsid w:val="00D56867"/>
    <w:rsid w:val="00D91112"/>
    <w:rsid w:val="00DC1C25"/>
    <w:rsid w:val="00E02A7F"/>
    <w:rsid w:val="00E07880"/>
    <w:rsid w:val="00E40C61"/>
    <w:rsid w:val="00E4526D"/>
    <w:rsid w:val="00E82621"/>
    <w:rsid w:val="00F77C9A"/>
    <w:rsid w:val="00F80CD3"/>
    <w:rsid w:val="00F841E8"/>
    <w:rsid w:val="00FB576C"/>
    <w:rsid w:val="00FD2AA6"/>
    <w:rsid w:val="00FE7E8A"/>
    <w:rsid w:val="01050F22"/>
    <w:rsid w:val="035F4D61"/>
    <w:rsid w:val="03E8026C"/>
    <w:rsid w:val="04223EC3"/>
    <w:rsid w:val="04455AD9"/>
    <w:rsid w:val="053A5D1F"/>
    <w:rsid w:val="06330511"/>
    <w:rsid w:val="0B7369C9"/>
    <w:rsid w:val="0D7F5DD6"/>
    <w:rsid w:val="0D863A42"/>
    <w:rsid w:val="0E6C49AA"/>
    <w:rsid w:val="137155C8"/>
    <w:rsid w:val="1536339B"/>
    <w:rsid w:val="16714FDF"/>
    <w:rsid w:val="16A42B33"/>
    <w:rsid w:val="17C41DB0"/>
    <w:rsid w:val="1B53427F"/>
    <w:rsid w:val="1D174936"/>
    <w:rsid w:val="1E6A4663"/>
    <w:rsid w:val="1EBD4792"/>
    <w:rsid w:val="1ED67B17"/>
    <w:rsid w:val="1FD955FC"/>
    <w:rsid w:val="20485A20"/>
    <w:rsid w:val="21426C04"/>
    <w:rsid w:val="21464F13"/>
    <w:rsid w:val="21A45E03"/>
    <w:rsid w:val="21C9561A"/>
    <w:rsid w:val="26973A9B"/>
    <w:rsid w:val="26C2385A"/>
    <w:rsid w:val="27053916"/>
    <w:rsid w:val="2835183D"/>
    <w:rsid w:val="287A3098"/>
    <w:rsid w:val="2AB7785E"/>
    <w:rsid w:val="2E7A26A0"/>
    <w:rsid w:val="2F524A74"/>
    <w:rsid w:val="2F74526F"/>
    <w:rsid w:val="360867E3"/>
    <w:rsid w:val="36953AD3"/>
    <w:rsid w:val="38256B53"/>
    <w:rsid w:val="39AA099D"/>
    <w:rsid w:val="3F7B78A2"/>
    <w:rsid w:val="426E308D"/>
    <w:rsid w:val="44937BC0"/>
    <w:rsid w:val="474A448A"/>
    <w:rsid w:val="4809790C"/>
    <w:rsid w:val="48C24E10"/>
    <w:rsid w:val="4B705CC2"/>
    <w:rsid w:val="4CD23888"/>
    <w:rsid w:val="4DF21A2E"/>
    <w:rsid w:val="4EA242AD"/>
    <w:rsid w:val="4F8545A9"/>
    <w:rsid w:val="4F876573"/>
    <w:rsid w:val="4FA72771"/>
    <w:rsid w:val="4FC76963"/>
    <w:rsid w:val="53C52AE3"/>
    <w:rsid w:val="55357FE7"/>
    <w:rsid w:val="56C1236A"/>
    <w:rsid w:val="5AA916F6"/>
    <w:rsid w:val="5AF25FB4"/>
    <w:rsid w:val="5B3E21DC"/>
    <w:rsid w:val="5BC9688D"/>
    <w:rsid w:val="5C9F35EA"/>
    <w:rsid w:val="5EE66E12"/>
    <w:rsid w:val="5FB92779"/>
    <w:rsid w:val="64AB1D46"/>
    <w:rsid w:val="64D30CB5"/>
    <w:rsid w:val="64FA641F"/>
    <w:rsid w:val="661501DF"/>
    <w:rsid w:val="66D6776C"/>
    <w:rsid w:val="6A4F377E"/>
    <w:rsid w:val="6B304EB8"/>
    <w:rsid w:val="6E8C1058"/>
    <w:rsid w:val="6F0931B7"/>
    <w:rsid w:val="6FB72105"/>
    <w:rsid w:val="6FC767EC"/>
    <w:rsid w:val="6FDE3B35"/>
    <w:rsid w:val="6FE56C72"/>
    <w:rsid w:val="72B2632B"/>
    <w:rsid w:val="742A7349"/>
    <w:rsid w:val="74430285"/>
    <w:rsid w:val="751B38E5"/>
    <w:rsid w:val="755328D0"/>
    <w:rsid w:val="756E14B8"/>
    <w:rsid w:val="780649BD"/>
    <w:rsid w:val="78CF04BF"/>
    <w:rsid w:val="78E6643D"/>
    <w:rsid w:val="7A1F7326"/>
    <w:rsid w:val="7AA02113"/>
    <w:rsid w:val="7B3773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1"/>
    <w:unhideWhenUsed/>
    <w:qFormat/>
    <w:uiPriority w:val="99"/>
    <w:pPr>
      <w:jc w:val="left"/>
    </w:pPr>
  </w:style>
  <w:style w:type="paragraph" w:styleId="3">
    <w:name w:val="Balloon Text"/>
    <w:basedOn w:val="1"/>
    <w:link w:val="12"/>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unhideWhenUsed/>
    <w:qFormat/>
    <w:uiPriority w:val="99"/>
    <w:rPr>
      <w:b/>
      <w:bCs/>
    </w:rPr>
  </w:style>
  <w:style w:type="character" w:styleId="9">
    <w:name w:val="page number"/>
    <w:autoRedefine/>
    <w:qFormat/>
    <w:uiPriority w:val="0"/>
  </w:style>
  <w:style w:type="character" w:styleId="10">
    <w:name w:val="annotation reference"/>
    <w:autoRedefine/>
    <w:unhideWhenUsed/>
    <w:qFormat/>
    <w:uiPriority w:val="99"/>
    <w:rPr>
      <w:sz w:val="21"/>
      <w:szCs w:val="21"/>
    </w:rPr>
  </w:style>
  <w:style w:type="character" w:customStyle="1" w:styleId="11">
    <w:name w:val="批注文字 字符"/>
    <w:link w:val="2"/>
    <w:semiHidden/>
    <w:qFormat/>
    <w:uiPriority w:val="99"/>
    <w:rPr>
      <w:kern w:val="2"/>
      <w:sz w:val="21"/>
      <w:szCs w:val="24"/>
    </w:rPr>
  </w:style>
  <w:style w:type="character" w:customStyle="1" w:styleId="12">
    <w:name w:val="批注框文本 字符"/>
    <w:link w:val="3"/>
    <w:autoRedefine/>
    <w:semiHidden/>
    <w:qFormat/>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页眉 字符"/>
    <w:link w:val="5"/>
    <w:semiHidden/>
    <w:qFormat/>
    <w:uiPriority w:val="99"/>
    <w:rPr>
      <w:kern w:val="2"/>
      <w:sz w:val="18"/>
      <w:szCs w:val="18"/>
    </w:rPr>
  </w:style>
  <w:style w:type="character" w:customStyle="1" w:styleId="15">
    <w:name w:val="批注主题 字符"/>
    <w:link w:val="6"/>
    <w:autoRedefine/>
    <w:semiHidden/>
    <w:qFormat/>
    <w:uiPriority w:val="99"/>
    <w:rPr>
      <w:b/>
      <w:bCs/>
      <w:kern w:val="2"/>
      <w:sz w:val="21"/>
      <w:szCs w:val="24"/>
    </w:rPr>
  </w:style>
  <w:style w:type="paragraph" w:customStyle="1" w:styleId="16">
    <w:name w:val="列出段落1"/>
    <w:basedOn w:val="1"/>
    <w:qFormat/>
    <w:uiPriority w:val="34"/>
    <w:pPr>
      <w:ind w:firstLine="420" w:firstLineChars="200"/>
    </w:pPr>
    <w:rPr>
      <w:rFonts w:ascii="Calibri" w:hAnsi="Calibri"/>
      <w:szCs w:val="22"/>
    </w:rPr>
  </w:style>
  <w:style w:type="paragraph" w:customStyle="1" w:styleId="17">
    <w:name w:val="_Style 16"/>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0</TotalTime>
  <Pages>1</Pages>
  <Words>116</Words>
  <Characters>666</Characters>
  <DocSecurity>0</DocSecurity>
  <Lines>5</Lines>
  <Paragraphs>1</Paragraphs>
  <ScaleCrop>false</ScaleCrop>
  <LinksUpToDate>false</LinksUpToDate>
  <CharactersWithSpaces>781</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2019-12-05T07:53:00Z</cp:lastPrinted>
  <dcterms:created xsi:type="dcterms:W3CDTF">2004-08-06T03:45:00Z</dcterms:created>
  <dcterms:modified xsi:type="dcterms:W3CDTF">2024-04-03T03:02:41Z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56D31120B5E84BD59B1C4F77DE5652DD_13</vt:lpwstr>
  </property>
  <property fmtid="{D5CDD505-2E9C-101B-9397-08002B2CF9AE}" pid="4" name="commondata">
    <vt:lpwstr>eyJoZGlkIjoiOTJiNjM1M2Q0Y2NiOWRiYjUwYzYxZTFiZDI3YmE2YjgifQ==</vt:lpwstr>
  </property>
</Properties>
</file>