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120" w:after="120" w:line="600" w:lineRule="exact"/>
        <w:jc w:val="left"/>
        <w:textAlignment w:val="auto"/>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附件1</w:t>
      </w:r>
    </w:p>
    <w:p>
      <w:pPr>
        <w:spacing w:before="120" w:after="120"/>
        <w:jc w:val="center"/>
        <w:rPr>
          <w:rFonts w:ascii="Times New Roman" w:hAnsi="Times New Roman" w:eastAsia="方正小标宋简体" w:cs="方正小标宋简体"/>
          <w:b/>
          <w:color w:val="000000" w:themeColor="text1"/>
          <w:sz w:val="48"/>
          <w:szCs w:val="44"/>
          <w14:textFill>
            <w14:solidFill>
              <w14:schemeClr w14:val="tx1"/>
            </w14:solidFill>
          </w14:textFill>
        </w:rPr>
      </w:pPr>
    </w:p>
    <w:p>
      <w:pPr>
        <w:pStyle w:val="2"/>
        <w:outlineLvl w:val="9"/>
        <w:rPr>
          <w:rFonts w:ascii="Times New Roman" w:hAnsi="Times New Roman"/>
          <w:color w:val="000000" w:themeColor="text1"/>
          <w14:textFill>
            <w14:solidFill>
              <w14:schemeClr w14:val="tx1"/>
            </w14:solidFill>
          </w14:textFill>
        </w:rPr>
      </w:pPr>
    </w:p>
    <w:p>
      <w:pPr>
        <w:spacing w:before="120" w:after="120"/>
        <w:jc w:val="center"/>
        <w:outlineLvl w:val="0"/>
        <w:rPr>
          <w:rFonts w:ascii="Times New Roman" w:hAnsi="Times New Roman" w:eastAsia="方正小标宋简体" w:cs="方正小标宋简体"/>
          <w:b w:val="0"/>
          <w:bCs/>
          <w:snapToGrid w:val="0"/>
          <w:color w:val="000000" w:themeColor="text1"/>
          <w:sz w:val="48"/>
          <w:szCs w:val="44"/>
          <w14:textFill>
            <w14:solidFill>
              <w14:schemeClr w14:val="tx1"/>
            </w14:solidFill>
          </w14:textFill>
        </w:rPr>
      </w:pPr>
      <w:r>
        <w:rPr>
          <w:rFonts w:hint="eastAsia" w:ascii="Times New Roman" w:hAnsi="Times New Roman" w:eastAsia="方正小标宋简体" w:cs="方正小标宋简体"/>
          <w:b w:val="0"/>
          <w:bCs/>
          <w:snapToGrid w:val="0"/>
          <w:color w:val="000000" w:themeColor="text1"/>
          <w:sz w:val="48"/>
          <w:szCs w:val="44"/>
          <w14:textFill>
            <w14:solidFill>
              <w14:schemeClr w14:val="tx1"/>
            </w14:solidFill>
          </w14:textFill>
        </w:rPr>
        <w:t>医药企业防范商业贿赂风险合规指引</w:t>
      </w:r>
    </w:p>
    <w:p>
      <w:pPr>
        <w:spacing w:before="120" w:after="120"/>
        <w:jc w:val="center"/>
        <w:outlineLvl w:val="0"/>
        <w:rPr>
          <w:rFonts w:hint="eastAsia" w:ascii="仿宋_GB2312" w:hAnsi="仿宋_GB2312" w:eastAsia="仿宋_GB2312" w:cs="仿宋_GB2312"/>
          <w:color w:val="000000" w:themeColor="text1"/>
          <w:sz w:val="48"/>
          <w:szCs w:val="48"/>
          <w14:textFill>
            <w14:solidFill>
              <w14:schemeClr w14:val="tx1"/>
            </w14:solidFill>
          </w14:textFill>
        </w:rPr>
      </w:pPr>
      <w:r>
        <w:rPr>
          <w:rFonts w:hint="eastAsia" w:ascii="仿宋_GB2312" w:hAnsi="仿宋_GB2312" w:eastAsia="仿宋_GB2312" w:cs="仿宋_GB2312"/>
          <w:color w:val="000000" w:themeColor="text1"/>
          <w:sz w:val="48"/>
          <w:szCs w:val="48"/>
          <w14:textFill>
            <w14:solidFill>
              <w14:schemeClr w14:val="tx1"/>
            </w14:solidFill>
          </w14:textFill>
        </w:rPr>
        <w:t>（</w:t>
      </w:r>
      <w:r>
        <w:rPr>
          <w:rFonts w:hint="eastAsia" w:ascii="仿宋_GB2312" w:hAnsi="仿宋_GB2312" w:eastAsia="仿宋_GB2312" w:cs="仿宋_GB2312"/>
          <w:color w:val="000000" w:themeColor="text1"/>
          <w:sz w:val="48"/>
          <w:szCs w:val="48"/>
          <w:lang w:eastAsia="zh-CN"/>
          <w14:textFill>
            <w14:solidFill>
              <w14:schemeClr w14:val="tx1"/>
            </w14:solidFill>
          </w14:textFill>
        </w:rPr>
        <w:t>征求意见稿</w:t>
      </w:r>
      <w:r>
        <w:rPr>
          <w:rFonts w:hint="eastAsia" w:ascii="仿宋_GB2312" w:hAnsi="仿宋_GB2312" w:eastAsia="仿宋_GB2312" w:cs="仿宋_GB2312"/>
          <w:color w:val="000000" w:themeColor="text1"/>
          <w:sz w:val="48"/>
          <w:szCs w:val="48"/>
          <w14:textFill>
            <w14:solidFill>
              <w14:schemeClr w14:val="tx1"/>
            </w14:solidFill>
          </w14:textFill>
        </w:rPr>
        <w:t>）</w:t>
      </w:r>
    </w:p>
    <w:p>
      <w:pPr>
        <w:spacing w:before="120" w:after="120"/>
        <w:jc w:val="center"/>
        <w:rPr>
          <w:rFonts w:hint="eastAsia" w:ascii="Times New Roman" w:hAnsi="Times New Roman" w:eastAsia="方正小标宋简体" w:cs="方正小标宋简体"/>
          <w:color w:val="000000" w:themeColor="text1"/>
          <w:sz w:val="44"/>
          <w:szCs w:val="44"/>
          <w:lang w:eastAsia="zh-CN"/>
          <w14:textFill>
            <w14:solidFill>
              <w14:schemeClr w14:val="tx1"/>
            </w14:solidFill>
          </w14:textFill>
        </w:rPr>
      </w:pPr>
    </w:p>
    <w:p>
      <w:pPr>
        <w:spacing w:before="120" w:after="120"/>
        <w:jc w:val="center"/>
        <w:rPr>
          <w:rFonts w:ascii="Times New Roman" w:hAnsi="Times New Roman" w:eastAsia="方正小标宋简体" w:cs="方正小标宋简体"/>
          <w:color w:val="000000" w:themeColor="text1"/>
          <w:sz w:val="44"/>
          <w:szCs w:val="44"/>
          <w14:textFill>
            <w14:solidFill>
              <w14:schemeClr w14:val="tx1"/>
            </w14:solidFill>
          </w14:textFill>
        </w:rPr>
      </w:pPr>
    </w:p>
    <w:p>
      <w:pPr>
        <w:spacing w:before="120" w:after="120"/>
        <w:jc w:val="center"/>
        <w:rPr>
          <w:rFonts w:ascii="Times New Roman" w:hAnsi="Times New Roman" w:eastAsia="方正小标宋简体" w:cs="方正小标宋简体"/>
          <w:color w:val="000000" w:themeColor="text1"/>
          <w:sz w:val="36"/>
          <w:szCs w:val="44"/>
          <w14:textFill>
            <w14:solidFill>
              <w14:schemeClr w14:val="tx1"/>
            </w14:solidFill>
          </w14:textFill>
        </w:rPr>
      </w:pPr>
    </w:p>
    <w:p>
      <w:pPr>
        <w:spacing w:before="120" w:after="120"/>
        <w:jc w:val="center"/>
        <w:rPr>
          <w:rFonts w:hint="eastAsia" w:ascii="Times New Roman" w:hAnsi="Times New Roman" w:eastAsia="方正小标宋简体" w:cs="方正小标宋简体"/>
          <w:color w:val="000000" w:themeColor="text1"/>
          <w:sz w:val="36"/>
          <w:szCs w:val="44"/>
          <w14:textFill>
            <w14:solidFill>
              <w14:schemeClr w14:val="tx1"/>
            </w14:solidFill>
          </w14:textFill>
        </w:rPr>
      </w:pPr>
    </w:p>
    <w:p>
      <w:pPr>
        <w:pStyle w:val="2"/>
        <w:outlineLvl w:val="9"/>
        <w:rPr>
          <w:rFonts w:hint="eastAsia" w:ascii="Times New Roman" w:hAnsi="Times New Roman" w:eastAsia="方正小标宋简体" w:cs="方正小标宋简体"/>
          <w:color w:val="000000" w:themeColor="text1"/>
          <w:sz w:val="36"/>
          <w:szCs w:val="44"/>
          <w14:textFill>
            <w14:solidFill>
              <w14:schemeClr w14:val="tx1"/>
            </w14:solidFill>
          </w14:textFill>
        </w:rPr>
      </w:pPr>
    </w:p>
    <w:p>
      <w:pPr>
        <w:rPr>
          <w:rFonts w:hint="eastAsia" w:ascii="Times New Roman" w:hAnsi="Times New Roman" w:eastAsia="方正小标宋简体" w:cs="方正小标宋简体"/>
          <w:color w:val="000000" w:themeColor="text1"/>
          <w:sz w:val="36"/>
          <w:szCs w:val="44"/>
          <w14:textFill>
            <w14:solidFill>
              <w14:schemeClr w14:val="tx1"/>
            </w14:solidFill>
          </w14:textFill>
        </w:rPr>
      </w:pPr>
    </w:p>
    <w:p>
      <w:pPr>
        <w:pStyle w:val="2"/>
        <w:outlineLvl w:val="9"/>
        <w:rPr>
          <w:rFonts w:hint="eastAsia" w:ascii="Times New Roman" w:hAnsi="Times New Roman" w:eastAsia="方正小标宋简体" w:cs="方正小标宋简体"/>
          <w:color w:val="000000" w:themeColor="text1"/>
          <w:sz w:val="36"/>
          <w:szCs w:val="44"/>
          <w14:textFill>
            <w14:solidFill>
              <w14:schemeClr w14:val="tx1"/>
            </w14:solidFill>
          </w14:textFill>
        </w:rPr>
      </w:pPr>
    </w:p>
    <w:p>
      <w:pPr>
        <w:rPr>
          <w:rFonts w:hint="eastAsia" w:ascii="Times New Roman" w:hAnsi="Times New Roman"/>
          <w:color w:val="000000" w:themeColor="text1"/>
          <w14:textFill>
            <w14:solidFill>
              <w14:schemeClr w14:val="tx1"/>
            </w14:solidFill>
          </w14:textFill>
        </w:rPr>
      </w:pPr>
    </w:p>
    <w:p>
      <w:pPr>
        <w:spacing w:before="0" w:after="0" w:line="594" w:lineRule="exact"/>
        <w:jc w:val="center"/>
        <w:outlineLvl w:val="0"/>
        <w:rPr>
          <w:rFonts w:hint="eastAsia" w:ascii="Times New Roman" w:hAnsi="Times New Roman" w:eastAsia="方正小标宋简体" w:cs="方正小标宋简体"/>
          <w:color w:val="000000" w:themeColor="text1"/>
          <w:sz w:val="36"/>
          <w:szCs w:val="44"/>
          <w:lang w:eastAsia="zh-CN"/>
          <w14:textFill>
            <w14:solidFill>
              <w14:schemeClr w14:val="tx1"/>
            </w14:solidFill>
          </w14:textFill>
        </w:rPr>
      </w:pPr>
      <w:r>
        <w:rPr>
          <w:rFonts w:hint="eastAsia" w:ascii="Times New Roman" w:hAnsi="Times New Roman" w:eastAsia="方正小标宋简体" w:cs="方正小标宋简体"/>
          <w:color w:val="000000" w:themeColor="text1"/>
          <w:sz w:val="36"/>
          <w:szCs w:val="44"/>
          <w:lang w:eastAsia="zh-CN"/>
          <w14:textFill>
            <w14:solidFill>
              <w14:schemeClr w14:val="tx1"/>
            </w14:solidFill>
          </w14:textFill>
        </w:rPr>
        <w:t>国家市场监督管理总局</w:t>
      </w:r>
    </w:p>
    <w:p>
      <w:pPr>
        <w:spacing w:before="0" w:after="0" w:line="594" w:lineRule="exact"/>
        <w:jc w:val="center"/>
        <w:outlineLvl w:val="0"/>
        <w:rPr>
          <w:rFonts w:ascii="Times New Roman" w:hAnsi="Times New Roman" w:eastAsia="方正小标宋简体" w:cs="方正小标宋简体"/>
          <w:color w:val="000000" w:themeColor="text1"/>
          <w:sz w:val="36"/>
          <w:szCs w:val="44"/>
          <w14:textFill>
            <w14:solidFill>
              <w14:schemeClr w14:val="tx1"/>
            </w14:solidFill>
          </w14:textFill>
        </w:rPr>
      </w:pPr>
      <w:r>
        <w:rPr>
          <w:rFonts w:hint="eastAsia" w:ascii="Times New Roman" w:hAnsi="Times New Roman" w:eastAsia="方正小标宋简体" w:cs="方正小标宋简体"/>
          <w:color w:val="000000" w:themeColor="text1"/>
          <w:sz w:val="36"/>
          <w:szCs w:val="44"/>
          <w:lang w:val="en-US" w:eastAsia="zh-CN"/>
          <w14:textFill>
            <w14:solidFill>
              <w14:schemeClr w14:val="tx1"/>
            </w14:solidFill>
          </w14:textFill>
        </w:rPr>
        <w:t>2024</w:t>
      </w:r>
      <w:r>
        <w:rPr>
          <w:rFonts w:ascii="Times New Roman" w:hAnsi="Times New Roman" w:eastAsia="方正小标宋简体" w:cs="方正小标宋简体"/>
          <w:color w:val="000000" w:themeColor="text1"/>
          <w:sz w:val="36"/>
          <w:szCs w:val="44"/>
          <w14:textFill>
            <w14:solidFill>
              <w14:schemeClr w14:val="tx1"/>
            </w14:solidFill>
          </w14:textFill>
        </w:rPr>
        <w:t>年</w:t>
      </w:r>
      <w:r>
        <w:rPr>
          <w:rFonts w:hint="eastAsia" w:ascii="Times New Roman" w:hAnsi="Times New Roman" w:eastAsia="方正小标宋简体" w:cs="方正小标宋简体"/>
          <w:color w:val="000000" w:themeColor="text1"/>
          <w:sz w:val="36"/>
          <w:szCs w:val="44"/>
          <w:lang w:val="en-US" w:eastAsia="zh-CN"/>
          <w14:textFill>
            <w14:solidFill>
              <w14:schemeClr w14:val="tx1"/>
            </w14:solidFill>
          </w14:textFill>
        </w:rPr>
        <w:t>10</w:t>
      </w:r>
      <w:bookmarkStart w:id="26" w:name="_GoBack"/>
      <w:bookmarkEnd w:id="26"/>
      <w:r>
        <w:rPr>
          <w:rFonts w:ascii="Times New Roman" w:hAnsi="Times New Roman" w:eastAsia="方正小标宋简体" w:cs="方正小标宋简体"/>
          <w:color w:val="000000" w:themeColor="text1"/>
          <w:sz w:val="36"/>
          <w:szCs w:val="44"/>
          <w14:textFill>
            <w14:solidFill>
              <w14:schemeClr w14:val="tx1"/>
            </w14:solidFill>
          </w14:textFill>
        </w:rPr>
        <w:t>月</w:t>
      </w:r>
    </w:p>
    <w:p>
      <w:pPr>
        <w:pStyle w:val="14"/>
        <w:keepNext w:val="0"/>
        <w:keepLines w:val="0"/>
        <w:widowControl w:val="0"/>
        <w:jc w:val="center"/>
        <w:rPr>
          <w:rFonts w:ascii="Times New Roman" w:hAnsi="Times New Roman" w:eastAsia="黑体" w:cs="Times New Roman"/>
          <w:b/>
          <w:color w:val="000000" w:themeColor="text1"/>
          <w:kern w:val="2"/>
          <w:sz w:val="44"/>
          <w:szCs w:val="44"/>
          <w:lang w:val="zh-CN"/>
          <w14:textFill>
            <w14:solidFill>
              <w14:schemeClr w14:val="tx1"/>
            </w14:solidFill>
          </w14:textFill>
        </w:rPr>
        <w:sectPr>
          <w:footerReference r:id="rId3" w:type="default"/>
          <w:footerReference r:id="rId4" w:type="even"/>
          <w:pgSz w:w="11906" w:h="16838"/>
          <w:pgMar w:top="1984" w:right="1474" w:bottom="1644" w:left="1474" w:header="850" w:footer="1191" w:gutter="0"/>
          <w:pgNumType w:fmt="decimal" w:start="1"/>
          <w:cols w:space="0" w:num="1"/>
          <w:rtlGutter w:val="0"/>
          <w:docGrid w:type="lines" w:linePitch="312" w:charSpace="0"/>
        </w:sectPr>
      </w:pPr>
    </w:p>
    <w:sdt>
      <w:sdtPr>
        <w:rPr>
          <w:rFonts w:ascii="Times New Roman" w:hAnsi="Times New Roman" w:eastAsia="黑体" w:cs="Times New Roman"/>
          <w:b/>
          <w:color w:val="000000" w:themeColor="text1"/>
          <w:kern w:val="2"/>
          <w:sz w:val="44"/>
          <w:szCs w:val="44"/>
          <w:lang w:val="zh-CN"/>
          <w14:textFill>
            <w14:solidFill>
              <w14:schemeClr w14:val="tx1"/>
            </w14:solidFill>
          </w14:textFill>
        </w:rPr>
        <w:id w:val="1591813369"/>
        <w:docPartObj>
          <w:docPartGallery w:val="Table of Contents"/>
          <w:docPartUnique/>
        </w:docPartObj>
      </w:sdtPr>
      <w:sdtEndPr>
        <w:rPr>
          <w:rFonts w:ascii="Times New Roman" w:hAnsi="Times New Roman" w:eastAsia="黑体" w:cs="Times New Roman"/>
          <w:b/>
          <w:color w:val="000000" w:themeColor="text1"/>
          <w:kern w:val="2"/>
          <w:sz w:val="44"/>
          <w:szCs w:val="44"/>
          <w:lang w:val="zh-CN"/>
          <w14:textFill>
            <w14:solidFill>
              <w14:schemeClr w14:val="tx1"/>
            </w14:solidFill>
          </w14:textFill>
        </w:rPr>
      </w:sdtEndPr>
      <w:sdtContent>
        <w:p>
          <w:pPr>
            <w:pStyle w:val="14"/>
            <w:keepNext w:val="0"/>
            <w:keepLines w:val="0"/>
            <w:widowControl w:val="0"/>
            <w:jc w:val="center"/>
            <w:rPr>
              <w:rFonts w:ascii="Times New Roman" w:hAnsi="Times New Roman" w:eastAsia="黑体"/>
              <w:b w:val="0"/>
              <w:bCs/>
              <w:color w:val="000000" w:themeColor="text1"/>
              <w:sz w:val="44"/>
              <w:szCs w:val="44"/>
              <w:lang w:val="zh-CN"/>
              <w14:textFill>
                <w14:solidFill>
                  <w14:schemeClr w14:val="tx1"/>
                </w14:solidFill>
              </w14:textFill>
            </w:rPr>
          </w:pPr>
          <w:r>
            <w:rPr>
              <w:rFonts w:ascii="Times New Roman" w:hAnsi="Times New Roman" w:eastAsia="黑体"/>
              <w:b w:val="0"/>
              <w:bCs/>
              <w:color w:val="000000" w:themeColor="text1"/>
              <w:sz w:val="44"/>
              <w:szCs w:val="44"/>
              <w:lang w:val="zh-CN"/>
              <w14:textFill>
                <w14:solidFill>
                  <w14:schemeClr w14:val="tx1"/>
                </w14:solidFill>
              </w14:textFill>
            </w:rPr>
            <w:t>目  录</w:t>
          </w:r>
        </w:p>
        <w:p>
          <w:pPr>
            <w:pStyle w:val="7"/>
            <w:tabs>
              <w:tab w:val="right" w:leader="dot" w:pos="8834"/>
            </w:tabs>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b/>
              <w:bCs/>
              <w:color w:val="000000" w:themeColor="text1"/>
              <w:sz w:val="32"/>
              <w:szCs w:val="32"/>
              <w:lang w:val="zh-CN"/>
              <w14:textFill>
                <w14:solidFill>
                  <w14:schemeClr w14:val="tx1"/>
                </w14:solidFill>
              </w14:textFill>
            </w:rPr>
            <w:fldChar w:fldCharType="begin"/>
          </w:r>
          <w:r>
            <w:rPr>
              <w:rFonts w:hint="eastAsia" w:ascii="Times New Roman" w:hAnsi="Times New Roman" w:eastAsia="仿宋_GB2312" w:cs="仿宋_GB2312"/>
              <w:b/>
              <w:bCs/>
              <w:color w:val="000000" w:themeColor="text1"/>
              <w:sz w:val="32"/>
              <w:szCs w:val="32"/>
              <w:lang w:val="zh-CN"/>
              <w14:textFill>
                <w14:solidFill>
                  <w14:schemeClr w14:val="tx1"/>
                </w14:solidFill>
              </w14:textFill>
            </w:rPr>
            <w:instrText xml:space="preserve"> TOC \o "1-3" \h \z \u </w:instrText>
          </w:r>
          <w:r>
            <w:rPr>
              <w:rFonts w:hint="eastAsia" w:ascii="Times New Roman" w:hAnsi="Times New Roman" w:eastAsia="仿宋_GB2312" w:cs="仿宋_GB2312"/>
              <w:b/>
              <w:bCs/>
              <w:color w:val="000000" w:themeColor="text1"/>
              <w:sz w:val="32"/>
              <w:szCs w:val="32"/>
              <w:lang w:val="zh-CN"/>
              <w14:textFill>
                <w14:solidFill>
                  <w14:schemeClr w14:val="tx1"/>
                </w14:solidFill>
              </w14:textFill>
            </w:rPr>
            <w:fldChar w:fldCharType="separate"/>
          </w:r>
          <w:r>
            <w:rPr>
              <w:rFonts w:hint="eastAsia" w:ascii="Times New Roman" w:hAnsi="Times New Roman" w:eastAsia="仿宋_GB2312" w:cs="仿宋_GB2312"/>
              <w:color w:val="000000" w:themeColor="text1"/>
              <w:sz w:val="32"/>
              <w:szCs w:val="32"/>
              <w14:textFill>
                <w14:solidFill>
                  <w14:schemeClr w14:val="tx1"/>
                </w14:solidFill>
              </w14:textFill>
            </w:rPr>
            <w:fldChar w:fldCharType="begin"/>
          </w:r>
          <w:r>
            <w:rPr>
              <w:rFonts w:hint="eastAsia" w:ascii="Times New Roman" w:hAnsi="Times New Roman" w:eastAsia="仿宋_GB2312" w:cs="仿宋_GB2312"/>
              <w:color w:val="000000" w:themeColor="text1"/>
              <w:sz w:val="32"/>
              <w:szCs w:val="32"/>
              <w14:textFill>
                <w14:solidFill>
                  <w14:schemeClr w14:val="tx1"/>
                </w14:solidFill>
              </w14:textFill>
            </w:rPr>
            <w:instrText xml:space="preserve"> HYPERLINK \l "_Toc153726505" </w:instrText>
          </w:r>
          <w:r>
            <w:rPr>
              <w:rFonts w:hint="eastAsia" w:ascii="Times New Roman" w:hAnsi="Times New Roman" w:eastAsia="仿宋_GB2312" w:cs="仿宋_GB2312"/>
              <w:color w:val="000000" w:themeColor="text1"/>
              <w:sz w:val="32"/>
              <w:szCs w:val="32"/>
              <w14:textFill>
                <w14:solidFill>
                  <w14:schemeClr w14:val="tx1"/>
                </w14:solidFill>
              </w14:textFill>
            </w:rPr>
            <w:fldChar w:fldCharType="separate"/>
          </w:r>
          <w:r>
            <w:rPr>
              <w:rStyle w:val="12"/>
              <w:rFonts w:hint="eastAsia" w:ascii="Times New Roman" w:hAnsi="Times New Roman" w:eastAsia="仿宋_GB2312" w:cs="仿宋_GB2312"/>
              <w:color w:val="000000" w:themeColor="text1"/>
              <w:sz w:val="32"/>
              <w:szCs w:val="32"/>
              <w14:textFill>
                <w14:solidFill>
                  <w14:schemeClr w14:val="tx1"/>
                </w14:solidFill>
              </w14:textFill>
            </w:rPr>
            <w:t>第一章 总则</w:t>
          </w:r>
          <w:r>
            <w:rPr>
              <w:rFonts w:hint="eastAsia" w:ascii="Times New Roman" w:hAnsi="Times New Roman" w:eastAsia="仿宋_GB2312" w:cs="仿宋_GB2312"/>
              <w:color w:val="000000" w:themeColor="text1"/>
              <w:sz w:val="32"/>
              <w:szCs w:val="32"/>
              <w14:textFill>
                <w14:solidFill>
                  <w14:schemeClr w14:val="tx1"/>
                </w14:solidFill>
              </w14:textFill>
            </w:rPr>
            <w:tab/>
          </w:r>
          <w:r>
            <w:rPr>
              <w:rFonts w:hint="eastAsia" w:ascii="Times New Roman" w:hAnsi="Times New Roman" w:eastAsia="仿宋_GB2312" w:cs="仿宋_GB2312"/>
              <w:color w:val="000000" w:themeColor="text1"/>
              <w:sz w:val="32"/>
              <w:szCs w:val="32"/>
              <w14:textFill>
                <w14:solidFill>
                  <w14:schemeClr w14:val="tx1"/>
                </w14:solidFill>
              </w14:textFill>
            </w:rPr>
            <w:fldChar w:fldCharType="begin"/>
          </w:r>
          <w:r>
            <w:rPr>
              <w:rFonts w:hint="eastAsia" w:ascii="Times New Roman" w:hAnsi="Times New Roman" w:eastAsia="仿宋_GB2312" w:cs="仿宋_GB2312"/>
              <w:color w:val="000000" w:themeColor="text1"/>
              <w:sz w:val="32"/>
              <w:szCs w:val="32"/>
              <w14:textFill>
                <w14:solidFill>
                  <w14:schemeClr w14:val="tx1"/>
                </w14:solidFill>
              </w14:textFill>
            </w:rPr>
            <w:instrText xml:space="preserve"> PAGEREF _Toc153726505 \h </w:instrText>
          </w:r>
          <w:r>
            <w:rPr>
              <w:rFonts w:hint="eastAsia" w:ascii="Times New Roman" w:hAnsi="Times New Roman" w:eastAsia="仿宋_GB2312" w:cs="仿宋_GB2312"/>
              <w:color w:val="000000" w:themeColor="text1"/>
              <w:sz w:val="32"/>
              <w:szCs w:val="32"/>
              <w14:textFill>
                <w14:solidFill>
                  <w14:schemeClr w14:val="tx1"/>
                </w14:solidFill>
              </w14:textFill>
            </w:rPr>
            <w:fldChar w:fldCharType="separate"/>
          </w:r>
          <w:r>
            <w:rPr>
              <w:rFonts w:hint="eastAsia" w:ascii="Times New Roman" w:hAnsi="Times New Roman" w:eastAsia="仿宋_GB2312" w:cs="仿宋_GB2312"/>
              <w:color w:val="000000" w:themeColor="text1"/>
              <w:sz w:val="32"/>
              <w:szCs w:val="32"/>
              <w14:textFill>
                <w14:solidFill>
                  <w14:schemeClr w14:val="tx1"/>
                </w14:solidFill>
              </w14:textFill>
            </w:rPr>
            <w:t>1</w:t>
          </w:r>
          <w:r>
            <w:rPr>
              <w:rFonts w:hint="eastAsia" w:ascii="Times New Roman" w:hAnsi="Times New Roman" w:eastAsia="仿宋_GB2312" w:cs="仿宋_GB2312"/>
              <w:color w:val="000000" w:themeColor="text1"/>
              <w:sz w:val="32"/>
              <w:szCs w:val="32"/>
              <w14:textFill>
                <w14:solidFill>
                  <w14:schemeClr w14:val="tx1"/>
                </w14:solidFill>
              </w14:textFill>
            </w:rPr>
            <w:fldChar w:fldCharType="end"/>
          </w:r>
          <w:r>
            <w:rPr>
              <w:rFonts w:hint="eastAsia" w:ascii="Times New Roman" w:hAnsi="Times New Roman" w:eastAsia="仿宋_GB2312" w:cs="仿宋_GB2312"/>
              <w:color w:val="000000" w:themeColor="text1"/>
              <w:sz w:val="32"/>
              <w:szCs w:val="32"/>
              <w14:textFill>
                <w14:solidFill>
                  <w14:schemeClr w14:val="tx1"/>
                </w14:solidFill>
              </w14:textFill>
            </w:rPr>
            <w:fldChar w:fldCharType="end"/>
          </w:r>
        </w:p>
        <w:p>
          <w:pPr>
            <w:pStyle w:val="7"/>
            <w:tabs>
              <w:tab w:val="right" w:leader="dot" w:pos="8834"/>
            </w:tabs>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fldChar w:fldCharType="begin"/>
          </w:r>
          <w:r>
            <w:rPr>
              <w:rFonts w:hint="eastAsia" w:ascii="Times New Roman" w:hAnsi="Times New Roman" w:eastAsia="仿宋_GB2312" w:cs="仿宋_GB2312"/>
              <w:color w:val="000000" w:themeColor="text1"/>
              <w:sz w:val="32"/>
              <w:szCs w:val="32"/>
              <w14:textFill>
                <w14:solidFill>
                  <w14:schemeClr w14:val="tx1"/>
                </w14:solidFill>
              </w14:textFill>
            </w:rPr>
            <w:instrText xml:space="preserve"> HYPERLINK \l "_Toc153726506" </w:instrText>
          </w:r>
          <w:r>
            <w:rPr>
              <w:rFonts w:hint="eastAsia" w:ascii="Times New Roman" w:hAnsi="Times New Roman" w:eastAsia="仿宋_GB2312" w:cs="仿宋_GB2312"/>
              <w:color w:val="000000" w:themeColor="text1"/>
              <w:sz w:val="32"/>
              <w:szCs w:val="32"/>
              <w14:textFill>
                <w14:solidFill>
                  <w14:schemeClr w14:val="tx1"/>
                </w14:solidFill>
              </w14:textFill>
            </w:rPr>
            <w:fldChar w:fldCharType="separate"/>
          </w:r>
          <w:r>
            <w:rPr>
              <w:rStyle w:val="12"/>
              <w:rFonts w:hint="eastAsia" w:ascii="Times New Roman" w:hAnsi="Times New Roman" w:eastAsia="仿宋_GB2312" w:cs="仿宋_GB2312"/>
              <w:color w:val="000000" w:themeColor="text1"/>
              <w:sz w:val="32"/>
              <w:szCs w:val="32"/>
              <w14:textFill>
                <w14:solidFill>
                  <w14:schemeClr w14:val="tx1"/>
                </w14:solidFill>
              </w14:textFill>
            </w:rPr>
            <w:t>第二章 医药企业防范商业贿赂风险合规管理体系建设</w:t>
          </w:r>
          <w:r>
            <w:rPr>
              <w:rFonts w:hint="eastAsia" w:ascii="Times New Roman" w:hAnsi="Times New Roman" w:eastAsia="仿宋_GB2312" w:cs="仿宋_GB2312"/>
              <w:color w:val="000000" w:themeColor="text1"/>
              <w:sz w:val="32"/>
              <w:szCs w:val="32"/>
              <w14:textFill>
                <w14:solidFill>
                  <w14:schemeClr w14:val="tx1"/>
                </w14:solidFill>
              </w14:textFill>
            </w:rPr>
            <w:tab/>
          </w:r>
          <w:r>
            <w:rPr>
              <w:rFonts w:hint="eastAsia" w:ascii="Times New Roman" w:hAnsi="Times New Roman" w:eastAsia="仿宋_GB2312" w:cs="仿宋_GB2312"/>
              <w:color w:val="000000" w:themeColor="text1"/>
              <w:sz w:val="32"/>
              <w:szCs w:val="32"/>
              <w14:textFill>
                <w14:solidFill>
                  <w14:schemeClr w14:val="tx1"/>
                </w14:solidFill>
              </w14:textFill>
            </w:rPr>
            <w:fldChar w:fldCharType="begin"/>
          </w:r>
          <w:r>
            <w:rPr>
              <w:rFonts w:hint="eastAsia" w:ascii="Times New Roman" w:hAnsi="Times New Roman" w:eastAsia="仿宋_GB2312" w:cs="仿宋_GB2312"/>
              <w:color w:val="000000" w:themeColor="text1"/>
              <w:sz w:val="32"/>
              <w:szCs w:val="32"/>
              <w14:textFill>
                <w14:solidFill>
                  <w14:schemeClr w14:val="tx1"/>
                </w14:solidFill>
              </w14:textFill>
            </w:rPr>
            <w:instrText xml:space="preserve"> PAGEREF _Toc153726506 \h </w:instrText>
          </w:r>
          <w:r>
            <w:rPr>
              <w:rFonts w:hint="eastAsia" w:ascii="Times New Roman" w:hAnsi="Times New Roman" w:eastAsia="仿宋_GB2312" w:cs="仿宋_GB2312"/>
              <w:color w:val="000000" w:themeColor="text1"/>
              <w:sz w:val="32"/>
              <w:szCs w:val="32"/>
              <w14:textFill>
                <w14:solidFill>
                  <w14:schemeClr w14:val="tx1"/>
                </w14:solidFill>
              </w14:textFill>
            </w:rPr>
            <w:fldChar w:fldCharType="separate"/>
          </w:r>
          <w:r>
            <w:rPr>
              <w:rFonts w:hint="eastAsia" w:ascii="Times New Roman" w:hAnsi="Times New Roman" w:eastAsia="仿宋_GB2312" w:cs="仿宋_GB2312"/>
              <w:color w:val="000000" w:themeColor="text1"/>
              <w:sz w:val="32"/>
              <w:szCs w:val="32"/>
              <w14:textFill>
                <w14:solidFill>
                  <w14:schemeClr w14:val="tx1"/>
                </w14:solidFill>
              </w14:textFill>
            </w:rPr>
            <w:t>3</w:t>
          </w:r>
          <w:r>
            <w:rPr>
              <w:rFonts w:hint="eastAsia" w:ascii="Times New Roman" w:hAnsi="Times New Roman" w:eastAsia="仿宋_GB2312" w:cs="仿宋_GB2312"/>
              <w:color w:val="000000" w:themeColor="text1"/>
              <w:sz w:val="32"/>
              <w:szCs w:val="32"/>
              <w14:textFill>
                <w14:solidFill>
                  <w14:schemeClr w14:val="tx1"/>
                </w14:solidFill>
              </w14:textFill>
            </w:rPr>
            <w:fldChar w:fldCharType="end"/>
          </w:r>
          <w:r>
            <w:rPr>
              <w:rFonts w:hint="eastAsia" w:ascii="Times New Roman" w:hAnsi="Times New Roman" w:eastAsia="仿宋_GB2312" w:cs="仿宋_GB2312"/>
              <w:color w:val="000000" w:themeColor="text1"/>
              <w:sz w:val="32"/>
              <w:szCs w:val="32"/>
              <w14:textFill>
                <w14:solidFill>
                  <w14:schemeClr w14:val="tx1"/>
                </w14:solidFill>
              </w14:textFill>
            </w:rPr>
            <w:fldChar w:fldCharType="end"/>
          </w:r>
        </w:p>
        <w:p>
          <w:pPr>
            <w:pStyle w:val="7"/>
            <w:tabs>
              <w:tab w:val="right" w:leader="dot" w:pos="8834"/>
            </w:tabs>
            <w:rPr>
              <w:rFonts w:hint="eastAsia" w:ascii="Times New Roman" w:hAnsi="Times New Roman" w:eastAsia="仿宋_GB2312" w:cs="仿宋_GB2312"/>
              <w:color w:val="000000" w:themeColor="text1"/>
              <w:sz w:val="32"/>
              <w:szCs w:val="32"/>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fldChar w:fldCharType="begin"/>
          </w:r>
          <w:r>
            <w:rPr>
              <w:rFonts w:hint="eastAsia" w:ascii="Times New Roman" w:hAnsi="Times New Roman" w:eastAsia="仿宋_GB2312" w:cs="仿宋_GB2312"/>
              <w:color w:val="000000" w:themeColor="text1"/>
              <w:sz w:val="32"/>
              <w:szCs w:val="32"/>
              <w14:textFill>
                <w14:solidFill>
                  <w14:schemeClr w14:val="tx1"/>
                </w14:solidFill>
              </w14:textFill>
            </w:rPr>
            <w:instrText xml:space="preserve"> HYPERLINK \l "_Toc153726507" </w:instrText>
          </w:r>
          <w:r>
            <w:rPr>
              <w:rFonts w:hint="eastAsia" w:ascii="Times New Roman" w:hAnsi="Times New Roman" w:eastAsia="仿宋_GB2312" w:cs="仿宋_GB2312"/>
              <w:color w:val="000000" w:themeColor="text1"/>
              <w:sz w:val="32"/>
              <w:szCs w:val="32"/>
              <w14:textFill>
                <w14:solidFill>
                  <w14:schemeClr w14:val="tx1"/>
                </w14:solidFill>
              </w14:textFill>
            </w:rPr>
            <w:fldChar w:fldCharType="separate"/>
          </w:r>
          <w:r>
            <w:rPr>
              <w:rStyle w:val="12"/>
              <w:rFonts w:hint="eastAsia" w:ascii="Times New Roman" w:hAnsi="Times New Roman" w:eastAsia="仿宋_GB2312" w:cs="仿宋_GB2312"/>
              <w:color w:val="000000" w:themeColor="text1"/>
              <w:sz w:val="32"/>
              <w:szCs w:val="32"/>
              <w14:textFill>
                <w14:solidFill>
                  <w14:schemeClr w14:val="tx1"/>
                </w14:solidFill>
              </w14:textFill>
            </w:rPr>
            <w:t>第三章 医药企业商业贿赂风险识别与防范</w:t>
          </w:r>
          <w:r>
            <w:rPr>
              <w:rFonts w:hint="eastAsia" w:ascii="Times New Roman" w:hAnsi="Times New Roman" w:eastAsia="仿宋_GB2312" w:cs="仿宋_GB2312"/>
              <w:color w:val="000000" w:themeColor="text1"/>
              <w:sz w:val="32"/>
              <w:szCs w:val="32"/>
              <w14:textFill>
                <w14:solidFill>
                  <w14:schemeClr w14:val="tx1"/>
                </w14:solidFill>
              </w14:textFill>
            </w:rPr>
            <w:tab/>
          </w:r>
          <w:r>
            <w:rPr>
              <w:rFonts w:hint="eastAsia" w:ascii="Times New Roman" w:hAnsi="Times New Roman" w:eastAsia="仿宋_GB2312" w:cs="仿宋_GB2312"/>
              <w:color w:val="000000" w:themeColor="text1"/>
              <w:sz w:val="32"/>
              <w:szCs w:val="32"/>
              <w14:textFill>
                <w14:solidFill>
                  <w14:schemeClr w14:val="tx1"/>
                </w14:solidFill>
              </w14:textFill>
            </w:rPr>
            <w:fldChar w:fldCharType="end"/>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6</w:t>
          </w:r>
        </w:p>
        <w:p>
          <w:pPr>
            <w:pStyle w:val="9"/>
            <w:tabs>
              <w:tab w:val="right" w:leader="dot" w:pos="8834"/>
            </w:tabs>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fldChar w:fldCharType="begin"/>
          </w:r>
          <w:r>
            <w:rPr>
              <w:rFonts w:hint="eastAsia" w:ascii="Times New Roman" w:hAnsi="Times New Roman" w:eastAsia="仿宋_GB2312" w:cs="仿宋_GB2312"/>
              <w:color w:val="000000" w:themeColor="text1"/>
              <w:sz w:val="32"/>
              <w:szCs w:val="32"/>
              <w14:textFill>
                <w14:solidFill>
                  <w14:schemeClr w14:val="tx1"/>
                </w14:solidFill>
              </w14:textFill>
            </w:rPr>
            <w:instrText xml:space="preserve"> HYPERLINK \l "_Toc153726508" </w:instrText>
          </w:r>
          <w:r>
            <w:rPr>
              <w:rFonts w:hint="eastAsia" w:ascii="Times New Roman" w:hAnsi="Times New Roman" w:eastAsia="仿宋_GB2312" w:cs="仿宋_GB2312"/>
              <w:color w:val="000000" w:themeColor="text1"/>
              <w:sz w:val="32"/>
              <w:szCs w:val="32"/>
              <w14:textFill>
                <w14:solidFill>
                  <w14:schemeClr w14:val="tx1"/>
                </w14:solidFill>
              </w14:textFill>
            </w:rPr>
            <w:fldChar w:fldCharType="separate"/>
          </w:r>
          <w:r>
            <w:rPr>
              <w:rStyle w:val="12"/>
              <w:rFonts w:hint="eastAsia" w:ascii="Times New Roman" w:hAnsi="Times New Roman" w:eastAsia="仿宋_GB2312" w:cs="仿宋_GB2312"/>
              <w:color w:val="000000" w:themeColor="text1"/>
              <w:sz w:val="32"/>
              <w:szCs w:val="32"/>
              <w14:textFill>
                <w14:solidFill>
                  <w14:schemeClr w14:val="tx1"/>
                </w14:solidFill>
              </w14:textFill>
            </w:rPr>
            <w:t xml:space="preserve">第一节 </w:t>
          </w:r>
          <w:r>
            <w:rPr>
              <w:rStyle w:val="12"/>
              <w:rFonts w:hint="eastAsia" w:ascii="Times New Roman" w:hAnsi="Times New Roman" w:eastAsia="仿宋_GB2312" w:cs="仿宋_GB2312"/>
              <w:color w:val="000000" w:themeColor="text1"/>
              <w:sz w:val="32"/>
              <w:szCs w:val="32"/>
              <w:lang w:eastAsia="zh-CN"/>
              <w14:textFill>
                <w14:solidFill>
                  <w14:schemeClr w14:val="tx1"/>
                </w14:solidFill>
              </w14:textFill>
            </w:rPr>
            <w:t>学术</w:t>
          </w:r>
          <w:r>
            <w:rPr>
              <w:rStyle w:val="12"/>
              <w:rFonts w:hint="eastAsia" w:ascii="Times New Roman" w:hAnsi="Times New Roman" w:eastAsia="仿宋_GB2312" w:cs="仿宋_GB2312"/>
              <w:color w:val="000000" w:themeColor="text1"/>
              <w:sz w:val="32"/>
              <w:szCs w:val="32"/>
              <w14:textFill>
                <w14:solidFill>
                  <w14:schemeClr w14:val="tx1"/>
                </w14:solidFill>
              </w14:textFill>
            </w:rPr>
            <w:t>拜访交流商业贿赂风险</w:t>
          </w:r>
          <w:r>
            <w:rPr>
              <w:rFonts w:hint="eastAsia" w:ascii="Times New Roman" w:hAnsi="Times New Roman" w:eastAsia="仿宋_GB2312" w:cs="仿宋_GB2312"/>
              <w:color w:val="000000" w:themeColor="text1"/>
              <w:sz w:val="32"/>
              <w:szCs w:val="32"/>
              <w14:textFill>
                <w14:solidFill>
                  <w14:schemeClr w14:val="tx1"/>
                </w14:solidFill>
              </w14:textFill>
            </w:rPr>
            <w:tab/>
          </w:r>
          <w:r>
            <w:rPr>
              <w:rFonts w:hint="eastAsia" w:ascii="Times New Roman" w:hAnsi="Times New Roman" w:eastAsia="仿宋_GB2312" w:cs="仿宋_GB2312"/>
              <w:color w:val="000000" w:themeColor="text1"/>
              <w:sz w:val="32"/>
              <w:szCs w:val="32"/>
              <w14:textFill>
                <w14:solidFill>
                  <w14:schemeClr w14:val="tx1"/>
                </w14:solidFill>
              </w14:textFill>
            </w:rPr>
            <w:fldChar w:fldCharType="begin"/>
          </w:r>
          <w:r>
            <w:rPr>
              <w:rFonts w:hint="eastAsia" w:ascii="Times New Roman" w:hAnsi="Times New Roman" w:eastAsia="仿宋_GB2312" w:cs="仿宋_GB2312"/>
              <w:color w:val="000000" w:themeColor="text1"/>
              <w:sz w:val="32"/>
              <w:szCs w:val="32"/>
              <w14:textFill>
                <w14:solidFill>
                  <w14:schemeClr w14:val="tx1"/>
                </w14:solidFill>
              </w14:textFill>
            </w:rPr>
            <w:instrText xml:space="preserve"> PAGEREF _Toc153726508 \h </w:instrText>
          </w:r>
          <w:r>
            <w:rPr>
              <w:rFonts w:hint="eastAsia" w:ascii="Times New Roman" w:hAnsi="Times New Roman" w:eastAsia="仿宋_GB2312" w:cs="仿宋_GB2312"/>
              <w:color w:val="000000" w:themeColor="text1"/>
              <w:sz w:val="32"/>
              <w:szCs w:val="32"/>
              <w14:textFill>
                <w14:solidFill>
                  <w14:schemeClr w14:val="tx1"/>
                </w14:solidFill>
              </w14:textFill>
            </w:rPr>
            <w:fldChar w:fldCharType="separate"/>
          </w:r>
          <w:r>
            <w:rPr>
              <w:rFonts w:hint="eastAsia" w:ascii="Times New Roman" w:hAnsi="Times New Roman" w:eastAsia="仿宋_GB2312" w:cs="仿宋_GB2312"/>
              <w:color w:val="000000" w:themeColor="text1"/>
              <w:sz w:val="32"/>
              <w:szCs w:val="32"/>
              <w14:textFill>
                <w14:solidFill>
                  <w14:schemeClr w14:val="tx1"/>
                </w14:solidFill>
              </w14:textFill>
            </w:rPr>
            <w:t>6</w:t>
          </w:r>
          <w:r>
            <w:rPr>
              <w:rFonts w:hint="eastAsia" w:ascii="Times New Roman" w:hAnsi="Times New Roman" w:eastAsia="仿宋_GB2312" w:cs="仿宋_GB2312"/>
              <w:color w:val="000000" w:themeColor="text1"/>
              <w:sz w:val="32"/>
              <w:szCs w:val="32"/>
              <w14:textFill>
                <w14:solidFill>
                  <w14:schemeClr w14:val="tx1"/>
                </w14:solidFill>
              </w14:textFill>
            </w:rPr>
            <w:fldChar w:fldCharType="end"/>
          </w:r>
          <w:r>
            <w:rPr>
              <w:rFonts w:hint="eastAsia" w:ascii="Times New Roman" w:hAnsi="Times New Roman" w:eastAsia="仿宋_GB2312" w:cs="仿宋_GB2312"/>
              <w:color w:val="000000" w:themeColor="text1"/>
              <w:sz w:val="32"/>
              <w:szCs w:val="32"/>
              <w14:textFill>
                <w14:solidFill>
                  <w14:schemeClr w14:val="tx1"/>
                </w14:solidFill>
              </w14:textFill>
            </w:rPr>
            <w:fldChar w:fldCharType="end"/>
          </w:r>
        </w:p>
        <w:p>
          <w:pPr>
            <w:pStyle w:val="9"/>
            <w:tabs>
              <w:tab w:val="right" w:leader="dot" w:pos="8834"/>
            </w:tabs>
            <w:rPr>
              <w:rFonts w:hint="default" w:ascii="Times New Roman" w:hAnsi="Times New Roman" w:eastAsia="仿宋_GB2312" w:cs="仿宋_GB2312"/>
              <w:color w:val="000000" w:themeColor="text1"/>
              <w:sz w:val="32"/>
              <w:szCs w:val="32"/>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fldChar w:fldCharType="begin"/>
          </w:r>
          <w:r>
            <w:rPr>
              <w:rFonts w:hint="eastAsia" w:ascii="Times New Roman" w:hAnsi="Times New Roman" w:eastAsia="仿宋_GB2312" w:cs="仿宋_GB2312"/>
              <w:color w:val="000000" w:themeColor="text1"/>
              <w:sz w:val="32"/>
              <w:szCs w:val="32"/>
              <w14:textFill>
                <w14:solidFill>
                  <w14:schemeClr w14:val="tx1"/>
                </w14:solidFill>
              </w14:textFill>
            </w:rPr>
            <w:instrText xml:space="preserve"> HYPERLINK \l "_Toc153726510" </w:instrText>
          </w:r>
          <w:r>
            <w:rPr>
              <w:rFonts w:hint="eastAsia" w:ascii="Times New Roman" w:hAnsi="Times New Roman" w:eastAsia="仿宋_GB2312" w:cs="仿宋_GB2312"/>
              <w:color w:val="000000" w:themeColor="text1"/>
              <w:sz w:val="32"/>
              <w:szCs w:val="32"/>
              <w14:textFill>
                <w14:solidFill>
                  <w14:schemeClr w14:val="tx1"/>
                </w14:solidFill>
              </w14:textFill>
            </w:rPr>
            <w:fldChar w:fldCharType="separate"/>
          </w:r>
          <w:r>
            <w:rPr>
              <w:rStyle w:val="12"/>
              <w:rFonts w:hint="eastAsia" w:ascii="Times New Roman" w:hAnsi="Times New Roman" w:eastAsia="仿宋_GB2312" w:cs="仿宋_GB2312"/>
              <w:color w:val="000000" w:themeColor="text1"/>
              <w:sz w:val="32"/>
              <w:szCs w:val="32"/>
              <w14:textFill>
                <w14:solidFill>
                  <w14:schemeClr w14:val="tx1"/>
                </w14:solidFill>
              </w14:textFill>
            </w:rPr>
            <w:t>第</w:t>
          </w:r>
          <w:r>
            <w:rPr>
              <w:rStyle w:val="12"/>
              <w:rFonts w:hint="eastAsia" w:ascii="Times New Roman" w:hAnsi="Times New Roman" w:eastAsia="仿宋_GB2312" w:cs="仿宋_GB2312"/>
              <w:color w:val="000000" w:themeColor="text1"/>
              <w:sz w:val="32"/>
              <w:szCs w:val="32"/>
              <w:lang w:eastAsia="zh-CN"/>
              <w14:textFill>
                <w14:solidFill>
                  <w14:schemeClr w14:val="tx1"/>
                </w14:solidFill>
              </w14:textFill>
            </w:rPr>
            <w:t>二</w:t>
          </w:r>
          <w:r>
            <w:rPr>
              <w:rStyle w:val="12"/>
              <w:rFonts w:hint="eastAsia" w:ascii="Times New Roman" w:hAnsi="Times New Roman" w:eastAsia="仿宋_GB2312" w:cs="仿宋_GB2312"/>
              <w:color w:val="000000" w:themeColor="text1"/>
              <w:sz w:val="32"/>
              <w:szCs w:val="32"/>
              <w14:textFill>
                <w14:solidFill>
                  <w14:schemeClr w14:val="tx1"/>
                </w14:solidFill>
              </w14:textFill>
            </w:rPr>
            <w:t>节 接待商业贿赂风险</w:t>
          </w:r>
          <w:r>
            <w:rPr>
              <w:rFonts w:hint="eastAsia" w:ascii="Times New Roman" w:hAnsi="Times New Roman" w:eastAsia="仿宋_GB2312" w:cs="仿宋_GB2312"/>
              <w:color w:val="000000" w:themeColor="text1"/>
              <w:sz w:val="32"/>
              <w:szCs w:val="32"/>
              <w14:textFill>
                <w14:solidFill>
                  <w14:schemeClr w14:val="tx1"/>
                </w14:solidFill>
              </w14:textFill>
            </w:rPr>
            <w:tab/>
          </w:r>
          <w:r>
            <w:rPr>
              <w:rFonts w:hint="eastAsia" w:ascii="Times New Roman" w:hAnsi="Times New Roman" w:eastAsia="仿宋_GB2312" w:cs="仿宋_GB2312"/>
              <w:color w:val="000000" w:themeColor="text1"/>
              <w:sz w:val="32"/>
              <w:szCs w:val="32"/>
              <w14:textFill>
                <w14:solidFill>
                  <w14:schemeClr w14:val="tx1"/>
                </w14:solidFill>
              </w14:textFill>
            </w:rPr>
            <w:fldChar w:fldCharType="end"/>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7</w:t>
          </w:r>
        </w:p>
        <w:p>
          <w:pPr>
            <w:pStyle w:val="9"/>
            <w:tabs>
              <w:tab w:val="right" w:leader="dot" w:pos="8834"/>
            </w:tabs>
            <w:rPr>
              <w:rFonts w:hint="default" w:ascii="Times New Roman" w:hAnsi="Times New Roman" w:eastAsia="仿宋_GB2312" w:cs="仿宋_GB2312"/>
              <w:color w:val="000000" w:themeColor="text1"/>
              <w:sz w:val="32"/>
              <w:szCs w:val="32"/>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fldChar w:fldCharType="begin"/>
          </w:r>
          <w:r>
            <w:rPr>
              <w:rFonts w:hint="eastAsia" w:ascii="Times New Roman" w:hAnsi="Times New Roman" w:eastAsia="仿宋_GB2312" w:cs="仿宋_GB2312"/>
              <w:color w:val="000000" w:themeColor="text1"/>
              <w:sz w:val="32"/>
              <w:szCs w:val="32"/>
              <w14:textFill>
                <w14:solidFill>
                  <w14:schemeClr w14:val="tx1"/>
                </w14:solidFill>
              </w14:textFill>
            </w:rPr>
            <w:instrText xml:space="preserve"> HYPERLINK \l "_Toc153726511" </w:instrText>
          </w:r>
          <w:r>
            <w:rPr>
              <w:rFonts w:hint="eastAsia" w:ascii="Times New Roman" w:hAnsi="Times New Roman" w:eastAsia="仿宋_GB2312" w:cs="仿宋_GB2312"/>
              <w:color w:val="000000" w:themeColor="text1"/>
              <w:sz w:val="32"/>
              <w:szCs w:val="32"/>
              <w14:textFill>
                <w14:solidFill>
                  <w14:schemeClr w14:val="tx1"/>
                </w14:solidFill>
              </w14:textFill>
            </w:rPr>
            <w:fldChar w:fldCharType="separate"/>
          </w:r>
          <w:r>
            <w:rPr>
              <w:rStyle w:val="12"/>
              <w:rFonts w:hint="eastAsia" w:ascii="Times New Roman" w:hAnsi="Times New Roman" w:eastAsia="仿宋_GB2312" w:cs="仿宋_GB2312"/>
              <w:color w:val="000000" w:themeColor="text1"/>
              <w:sz w:val="32"/>
              <w:szCs w:val="32"/>
              <w14:textFill>
                <w14:solidFill>
                  <w14:schemeClr w14:val="tx1"/>
                </w14:solidFill>
              </w14:textFill>
            </w:rPr>
            <w:t>第</w:t>
          </w:r>
          <w:r>
            <w:rPr>
              <w:rStyle w:val="12"/>
              <w:rFonts w:hint="eastAsia" w:ascii="Times New Roman" w:hAnsi="Times New Roman" w:eastAsia="仿宋_GB2312" w:cs="仿宋_GB2312"/>
              <w:color w:val="000000" w:themeColor="text1"/>
              <w:sz w:val="32"/>
              <w:szCs w:val="32"/>
              <w:lang w:eastAsia="zh-CN"/>
              <w14:textFill>
                <w14:solidFill>
                  <w14:schemeClr w14:val="tx1"/>
                </w14:solidFill>
              </w14:textFill>
            </w:rPr>
            <w:t>三</w:t>
          </w:r>
          <w:r>
            <w:rPr>
              <w:rStyle w:val="12"/>
              <w:rFonts w:hint="eastAsia" w:ascii="Times New Roman" w:hAnsi="Times New Roman" w:eastAsia="仿宋_GB2312" w:cs="仿宋_GB2312"/>
              <w:color w:val="000000" w:themeColor="text1"/>
              <w:sz w:val="32"/>
              <w:szCs w:val="32"/>
              <w14:textFill>
                <w14:solidFill>
                  <w14:schemeClr w14:val="tx1"/>
                </w14:solidFill>
              </w14:textFill>
            </w:rPr>
            <w:t>节 咨询服务商业贿赂风险</w:t>
          </w:r>
          <w:r>
            <w:rPr>
              <w:rFonts w:hint="eastAsia" w:ascii="Times New Roman" w:hAnsi="Times New Roman" w:eastAsia="仿宋_GB2312" w:cs="仿宋_GB2312"/>
              <w:color w:val="000000" w:themeColor="text1"/>
              <w:sz w:val="32"/>
              <w:szCs w:val="32"/>
              <w14:textFill>
                <w14:solidFill>
                  <w14:schemeClr w14:val="tx1"/>
                </w14:solidFill>
              </w14:textFill>
            </w:rPr>
            <w:tab/>
          </w:r>
          <w:r>
            <w:rPr>
              <w:rFonts w:hint="default" w:ascii="Times New Roman" w:hAnsi="Times New Roman" w:eastAsia="仿宋_GB2312" w:cs="仿宋_GB2312"/>
              <w:color w:val="000000" w:themeColor="text1"/>
              <w:sz w:val="32"/>
              <w:szCs w:val="32"/>
              <w:lang w:val="en-US"/>
              <w14:textFill>
                <w14:solidFill>
                  <w14:schemeClr w14:val="tx1"/>
                </w14:solidFill>
              </w14:textFill>
            </w:rPr>
            <w:fldChar w:fldCharType="begin"/>
          </w:r>
          <w:r>
            <w:rPr>
              <w:rFonts w:hint="default" w:ascii="Times New Roman" w:hAnsi="Times New Roman" w:eastAsia="仿宋_GB2312" w:cs="仿宋_GB2312"/>
              <w:color w:val="000000" w:themeColor="text1"/>
              <w:sz w:val="32"/>
              <w:szCs w:val="32"/>
              <w:lang w:val="en-US"/>
              <w14:textFill>
                <w14:solidFill>
                  <w14:schemeClr w14:val="tx1"/>
                </w14:solidFill>
              </w14:textFill>
            </w:rPr>
            <w:instrText xml:space="preserve"> PAGEREF _Toc153726511 \h </w:instrText>
          </w:r>
          <w:r>
            <w:rPr>
              <w:rFonts w:hint="default" w:ascii="Times New Roman" w:hAnsi="Times New Roman" w:eastAsia="仿宋_GB2312" w:cs="仿宋_GB2312"/>
              <w:color w:val="000000" w:themeColor="text1"/>
              <w:sz w:val="32"/>
              <w:szCs w:val="32"/>
              <w:lang w:val="en-US"/>
              <w14:textFill>
                <w14:solidFill>
                  <w14:schemeClr w14:val="tx1"/>
                </w14:solidFill>
              </w14:textFill>
            </w:rPr>
            <w:fldChar w:fldCharType="separate"/>
          </w:r>
          <w:r>
            <w:rPr>
              <w:rFonts w:hint="default" w:ascii="Times New Roman" w:hAnsi="Times New Roman" w:eastAsia="仿宋_GB2312" w:cs="仿宋_GB2312"/>
              <w:color w:val="000000" w:themeColor="text1"/>
              <w:sz w:val="32"/>
              <w:szCs w:val="32"/>
              <w:lang w:val="en-US"/>
              <w14:textFill>
                <w14:solidFill>
                  <w14:schemeClr w14:val="tx1"/>
                </w14:solidFill>
              </w14:textFill>
            </w:rPr>
            <w:t>9</w:t>
          </w:r>
          <w:r>
            <w:rPr>
              <w:rFonts w:hint="default" w:ascii="Times New Roman" w:hAnsi="Times New Roman" w:eastAsia="仿宋_GB2312" w:cs="仿宋_GB2312"/>
              <w:color w:val="000000" w:themeColor="text1"/>
              <w:sz w:val="32"/>
              <w:szCs w:val="32"/>
              <w:lang w:val="en-US"/>
              <w14:textFill>
                <w14:solidFill>
                  <w14:schemeClr w14:val="tx1"/>
                </w14:solidFill>
              </w14:textFill>
            </w:rPr>
            <w:fldChar w:fldCharType="end"/>
          </w:r>
          <w:r>
            <w:rPr>
              <w:rFonts w:hint="eastAsia" w:ascii="Times New Roman" w:hAnsi="Times New Roman" w:eastAsia="仿宋_GB2312" w:cs="仿宋_GB2312"/>
              <w:color w:val="000000" w:themeColor="text1"/>
              <w:sz w:val="32"/>
              <w:szCs w:val="32"/>
              <w14:textFill>
                <w14:solidFill>
                  <w14:schemeClr w14:val="tx1"/>
                </w14:solidFill>
              </w14:textFill>
            </w:rPr>
            <w:fldChar w:fldCharType="end"/>
          </w:r>
        </w:p>
        <w:p>
          <w:pPr>
            <w:pStyle w:val="9"/>
            <w:tabs>
              <w:tab w:val="right" w:leader="dot" w:pos="8834"/>
            </w:tabs>
            <w:rPr>
              <w:rFonts w:hint="default" w:ascii="Times New Roman" w:hAnsi="Times New Roman" w:eastAsia="仿宋_GB2312" w:cs="仿宋_GB2312"/>
              <w:color w:val="000000" w:themeColor="text1"/>
              <w:sz w:val="32"/>
              <w:szCs w:val="32"/>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fldChar w:fldCharType="begin"/>
          </w:r>
          <w:r>
            <w:rPr>
              <w:rFonts w:hint="eastAsia" w:ascii="Times New Roman" w:hAnsi="Times New Roman" w:eastAsia="仿宋_GB2312" w:cs="仿宋_GB2312"/>
              <w:color w:val="000000" w:themeColor="text1"/>
              <w:sz w:val="32"/>
              <w:szCs w:val="32"/>
              <w14:textFill>
                <w14:solidFill>
                  <w14:schemeClr w14:val="tx1"/>
                </w14:solidFill>
              </w14:textFill>
            </w:rPr>
            <w:instrText xml:space="preserve"> HYPERLINK \l "_Toc153726512" </w:instrText>
          </w:r>
          <w:r>
            <w:rPr>
              <w:rFonts w:hint="eastAsia" w:ascii="Times New Roman" w:hAnsi="Times New Roman" w:eastAsia="仿宋_GB2312" w:cs="仿宋_GB2312"/>
              <w:color w:val="000000" w:themeColor="text1"/>
              <w:sz w:val="32"/>
              <w:szCs w:val="32"/>
              <w14:textFill>
                <w14:solidFill>
                  <w14:schemeClr w14:val="tx1"/>
                </w14:solidFill>
              </w14:textFill>
            </w:rPr>
            <w:fldChar w:fldCharType="separate"/>
          </w:r>
          <w:r>
            <w:rPr>
              <w:rStyle w:val="12"/>
              <w:rFonts w:hint="eastAsia" w:ascii="Times New Roman" w:hAnsi="Times New Roman" w:eastAsia="仿宋_GB2312" w:cs="仿宋_GB2312"/>
              <w:color w:val="000000" w:themeColor="text1"/>
              <w:sz w:val="32"/>
              <w:szCs w:val="32"/>
              <w14:textFill>
                <w14:solidFill>
                  <w14:schemeClr w14:val="tx1"/>
                </w14:solidFill>
              </w14:textFill>
            </w:rPr>
            <w:t>第</w:t>
          </w:r>
          <w:r>
            <w:rPr>
              <w:rStyle w:val="12"/>
              <w:rFonts w:hint="eastAsia" w:ascii="Times New Roman" w:hAnsi="Times New Roman" w:eastAsia="仿宋_GB2312" w:cs="仿宋_GB2312"/>
              <w:color w:val="000000" w:themeColor="text1"/>
              <w:sz w:val="32"/>
              <w:szCs w:val="32"/>
              <w:lang w:eastAsia="zh-CN"/>
              <w14:textFill>
                <w14:solidFill>
                  <w14:schemeClr w14:val="tx1"/>
                </w14:solidFill>
              </w14:textFill>
            </w:rPr>
            <w:t>四</w:t>
          </w:r>
          <w:r>
            <w:rPr>
              <w:rStyle w:val="12"/>
              <w:rFonts w:hint="eastAsia" w:ascii="Times New Roman" w:hAnsi="Times New Roman" w:eastAsia="仿宋_GB2312" w:cs="仿宋_GB2312"/>
              <w:color w:val="000000" w:themeColor="text1"/>
              <w:sz w:val="32"/>
              <w:szCs w:val="32"/>
              <w14:textFill>
                <w14:solidFill>
                  <w14:schemeClr w14:val="tx1"/>
                </w14:solidFill>
              </w14:textFill>
            </w:rPr>
            <w:t>节 外包服务商业贿赂风险</w:t>
          </w:r>
          <w:r>
            <w:rPr>
              <w:rFonts w:hint="eastAsia" w:ascii="Times New Roman" w:hAnsi="Times New Roman" w:eastAsia="仿宋_GB2312" w:cs="仿宋_GB2312"/>
              <w:color w:val="000000" w:themeColor="text1"/>
              <w:sz w:val="32"/>
              <w:szCs w:val="32"/>
              <w14:textFill>
                <w14:solidFill>
                  <w14:schemeClr w14:val="tx1"/>
                </w14:solidFill>
              </w14:textFill>
            </w:rPr>
            <w:tab/>
          </w:r>
          <w:r>
            <w:rPr>
              <w:rFonts w:hint="default" w:ascii="Times New Roman" w:hAnsi="Times New Roman" w:eastAsia="仿宋_GB2312" w:cs="仿宋_GB2312"/>
              <w:color w:val="000000" w:themeColor="text1"/>
              <w:sz w:val="32"/>
              <w:szCs w:val="32"/>
              <w:lang w:val="en-US"/>
              <w14:textFill>
                <w14:solidFill>
                  <w14:schemeClr w14:val="tx1"/>
                </w14:solidFill>
              </w14:textFill>
            </w:rPr>
            <w:fldChar w:fldCharType="begin"/>
          </w:r>
          <w:r>
            <w:rPr>
              <w:rFonts w:hint="default" w:ascii="Times New Roman" w:hAnsi="Times New Roman" w:eastAsia="仿宋_GB2312" w:cs="仿宋_GB2312"/>
              <w:color w:val="000000" w:themeColor="text1"/>
              <w:sz w:val="32"/>
              <w:szCs w:val="32"/>
              <w:lang w:val="en-US"/>
              <w14:textFill>
                <w14:solidFill>
                  <w14:schemeClr w14:val="tx1"/>
                </w14:solidFill>
              </w14:textFill>
            </w:rPr>
            <w:instrText xml:space="preserve"> PAGEREF _Toc153726512 \h </w:instrText>
          </w:r>
          <w:r>
            <w:rPr>
              <w:rFonts w:hint="default" w:ascii="Times New Roman" w:hAnsi="Times New Roman" w:eastAsia="仿宋_GB2312" w:cs="仿宋_GB2312"/>
              <w:color w:val="000000" w:themeColor="text1"/>
              <w:sz w:val="32"/>
              <w:szCs w:val="32"/>
              <w:lang w:val="en-US"/>
              <w14:textFill>
                <w14:solidFill>
                  <w14:schemeClr w14:val="tx1"/>
                </w14:solidFill>
              </w14:textFill>
            </w:rPr>
            <w:fldChar w:fldCharType="separate"/>
          </w:r>
          <w:r>
            <w:rPr>
              <w:rFonts w:hint="default" w:ascii="Times New Roman" w:hAnsi="Times New Roman" w:eastAsia="仿宋_GB2312" w:cs="仿宋_GB2312"/>
              <w:color w:val="000000" w:themeColor="text1"/>
              <w:sz w:val="32"/>
              <w:szCs w:val="32"/>
              <w:lang w:val="en-US"/>
              <w14:textFill>
                <w14:solidFill>
                  <w14:schemeClr w14:val="tx1"/>
                </w14:solidFill>
              </w14:textFill>
            </w:rPr>
            <w:t>10</w:t>
          </w:r>
          <w:r>
            <w:rPr>
              <w:rFonts w:hint="default" w:ascii="Times New Roman" w:hAnsi="Times New Roman" w:eastAsia="仿宋_GB2312" w:cs="仿宋_GB2312"/>
              <w:color w:val="000000" w:themeColor="text1"/>
              <w:sz w:val="32"/>
              <w:szCs w:val="32"/>
              <w:lang w:val="en-US"/>
              <w14:textFill>
                <w14:solidFill>
                  <w14:schemeClr w14:val="tx1"/>
                </w14:solidFill>
              </w14:textFill>
            </w:rPr>
            <w:fldChar w:fldCharType="end"/>
          </w:r>
          <w:r>
            <w:rPr>
              <w:rFonts w:hint="eastAsia" w:ascii="Times New Roman" w:hAnsi="Times New Roman" w:eastAsia="仿宋_GB2312" w:cs="仿宋_GB2312"/>
              <w:color w:val="000000" w:themeColor="text1"/>
              <w:sz w:val="32"/>
              <w:szCs w:val="32"/>
              <w14:textFill>
                <w14:solidFill>
                  <w14:schemeClr w14:val="tx1"/>
                </w14:solidFill>
              </w14:textFill>
            </w:rPr>
            <w:fldChar w:fldCharType="end"/>
          </w:r>
        </w:p>
        <w:p>
          <w:pPr>
            <w:pStyle w:val="9"/>
            <w:tabs>
              <w:tab w:val="right" w:leader="dot" w:pos="8834"/>
            </w:tabs>
            <w:rPr>
              <w:rFonts w:hint="default" w:ascii="Times New Roman" w:hAnsi="Times New Roman" w:eastAsia="仿宋_GB2312" w:cs="仿宋_GB2312"/>
              <w:color w:val="000000" w:themeColor="text1"/>
              <w:sz w:val="32"/>
              <w:szCs w:val="32"/>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fldChar w:fldCharType="begin"/>
          </w:r>
          <w:r>
            <w:rPr>
              <w:rFonts w:hint="eastAsia" w:ascii="Times New Roman" w:hAnsi="Times New Roman" w:eastAsia="仿宋_GB2312" w:cs="仿宋_GB2312"/>
              <w:color w:val="000000" w:themeColor="text1"/>
              <w:sz w:val="32"/>
              <w:szCs w:val="32"/>
              <w14:textFill>
                <w14:solidFill>
                  <w14:schemeClr w14:val="tx1"/>
                </w14:solidFill>
              </w14:textFill>
            </w:rPr>
            <w:instrText xml:space="preserve"> HYPERLINK \l "_Toc153726513" </w:instrText>
          </w:r>
          <w:r>
            <w:rPr>
              <w:rFonts w:hint="eastAsia" w:ascii="Times New Roman" w:hAnsi="Times New Roman" w:eastAsia="仿宋_GB2312" w:cs="仿宋_GB2312"/>
              <w:color w:val="000000" w:themeColor="text1"/>
              <w:sz w:val="32"/>
              <w:szCs w:val="32"/>
              <w14:textFill>
                <w14:solidFill>
                  <w14:schemeClr w14:val="tx1"/>
                </w14:solidFill>
              </w14:textFill>
            </w:rPr>
            <w:fldChar w:fldCharType="separate"/>
          </w:r>
          <w:r>
            <w:rPr>
              <w:rStyle w:val="12"/>
              <w:rFonts w:hint="eastAsia" w:ascii="Times New Roman" w:hAnsi="Times New Roman" w:eastAsia="仿宋_GB2312" w:cs="仿宋_GB2312"/>
              <w:color w:val="000000" w:themeColor="text1"/>
              <w:sz w:val="32"/>
              <w:szCs w:val="32"/>
              <w14:textFill>
                <w14:solidFill>
                  <w14:schemeClr w14:val="tx1"/>
                </w14:solidFill>
              </w14:textFill>
            </w:rPr>
            <w:t>第</w:t>
          </w:r>
          <w:r>
            <w:rPr>
              <w:rStyle w:val="12"/>
              <w:rFonts w:hint="eastAsia" w:ascii="Times New Roman" w:hAnsi="Times New Roman" w:eastAsia="仿宋_GB2312" w:cs="仿宋_GB2312"/>
              <w:color w:val="000000" w:themeColor="text1"/>
              <w:sz w:val="32"/>
              <w:szCs w:val="32"/>
              <w:lang w:eastAsia="zh-CN"/>
              <w14:textFill>
                <w14:solidFill>
                  <w14:schemeClr w14:val="tx1"/>
                </w14:solidFill>
              </w14:textFill>
            </w:rPr>
            <w:t>五</w:t>
          </w:r>
          <w:r>
            <w:rPr>
              <w:rStyle w:val="12"/>
              <w:rFonts w:hint="eastAsia" w:ascii="Times New Roman" w:hAnsi="Times New Roman" w:eastAsia="仿宋_GB2312" w:cs="仿宋_GB2312"/>
              <w:color w:val="000000" w:themeColor="text1"/>
              <w:sz w:val="32"/>
              <w:szCs w:val="32"/>
              <w14:textFill>
                <w14:solidFill>
                  <w14:schemeClr w14:val="tx1"/>
                </w14:solidFill>
              </w14:textFill>
            </w:rPr>
            <w:t>节 折扣、折让及佣金商业贿赂风险</w:t>
          </w:r>
          <w:r>
            <w:rPr>
              <w:rFonts w:hint="eastAsia" w:ascii="Times New Roman" w:hAnsi="Times New Roman" w:eastAsia="仿宋_GB2312" w:cs="仿宋_GB2312"/>
              <w:color w:val="000000" w:themeColor="text1"/>
              <w:sz w:val="32"/>
              <w:szCs w:val="32"/>
              <w14:textFill>
                <w14:solidFill>
                  <w14:schemeClr w14:val="tx1"/>
                </w14:solidFill>
              </w14:textFill>
            </w:rPr>
            <w:tab/>
          </w:r>
          <w:r>
            <w:rPr>
              <w:rFonts w:hint="eastAsia" w:ascii="Times New Roman" w:hAnsi="Times New Roman" w:eastAsia="仿宋_GB2312" w:cs="仿宋_GB2312"/>
              <w:color w:val="000000" w:themeColor="text1"/>
              <w:sz w:val="32"/>
              <w:szCs w:val="32"/>
              <w14:textFill>
                <w14:solidFill>
                  <w14:schemeClr w14:val="tx1"/>
                </w14:solidFill>
              </w14:textFill>
            </w:rPr>
            <w:fldChar w:fldCharType="end"/>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12</w:t>
          </w:r>
        </w:p>
        <w:p>
          <w:pPr>
            <w:pStyle w:val="9"/>
            <w:tabs>
              <w:tab w:val="right" w:leader="dot" w:pos="8834"/>
            </w:tabs>
            <w:rPr>
              <w:rFonts w:hint="default" w:ascii="Times New Roman" w:hAnsi="Times New Roman" w:eastAsia="仿宋_GB2312" w:cs="仿宋_GB2312"/>
              <w:color w:val="000000" w:themeColor="text1"/>
              <w:sz w:val="32"/>
              <w:szCs w:val="32"/>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fldChar w:fldCharType="begin"/>
          </w:r>
          <w:r>
            <w:rPr>
              <w:rFonts w:hint="eastAsia" w:ascii="Times New Roman" w:hAnsi="Times New Roman" w:eastAsia="仿宋_GB2312" w:cs="仿宋_GB2312"/>
              <w:color w:val="000000" w:themeColor="text1"/>
              <w:sz w:val="32"/>
              <w:szCs w:val="32"/>
              <w14:textFill>
                <w14:solidFill>
                  <w14:schemeClr w14:val="tx1"/>
                </w14:solidFill>
              </w14:textFill>
            </w:rPr>
            <w:instrText xml:space="preserve"> HYPERLINK \l "_Toc153726514" </w:instrText>
          </w:r>
          <w:r>
            <w:rPr>
              <w:rFonts w:hint="eastAsia" w:ascii="Times New Roman" w:hAnsi="Times New Roman" w:eastAsia="仿宋_GB2312" w:cs="仿宋_GB2312"/>
              <w:color w:val="000000" w:themeColor="text1"/>
              <w:sz w:val="32"/>
              <w:szCs w:val="32"/>
              <w14:textFill>
                <w14:solidFill>
                  <w14:schemeClr w14:val="tx1"/>
                </w14:solidFill>
              </w14:textFill>
            </w:rPr>
            <w:fldChar w:fldCharType="separate"/>
          </w:r>
          <w:r>
            <w:rPr>
              <w:rStyle w:val="12"/>
              <w:rFonts w:hint="eastAsia" w:ascii="Times New Roman" w:hAnsi="Times New Roman" w:eastAsia="仿宋_GB2312" w:cs="仿宋_GB2312"/>
              <w:color w:val="000000" w:themeColor="text1"/>
              <w:sz w:val="32"/>
              <w:szCs w:val="32"/>
              <w14:textFill>
                <w14:solidFill>
                  <w14:schemeClr w14:val="tx1"/>
                </w14:solidFill>
              </w14:textFill>
            </w:rPr>
            <w:t>第</w:t>
          </w:r>
          <w:r>
            <w:rPr>
              <w:rStyle w:val="12"/>
              <w:rFonts w:hint="eastAsia" w:ascii="Times New Roman" w:hAnsi="Times New Roman" w:eastAsia="仿宋_GB2312" w:cs="仿宋_GB2312"/>
              <w:color w:val="000000" w:themeColor="text1"/>
              <w:sz w:val="32"/>
              <w:szCs w:val="32"/>
              <w:lang w:eastAsia="zh-CN"/>
              <w14:textFill>
                <w14:solidFill>
                  <w14:schemeClr w14:val="tx1"/>
                </w14:solidFill>
              </w14:textFill>
            </w:rPr>
            <w:t>六</w:t>
          </w:r>
          <w:r>
            <w:rPr>
              <w:rStyle w:val="12"/>
              <w:rFonts w:hint="eastAsia" w:ascii="Times New Roman" w:hAnsi="Times New Roman" w:eastAsia="仿宋_GB2312" w:cs="仿宋_GB2312"/>
              <w:color w:val="000000" w:themeColor="text1"/>
              <w:sz w:val="32"/>
              <w:szCs w:val="32"/>
              <w14:textFill>
                <w14:solidFill>
                  <w14:schemeClr w14:val="tx1"/>
                </w14:solidFill>
              </w14:textFill>
            </w:rPr>
            <w:t>节 捐赠、赞助、资助商业贿赂风险</w:t>
          </w:r>
          <w:r>
            <w:rPr>
              <w:rFonts w:hint="eastAsia" w:ascii="Times New Roman" w:hAnsi="Times New Roman" w:eastAsia="仿宋_GB2312" w:cs="仿宋_GB2312"/>
              <w:color w:val="000000" w:themeColor="text1"/>
              <w:sz w:val="32"/>
              <w:szCs w:val="32"/>
              <w14:textFill>
                <w14:solidFill>
                  <w14:schemeClr w14:val="tx1"/>
                </w14:solidFill>
              </w14:textFill>
            </w:rPr>
            <w:tab/>
          </w:r>
          <w:r>
            <w:rPr>
              <w:rFonts w:hint="eastAsia" w:ascii="Times New Roman" w:hAnsi="Times New Roman" w:eastAsia="仿宋_GB2312" w:cs="仿宋_GB2312"/>
              <w:color w:val="000000" w:themeColor="text1"/>
              <w:sz w:val="32"/>
              <w:szCs w:val="32"/>
              <w14:textFill>
                <w14:solidFill>
                  <w14:schemeClr w14:val="tx1"/>
                </w14:solidFill>
              </w14:textFill>
            </w:rPr>
            <w:fldChar w:fldCharType="end"/>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14</w:t>
          </w:r>
        </w:p>
        <w:p>
          <w:pPr>
            <w:pStyle w:val="9"/>
            <w:tabs>
              <w:tab w:val="right" w:leader="dot" w:pos="8834"/>
            </w:tabs>
            <w:rPr>
              <w:rFonts w:hint="default" w:ascii="Times New Roman" w:hAnsi="Times New Roman" w:eastAsia="仿宋_GB2312" w:cs="仿宋_GB2312"/>
              <w:color w:val="000000" w:themeColor="text1"/>
              <w:sz w:val="32"/>
              <w:szCs w:val="32"/>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fldChar w:fldCharType="begin"/>
          </w:r>
          <w:r>
            <w:rPr>
              <w:rFonts w:hint="eastAsia" w:ascii="Times New Roman" w:hAnsi="Times New Roman" w:eastAsia="仿宋_GB2312" w:cs="仿宋_GB2312"/>
              <w:color w:val="000000" w:themeColor="text1"/>
              <w:sz w:val="32"/>
              <w:szCs w:val="32"/>
              <w14:textFill>
                <w14:solidFill>
                  <w14:schemeClr w14:val="tx1"/>
                </w14:solidFill>
              </w14:textFill>
            </w:rPr>
            <w:instrText xml:space="preserve"> HYPERLINK \l "_Toc153726515" </w:instrText>
          </w:r>
          <w:r>
            <w:rPr>
              <w:rFonts w:hint="eastAsia" w:ascii="Times New Roman" w:hAnsi="Times New Roman" w:eastAsia="仿宋_GB2312" w:cs="仿宋_GB2312"/>
              <w:color w:val="000000" w:themeColor="text1"/>
              <w:sz w:val="32"/>
              <w:szCs w:val="32"/>
              <w14:textFill>
                <w14:solidFill>
                  <w14:schemeClr w14:val="tx1"/>
                </w14:solidFill>
              </w14:textFill>
            </w:rPr>
            <w:fldChar w:fldCharType="separate"/>
          </w:r>
          <w:r>
            <w:rPr>
              <w:rStyle w:val="12"/>
              <w:rFonts w:hint="eastAsia" w:ascii="Times New Roman" w:hAnsi="Times New Roman" w:eastAsia="仿宋_GB2312" w:cs="仿宋_GB2312"/>
              <w:color w:val="000000" w:themeColor="text1"/>
              <w:sz w:val="32"/>
              <w:szCs w:val="32"/>
              <w14:textFill>
                <w14:solidFill>
                  <w14:schemeClr w14:val="tx1"/>
                </w14:solidFill>
              </w14:textFill>
            </w:rPr>
            <w:t>第</w:t>
          </w:r>
          <w:r>
            <w:rPr>
              <w:rStyle w:val="12"/>
              <w:rFonts w:hint="eastAsia" w:ascii="Times New Roman" w:hAnsi="Times New Roman" w:eastAsia="仿宋_GB2312" w:cs="仿宋_GB2312"/>
              <w:color w:val="000000" w:themeColor="text1"/>
              <w:sz w:val="32"/>
              <w:szCs w:val="32"/>
              <w:lang w:eastAsia="zh-CN"/>
              <w14:textFill>
                <w14:solidFill>
                  <w14:schemeClr w14:val="tx1"/>
                </w14:solidFill>
              </w14:textFill>
            </w:rPr>
            <w:t>七</w:t>
          </w:r>
          <w:r>
            <w:rPr>
              <w:rStyle w:val="12"/>
              <w:rFonts w:hint="eastAsia" w:ascii="Times New Roman" w:hAnsi="Times New Roman" w:eastAsia="仿宋_GB2312" w:cs="仿宋_GB2312"/>
              <w:color w:val="000000" w:themeColor="text1"/>
              <w:sz w:val="32"/>
              <w:szCs w:val="32"/>
              <w14:textFill>
                <w14:solidFill>
                  <w14:schemeClr w14:val="tx1"/>
                </w14:solidFill>
              </w14:textFill>
            </w:rPr>
            <w:t>节 医疗设备无偿投放商业贿赂风险</w:t>
          </w:r>
          <w:r>
            <w:rPr>
              <w:rFonts w:hint="eastAsia" w:ascii="Times New Roman" w:hAnsi="Times New Roman" w:eastAsia="仿宋_GB2312" w:cs="仿宋_GB2312"/>
              <w:color w:val="000000" w:themeColor="text1"/>
              <w:sz w:val="32"/>
              <w:szCs w:val="32"/>
              <w14:textFill>
                <w14:solidFill>
                  <w14:schemeClr w14:val="tx1"/>
                </w14:solidFill>
              </w14:textFill>
            </w:rPr>
            <w:tab/>
          </w:r>
          <w:r>
            <w:rPr>
              <w:rFonts w:hint="eastAsia" w:ascii="Times New Roman" w:hAnsi="Times New Roman" w:eastAsia="仿宋_GB2312" w:cs="仿宋_GB2312"/>
              <w:color w:val="000000" w:themeColor="text1"/>
              <w:sz w:val="32"/>
              <w:szCs w:val="32"/>
              <w14:textFill>
                <w14:solidFill>
                  <w14:schemeClr w14:val="tx1"/>
                </w14:solidFill>
              </w14:textFill>
            </w:rPr>
            <w:fldChar w:fldCharType="end"/>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17</w:t>
          </w:r>
        </w:p>
        <w:p>
          <w:pPr>
            <w:pStyle w:val="9"/>
            <w:tabs>
              <w:tab w:val="right" w:leader="dot" w:pos="8834"/>
            </w:tabs>
            <w:rPr>
              <w:rFonts w:hint="default" w:ascii="Times New Roman" w:hAnsi="Times New Roman" w:eastAsia="仿宋_GB2312" w:cs="仿宋_GB2312"/>
              <w:color w:val="000000" w:themeColor="text1"/>
              <w:sz w:val="32"/>
              <w:szCs w:val="32"/>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fldChar w:fldCharType="begin"/>
          </w:r>
          <w:r>
            <w:rPr>
              <w:rFonts w:hint="eastAsia" w:ascii="Times New Roman" w:hAnsi="Times New Roman" w:eastAsia="仿宋_GB2312" w:cs="仿宋_GB2312"/>
              <w:color w:val="000000" w:themeColor="text1"/>
              <w:sz w:val="32"/>
              <w:szCs w:val="32"/>
              <w14:textFill>
                <w14:solidFill>
                  <w14:schemeClr w14:val="tx1"/>
                </w14:solidFill>
              </w14:textFill>
            </w:rPr>
            <w:instrText xml:space="preserve"> HYPERLINK \l "_Toc153726516" </w:instrText>
          </w:r>
          <w:r>
            <w:rPr>
              <w:rFonts w:hint="eastAsia" w:ascii="Times New Roman" w:hAnsi="Times New Roman" w:eastAsia="仿宋_GB2312" w:cs="仿宋_GB2312"/>
              <w:color w:val="000000" w:themeColor="text1"/>
              <w:sz w:val="32"/>
              <w:szCs w:val="32"/>
              <w14:textFill>
                <w14:solidFill>
                  <w14:schemeClr w14:val="tx1"/>
                </w14:solidFill>
              </w14:textFill>
            </w:rPr>
            <w:fldChar w:fldCharType="separate"/>
          </w:r>
          <w:r>
            <w:rPr>
              <w:rStyle w:val="12"/>
              <w:rFonts w:hint="eastAsia" w:ascii="Times New Roman" w:hAnsi="Times New Roman" w:eastAsia="仿宋_GB2312" w:cs="仿宋_GB2312"/>
              <w:color w:val="000000" w:themeColor="text1"/>
              <w:sz w:val="32"/>
              <w:szCs w:val="32"/>
              <w14:textFill>
                <w14:solidFill>
                  <w14:schemeClr w14:val="tx1"/>
                </w14:solidFill>
              </w14:textFill>
            </w:rPr>
            <w:t>第</w:t>
          </w:r>
          <w:r>
            <w:rPr>
              <w:rStyle w:val="12"/>
              <w:rFonts w:hint="eastAsia" w:ascii="Times New Roman" w:hAnsi="Times New Roman" w:eastAsia="仿宋_GB2312" w:cs="仿宋_GB2312"/>
              <w:color w:val="000000" w:themeColor="text1"/>
              <w:sz w:val="32"/>
              <w:szCs w:val="32"/>
              <w:lang w:eastAsia="zh-CN"/>
              <w14:textFill>
                <w14:solidFill>
                  <w14:schemeClr w14:val="tx1"/>
                </w14:solidFill>
              </w14:textFill>
            </w:rPr>
            <w:t>八</w:t>
          </w:r>
          <w:r>
            <w:rPr>
              <w:rStyle w:val="12"/>
              <w:rFonts w:hint="eastAsia" w:ascii="Times New Roman" w:hAnsi="Times New Roman" w:eastAsia="仿宋_GB2312" w:cs="仿宋_GB2312"/>
              <w:color w:val="000000" w:themeColor="text1"/>
              <w:sz w:val="32"/>
              <w:szCs w:val="32"/>
              <w14:textFill>
                <w14:solidFill>
                  <w14:schemeClr w14:val="tx1"/>
                </w14:solidFill>
              </w14:textFill>
            </w:rPr>
            <w:t>节 临床研究商业贿赂风险</w:t>
          </w:r>
          <w:r>
            <w:rPr>
              <w:rFonts w:hint="eastAsia" w:ascii="Times New Roman" w:hAnsi="Times New Roman" w:eastAsia="仿宋_GB2312" w:cs="仿宋_GB2312"/>
              <w:color w:val="000000" w:themeColor="text1"/>
              <w:sz w:val="32"/>
              <w:szCs w:val="32"/>
              <w14:textFill>
                <w14:solidFill>
                  <w14:schemeClr w14:val="tx1"/>
                </w14:solidFill>
              </w14:textFill>
            </w:rPr>
            <w:tab/>
          </w:r>
          <w:r>
            <w:rPr>
              <w:rFonts w:hint="eastAsia" w:ascii="Times New Roman" w:hAnsi="Times New Roman" w:eastAsia="仿宋_GB2312" w:cs="仿宋_GB2312"/>
              <w:color w:val="000000" w:themeColor="text1"/>
              <w:sz w:val="32"/>
              <w:szCs w:val="32"/>
              <w14:textFill>
                <w14:solidFill>
                  <w14:schemeClr w14:val="tx1"/>
                </w14:solidFill>
              </w14:textFill>
            </w:rPr>
            <w:fldChar w:fldCharType="end"/>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19</w:t>
          </w:r>
        </w:p>
        <w:p>
          <w:pPr>
            <w:pStyle w:val="9"/>
            <w:tabs>
              <w:tab w:val="right" w:leader="dot" w:pos="8834"/>
            </w:tabs>
            <w:rPr>
              <w:rFonts w:hint="default" w:ascii="Times New Roman" w:hAnsi="Times New Roman" w:eastAsia="仿宋_GB2312" w:cs="仿宋_GB2312"/>
              <w:color w:val="000000" w:themeColor="text1"/>
              <w:sz w:val="32"/>
              <w:szCs w:val="32"/>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fldChar w:fldCharType="begin"/>
          </w:r>
          <w:r>
            <w:rPr>
              <w:rFonts w:hint="eastAsia" w:ascii="Times New Roman" w:hAnsi="Times New Roman" w:eastAsia="仿宋_GB2312" w:cs="仿宋_GB2312"/>
              <w:color w:val="000000" w:themeColor="text1"/>
              <w:sz w:val="32"/>
              <w:szCs w:val="32"/>
              <w14:textFill>
                <w14:solidFill>
                  <w14:schemeClr w14:val="tx1"/>
                </w14:solidFill>
              </w14:textFill>
            </w:rPr>
            <w:instrText xml:space="preserve"> HYPERLINK \l "_Toc153726517" </w:instrText>
          </w:r>
          <w:r>
            <w:rPr>
              <w:rFonts w:hint="eastAsia" w:ascii="Times New Roman" w:hAnsi="Times New Roman" w:eastAsia="仿宋_GB2312" w:cs="仿宋_GB2312"/>
              <w:color w:val="000000" w:themeColor="text1"/>
              <w:sz w:val="32"/>
              <w:szCs w:val="32"/>
              <w14:textFill>
                <w14:solidFill>
                  <w14:schemeClr w14:val="tx1"/>
                </w14:solidFill>
              </w14:textFill>
            </w:rPr>
            <w:fldChar w:fldCharType="separate"/>
          </w:r>
          <w:r>
            <w:rPr>
              <w:rStyle w:val="12"/>
              <w:rFonts w:hint="eastAsia" w:ascii="Times New Roman" w:hAnsi="Times New Roman" w:eastAsia="仿宋_GB2312" w:cs="仿宋_GB2312"/>
              <w:color w:val="000000" w:themeColor="text1"/>
              <w:sz w:val="32"/>
              <w:szCs w:val="32"/>
              <w14:textFill>
                <w14:solidFill>
                  <w14:schemeClr w14:val="tx1"/>
                </w14:solidFill>
              </w14:textFill>
            </w:rPr>
            <w:t>第</w:t>
          </w:r>
          <w:r>
            <w:rPr>
              <w:rStyle w:val="12"/>
              <w:rFonts w:hint="eastAsia" w:ascii="Times New Roman" w:hAnsi="Times New Roman" w:eastAsia="仿宋_GB2312" w:cs="仿宋_GB2312"/>
              <w:color w:val="000000" w:themeColor="text1"/>
              <w:sz w:val="32"/>
              <w:szCs w:val="32"/>
              <w:lang w:eastAsia="zh-CN"/>
              <w14:textFill>
                <w14:solidFill>
                  <w14:schemeClr w14:val="tx1"/>
                </w14:solidFill>
              </w14:textFill>
            </w:rPr>
            <w:t>九</w:t>
          </w:r>
          <w:r>
            <w:rPr>
              <w:rStyle w:val="12"/>
              <w:rFonts w:hint="eastAsia" w:ascii="Times New Roman" w:hAnsi="Times New Roman" w:eastAsia="仿宋_GB2312" w:cs="仿宋_GB2312"/>
              <w:color w:val="000000" w:themeColor="text1"/>
              <w:sz w:val="32"/>
              <w:szCs w:val="32"/>
              <w14:textFill>
                <w14:solidFill>
                  <w14:schemeClr w14:val="tx1"/>
                </w14:solidFill>
              </w14:textFill>
            </w:rPr>
            <w:t>节 零售终端销售商业贿赂风险</w:t>
          </w:r>
          <w:r>
            <w:rPr>
              <w:rFonts w:hint="eastAsia" w:ascii="Times New Roman" w:hAnsi="Times New Roman" w:eastAsia="仿宋_GB2312" w:cs="仿宋_GB2312"/>
              <w:color w:val="000000" w:themeColor="text1"/>
              <w:sz w:val="32"/>
              <w:szCs w:val="32"/>
              <w14:textFill>
                <w14:solidFill>
                  <w14:schemeClr w14:val="tx1"/>
                </w14:solidFill>
              </w14:textFill>
            </w:rPr>
            <w:tab/>
          </w:r>
          <w:r>
            <w:rPr>
              <w:rFonts w:hint="eastAsia" w:ascii="Times New Roman" w:hAnsi="Times New Roman" w:eastAsia="仿宋_GB2312" w:cs="仿宋_GB2312"/>
              <w:color w:val="000000" w:themeColor="text1"/>
              <w:sz w:val="32"/>
              <w:szCs w:val="32"/>
              <w14:textFill>
                <w14:solidFill>
                  <w14:schemeClr w14:val="tx1"/>
                </w14:solidFill>
              </w14:textFill>
            </w:rPr>
            <w:fldChar w:fldCharType="end"/>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20</w:t>
          </w:r>
        </w:p>
        <w:p>
          <w:pPr>
            <w:pStyle w:val="7"/>
            <w:tabs>
              <w:tab w:val="right" w:leader="dot" w:pos="8834"/>
            </w:tabs>
            <w:rPr>
              <w:rFonts w:hint="default" w:ascii="Times New Roman" w:hAnsi="Times New Roman" w:eastAsia="仿宋_GB2312" w:cs="仿宋_GB2312"/>
              <w:color w:val="000000" w:themeColor="text1"/>
              <w:sz w:val="32"/>
              <w:szCs w:val="32"/>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fldChar w:fldCharType="begin"/>
          </w:r>
          <w:r>
            <w:rPr>
              <w:rFonts w:hint="eastAsia" w:ascii="Times New Roman" w:hAnsi="Times New Roman" w:eastAsia="仿宋_GB2312" w:cs="仿宋_GB2312"/>
              <w:color w:val="000000" w:themeColor="text1"/>
              <w:sz w:val="32"/>
              <w:szCs w:val="32"/>
              <w14:textFill>
                <w14:solidFill>
                  <w14:schemeClr w14:val="tx1"/>
                </w14:solidFill>
              </w14:textFill>
            </w:rPr>
            <w:instrText xml:space="preserve"> HYPERLINK \l "_Toc153726518" </w:instrText>
          </w:r>
          <w:r>
            <w:rPr>
              <w:rFonts w:hint="eastAsia" w:ascii="Times New Roman" w:hAnsi="Times New Roman" w:eastAsia="仿宋_GB2312" w:cs="仿宋_GB2312"/>
              <w:color w:val="000000" w:themeColor="text1"/>
              <w:sz w:val="32"/>
              <w:szCs w:val="32"/>
              <w14:textFill>
                <w14:solidFill>
                  <w14:schemeClr w14:val="tx1"/>
                </w14:solidFill>
              </w14:textFill>
            </w:rPr>
            <w:fldChar w:fldCharType="separate"/>
          </w:r>
          <w:r>
            <w:rPr>
              <w:rStyle w:val="12"/>
              <w:rFonts w:hint="eastAsia" w:ascii="Times New Roman" w:hAnsi="Times New Roman" w:eastAsia="仿宋_GB2312" w:cs="仿宋_GB2312"/>
              <w:color w:val="000000" w:themeColor="text1"/>
              <w:sz w:val="32"/>
              <w:szCs w:val="32"/>
              <w14:textFill>
                <w14:solidFill>
                  <w14:schemeClr w14:val="tx1"/>
                </w14:solidFill>
              </w14:textFill>
            </w:rPr>
            <w:t>第四章 医药企业商业贿赂风险处置</w:t>
          </w:r>
          <w:r>
            <w:rPr>
              <w:rFonts w:hint="eastAsia" w:ascii="Times New Roman" w:hAnsi="Times New Roman" w:eastAsia="仿宋_GB2312" w:cs="仿宋_GB2312"/>
              <w:color w:val="000000" w:themeColor="text1"/>
              <w:sz w:val="32"/>
              <w:szCs w:val="32"/>
              <w14:textFill>
                <w14:solidFill>
                  <w14:schemeClr w14:val="tx1"/>
                </w14:solidFill>
              </w14:textFill>
            </w:rPr>
            <w:tab/>
          </w:r>
          <w:r>
            <w:rPr>
              <w:rFonts w:hint="eastAsia" w:ascii="Times New Roman" w:hAnsi="Times New Roman" w:eastAsia="仿宋_GB2312" w:cs="仿宋_GB2312"/>
              <w:color w:val="000000" w:themeColor="text1"/>
              <w:sz w:val="32"/>
              <w:szCs w:val="32"/>
              <w14:textFill>
                <w14:solidFill>
                  <w14:schemeClr w14:val="tx1"/>
                </w14:solidFill>
              </w14:textFill>
            </w:rPr>
            <w:fldChar w:fldCharType="end"/>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22</w:t>
          </w:r>
        </w:p>
        <w:p>
          <w:pPr>
            <w:pStyle w:val="9"/>
            <w:tabs>
              <w:tab w:val="right" w:leader="dot" w:pos="8834"/>
            </w:tabs>
            <w:rPr>
              <w:rFonts w:hint="default" w:ascii="Times New Roman" w:hAnsi="Times New Roman" w:eastAsia="仿宋_GB2312" w:cs="仿宋_GB2312"/>
              <w:color w:val="000000" w:themeColor="text1"/>
              <w:sz w:val="32"/>
              <w:szCs w:val="32"/>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fldChar w:fldCharType="begin"/>
          </w:r>
          <w:r>
            <w:rPr>
              <w:rFonts w:hint="eastAsia" w:ascii="Times New Roman" w:hAnsi="Times New Roman" w:eastAsia="仿宋_GB2312" w:cs="仿宋_GB2312"/>
              <w:color w:val="000000" w:themeColor="text1"/>
              <w:sz w:val="32"/>
              <w:szCs w:val="32"/>
              <w14:textFill>
                <w14:solidFill>
                  <w14:schemeClr w14:val="tx1"/>
                </w14:solidFill>
              </w14:textFill>
            </w:rPr>
            <w:instrText xml:space="preserve"> HYPERLINK \l "_Toc153726519" </w:instrText>
          </w:r>
          <w:r>
            <w:rPr>
              <w:rFonts w:hint="eastAsia" w:ascii="Times New Roman" w:hAnsi="Times New Roman" w:eastAsia="仿宋_GB2312" w:cs="仿宋_GB2312"/>
              <w:color w:val="000000" w:themeColor="text1"/>
              <w:sz w:val="32"/>
              <w:szCs w:val="32"/>
              <w14:textFill>
                <w14:solidFill>
                  <w14:schemeClr w14:val="tx1"/>
                </w14:solidFill>
              </w14:textFill>
            </w:rPr>
            <w:fldChar w:fldCharType="separate"/>
          </w:r>
          <w:r>
            <w:rPr>
              <w:rStyle w:val="12"/>
              <w:rFonts w:hint="eastAsia" w:ascii="Times New Roman" w:hAnsi="Times New Roman" w:eastAsia="仿宋_GB2312" w:cs="仿宋_GB2312"/>
              <w:color w:val="000000" w:themeColor="text1"/>
              <w:sz w:val="32"/>
              <w:szCs w:val="32"/>
              <w14:textFill>
                <w14:solidFill>
                  <w14:schemeClr w14:val="tx1"/>
                </w14:solidFill>
              </w14:textFill>
            </w:rPr>
            <w:t>第一节 风险内部处置</w:t>
          </w:r>
          <w:r>
            <w:rPr>
              <w:rFonts w:hint="eastAsia" w:ascii="Times New Roman" w:hAnsi="Times New Roman" w:eastAsia="仿宋_GB2312" w:cs="仿宋_GB2312"/>
              <w:color w:val="000000" w:themeColor="text1"/>
              <w:sz w:val="32"/>
              <w:szCs w:val="32"/>
              <w14:textFill>
                <w14:solidFill>
                  <w14:schemeClr w14:val="tx1"/>
                </w14:solidFill>
              </w14:textFill>
            </w:rPr>
            <w:tab/>
          </w:r>
          <w:r>
            <w:rPr>
              <w:rFonts w:hint="eastAsia" w:ascii="Times New Roman" w:hAnsi="Times New Roman" w:eastAsia="仿宋_GB2312" w:cs="仿宋_GB2312"/>
              <w:color w:val="000000" w:themeColor="text1"/>
              <w:sz w:val="32"/>
              <w:szCs w:val="32"/>
              <w14:textFill>
                <w14:solidFill>
                  <w14:schemeClr w14:val="tx1"/>
                </w14:solidFill>
              </w14:textFill>
            </w:rPr>
            <w:fldChar w:fldCharType="end"/>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22</w:t>
          </w:r>
        </w:p>
        <w:p>
          <w:pPr>
            <w:pStyle w:val="9"/>
            <w:tabs>
              <w:tab w:val="right" w:leader="dot" w:pos="8834"/>
            </w:tabs>
            <w:rPr>
              <w:rFonts w:hint="default" w:ascii="Times New Roman" w:hAnsi="Times New Roman" w:eastAsia="仿宋_GB2312" w:cs="仿宋_GB2312"/>
              <w:color w:val="000000" w:themeColor="text1"/>
              <w:sz w:val="32"/>
              <w:szCs w:val="32"/>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fldChar w:fldCharType="begin"/>
          </w:r>
          <w:r>
            <w:rPr>
              <w:rFonts w:hint="eastAsia" w:ascii="Times New Roman" w:hAnsi="Times New Roman" w:eastAsia="仿宋_GB2312" w:cs="仿宋_GB2312"/>
              <w:color w:val="000000" w:themeColor="text1"/>
              <w:sz w:val="32"/>
              <w:szCs w:val="32"/>
              <w14:textFill>
                <w14:solidFill>
                  <w14:schemeClr w14:val="tx1"/>
                </w14:solidFill>
              </w14:textFill>
            </w:rPr>
            <w:instrText xml:space="preserve"> HYPERLINK \l "_Toc153726520" </w:instrText>
          </w:r>
          <w:r>
            <w:rPr>
              <w:rFonts w:hint="eastAsia" w:ascii="Times New Roman" w:hAnsi="Times New Roman" w:eastAsia="仿宋_GB2312" w:cs="仿宋_GB2312"/>
              <w:color w:val="000000" w:themeColor="text1"/>
              <w:sz w:val="32"/>
              <w:szCs w:val="32"/>
              <w14:textFill>
                <w14:solidFill>
                  <w14:schemeClr w14:val="tx1"/>
                </w14:solidFill>
              </w14:textFill>
            </w:rPr>
            <w:fldChar w:fldCharType="separate"/>
          </w:r>
          <w:r>
            <w:rPr>
              <w:rStyle w:val="12"/>
              <w:rFonts w:hint="eastAsia" w:ascii="Times New Roman" w:hAnsi="Times New Roman" w:eastAsia="仿宋_GB2312" w:cs="仿宋_GB2312"/>
              <w:color w:val="000000" w:themeColor="text1"/>
              <w:sz w:val="32"/>
              <w:szCs w:val="32"/>
              <w14:textFill>
                <w14:solidFill>
                  <w14:schemeClr w14:val="tx1"/>
                </w14:solidFill>
              </w14:textFill>
            </w:rPr>
            <w:t xml:space="preserve">第二节 </w:t>
          </w:r>
          <w:r>
            <w:rPr>
              <w:rStyle w:val="12"/>
              <w:rFonts w:hint="eastAsia" w:ascii="Times New Roman" w:hAnsi="Times New Roman" w:eastAsia="仿宋_GB2312" w:cs="仿宋_GB2312"/>
              <w:color w:val="000000" w:themeColor="text1"/>
              <w:sz w:val="32"/>
              <w:szCs w:val="32"/>
              <w:lang w:eastAsia="zh-CN"/>
              <w14:textFill>
                <w14:solidFill>
                  <w14:schemeClr w14:val="tx1"/>
                </w14:solidFill>
              </w14:textFill>
            </w:rPr>
            <w:t>配合监管执法</w:t>
          </w:r>
          <w:r>
            <w:rPr>
              <w:rFonts w:hint="eastAsia" w:ascii="Times New Roman" w:hAnsi="Times New Roman" w:eastAsia="仿宋_GB2312" w:cs="仿宋_GB2312"/>
              <w:color w:val="000000" w:themeColor="text1"/>
              <w:sz w:val="32"/>
              <w:szCs w:val="32"/>
              <w14:textFill>
                <w14:solidFill>
                  <w14:schemeClr w14:val="tx1"/>
                </w14:solidFill>
              </w14:textFill>
            </w:rPr>
            <w:tab/>
          </w:r>
          <w:r>
            <w:rPr>
              <w:rFonts w:hint="eastAsia" w:ascii="Times New Roman" w:hAnsi="Times New Roman" w:eastAsia="仿宋_GB2312" w:cs="仿宋_GB2312"/>
              <w:color w:val="000000" w:themeColor="text1"/>
              <w:sz w:val="32"/>
              <w:szCs w:val="32"/>
              <w14:textFill>
                <w14:solidFill>
                  <w14:schemeClr w14:val="tx1"/>
                </w14:solidFill>
              </w14:textFill>
            </w:rPr>
            <w:fldChar w:fldCharType="end"/>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23</w:t>
          </w:r>
        </w:p>
        <w:p>
          <w:pPr>
            <w:spacing w:line="20" w:lineRule="exact"/>
            <w:rPr>
              <w:rFonts w:ascii="Times New Roman" w:hAnsi="Times New Roman" w:eastAsia="仿宋"/>
              <w:b/>
              <w:bCs/>
              <w:color w:val="000000" w:themeColor="text1"/>
              <w:sz w:val="30"/>
              <w:szCs w:val="30"/>
              <w:lang w:val="zh-CN"/>
              <w14:textFill>
                <w14:solidFill>
                  <w14:schemeClr w14:val="tx1"/>
                </w14:solidFill>
              </w14:textFill>
            </w:rPr>
          </w:pPr>
          <w:r>
            <w:rPr>
              <w:rFonts w:hint="eastAsia" w:ascii="Times New Roman" w:hAnsi="Times New Roman" w:eastAsia="仿宋_GB2312" w:cs="仿宋_GB2312"/>
              <w:b/>
              <w:bCs/>
              <w:color w:val="000000" w:themeColor="text1"/>
              <w:sz w:val="32"/>
              <w:szCs w:val="32"/>
              <w:lang w:val="zh-CN"/>
              <w14:textFill>
                <w14:solidFill>
                  <w14:schemeClr w14:val="tx1"/>
                </w14:solidFill>
              </w14:textFill>
            </w:rPr>
            <w:fldChar w:fldCharType="end"/>
          </w:r>
        </w:p>
      </w:sdtContent>
    </w:sdt>
    <w:p>
      <w:pPr>
        <w:pStyle w:val="3"/>
        <w:keepNext w:val="0"/>
        <w:keepLines w:val="0"/>
        <w:jc w:val="center"/>
        <w:outlineLvl w:val="9"/>
        <w:rPr>
          <w:rFonts w:ascii="Times New Roman" w:hAnsi="Times New Roman" w:eastAsia="黑体" w:cs="黑体"/>
          <w:color w:val="000000" w:themeColor="text1"/>
          <w:sz w:val="32"/>
          <w:szCs w:val="32"/>
          <w14:textFill>
            <w14:solidFill>
              <w14:schemeClr w14:val="tx1"/>
            </w14:solidFill>
          </w14:textFill>
        </w:rPr>
        <w:sectPr>
          <w:footerReference r:id="rId5" w:type="default"/>
          <w:footerReference r:id="rId6" w:type="even"/>
          <w:pgSz w:w="11906" w:h="16838"/>
          <w:pgMar w:top="1984" w:right="1474" w:bottom="1644" w:left="1474" w:header="850" w:footer="1191" w:gutter="0"/>
          <w:pgNumType w:fmt="decimal" w:start="1"/>
          <w:cols w:space="0" w:num="1"/>
          <w:rtlGutter w:val="0"/>
          <w:docGrid w:type="lines" w:linePitch="312" w:charSpace="0"/>
        </w:sectPr>
      </w:pPr>
      <w:bookmarkStart w:id="0" w:name="_Toc153726505"/>
      <w:bookmarkStart w:id="1" w:name="_Toc153618324"/>
    </w:p>
    <w:p>
      <w:pPr>
        <w:pStyle w:val="3"/>
        <w:keepNext w:val="0"/>
        <w:keepLines w:val="0"/>
        <w:overflowPunct w:val="0"/>
        <w:adjustRightInd w:val="0"/>
        <w:snapToGrid w:val="0"/>
        <w:spacing w:before="0" w:after="0" w:line="598" w:lineRule="exact"/>
        <w:jc w:val="center"/>
        <w:outlineLvl w:val="0"/>
        <w:rPr>
          <w:rFonts w:ascii="Times New Roman" w:hAnsi="Times New Roman" w:eastAsia="黑体" w:cs="黑体"/>
          <w:b w:val="0"/>
          <w:bCs w:val="0"/>
          <w:color w:val="000000" w:themeColor="text1"/>
          <w:sz w:val="32"/>
          <w:szCs w:val="32"/>
          <w14:textFill>
            <w14:solidFill>
              <w14:schemeClr w14:val="tx1"/>
            </w14:solidFill>
          </w14:textFill>
        </w:rPr>
      </w:pPr>
      <w:r>
        <w:rPr>
          <w:rFonts w:ascii="Times New Roman" w:hAnsi="Times New Roman" w:eastAsia="黑体" w:cs="黑体"/>
          <w:b w:val="0"/>
          <w:bCs w:val="0"/>
          <w:color w:val="000000" w:themeColor="text1"/>
          <w:sz w:val="32"/>
          <w:szCs w:val="32"/>
          <w14:textFill>
            <w14:solidFill>
              <w14:schemeClr w14:val="tx1"/>
            </w14:solidFill>
          </w14:textFill>
        </w:rPr>
        <w:t>第一章 总则</w:t>
      </w:r>
      <w:bookmarkEnd w:id="0"/>
      <w:bookmarkEnd w:id="1"/>
    </w:p>
    <w:p>
      <w:pPr>
        <w:pStyle w:val="3"/>
        <w:keepNext w:val="0"/>
        <w:keepLines w:val="0"/>
        <w:overflowPunct w:val="0"/>
        <w:adjustRightInd w:val="0"/>
        <w:snapToGrid w:val="0"/>
        <w:spacing w:before="0" w:after="0" w:line="598" w:lineRule="exact"/>
        <w:jc w:val="center"/>
        <w:outlineLvl w:val="9"/>
        <w:rPr>
          <w:rFonts w:ascii="Times New Roman" w:hAnsi="Times New Roman" w:eastAsia="黑体" w:cs="黑体"/>
          <w:b w:val="0"/>
          <w:bCs w:val="0"/>
          <w:color w:val="000000" w:themeColor="text1"/>
          <w:sz w:val="32"/>
          <w:szCs w:val="32"/>
          <w14:textFill>
            <w14:solidFill>
              <w14:schemeClr w14:val="tx1"/>
            </w14:solidFill>
          </w14:textFill>
        </w:rPr>
      </w:pPr>
    </w:p>
    <w:p>
      <w:pPr>
        <w:pStyle w:val="15"/>
        <w:numPr>
          <w:ilvl w:val="0"/>
          <w:numId w:val="1"/>
        </w:numPr>
        <w:overflowPunct w:val="0"/>
        <w:adjustRightInd w:val="0"/>
        <w:snapToGrid w:val="0"/>
        <w:spacing w:line="598" w:lineRule="exact"/>
        <w:ind w:left="0" w:firstLine="64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 xml:space="preserve"> </w:t>
      </w:r>
      <w:r>
        <w:rPr>
          <w:rFonts w:hint="eastAsia" w:ascii="Times New Roman" w:hAnsi="Times New Roman" w:eastAsia="仿宋_GB2312" w:cs="仿宋_GB2312"/>
          <w:color w:val="000000" w:themeColor="text1"/>
          <w:sz w:val="32"/>
          <w:szCs w:val="32"/>
          <w14:textFill>
            <w14:solidFill>
              <w14:schemeClr w14:val="tx1"/>
            </w14:solidFill>
          </w14:textFill>
        </w:rPr>
        <w:t>为了</w:t>
      </w:r>
      <w:r>
        <w:rPr>
          <w:rFonts w:hint="eastAsia" w:ascii="Times New Roman" w:hAnsi="Times New Roman" w:eastAsia="仿宋_GB2312" w:cs="仿宋_GB2312"/>
          <w:color w:val="000000" w:themeColor="text1"/>
          <w:sz w:val="32"/>
          <w:szCs w:val="32"/>
          <w:lang w:eastAsia="zh-CN"/>
          <w14:textFill>
            <w14:solidFill>
              <w14:schemeClr w14:val="tx1"/>
            </w14:solidFill>
          </w14:textFill>
        </w:rPr>
        <w:t>预防和遏制医药领域商业贿赂行为，支持和引导医药企业建立健全合规管理体系，维护医药市场公平竞争秩序，维护人民群众健康权益，促进医疗卫生事业高质量发展，推进健康中国建设，</w:t>
      </w:r>
      <w:r>
        <w:rPr>
          <w:rFonts w:hint="eastAsia" w:ascii="Times New Roman" w:hAnsi="Times New Roman" w:eastAsia="仿宋_GB2312" w:cs="仿宋_GB2312"/>
          <w:color w:val="000000" w:themeColor="text1"/>
          <w:sz w:val="32"/>
          <w:szCs w:val="32"/>
          <w14:textFill>
            <w14:solidFill>
              <w14:schemeClr w14:val="tx1"/>
            </w14:solidFill>
          </w14:textFill>
        </w:rPr>
        <w:t>根据《中华人民共和国反不正当竞争法》《</w:t>
      </w:r>
      <w:r>
        <w:rPr>
          <w:rFonts w:hint="eastAsia" w:ascii="Times New Roman" w:hAnsi="Times New Roman" w:eastAsia="仿宋_GB2312" w:cs="仿宋_GB2312"/>
          <w:color w:val="000000" w:themeColor="text1"/>
          <w:sz w:val="32"/>
          <w:szCs w:val="32"/>
          <w:lang w:eastAsia="zh-CN"/>
          <w14:textFill>
            <w14:solidFill>
              <w14:schemeClr w14:val="tx1"/>
            </w14:solidFill>
          </w14:textFill>
        </w:rPr>
        <w:t>中华人民共和国药品管理法</w:t>
      </w:r>
      <w:r>
        <w:rPr>
          <w:rFonts w:hint="eastAsia" w:ascii="Times New Roman" w:hAnsi="Times New Roman" w:eastAsia="仿宋_GB2312" w:cs="仿宋_GB2312"/>
          <w:color w:val="000000" w:themeColor="text1"/>
          <w:sz w:val="32"/>
          <w:szCs w:val="32"/>
          <w14:textFill>
            <w14:solidFill>
              <w14:schemeClr w14:val="tx1"/>
            </w14:solidFill>
          </w14:textFill>
        </w:rPr>
        <w:t>》等</w:t>
      </w:r>
      <w:r>
        <w:rPr>
          <w:rFonts w:hint="eastAsia" w:ascii="Times New Roman" w:hAnsi="Times New Roman" w:eastAsia="仿宋_GB2312" w:cs="仿宋_GB2312"/>
          <w:color w:val="000000" w:themeColor="text1"/>
          <w:sz w:val="32"/>
          <w:szCs w:val="32"/>
          <w:lang w:eastAsia="zh-CN"/>
          <w14:textFill>
            <w14:solidFill>
              <w14:schemeClr w14:val="tx1"/>
            </w14:solidFill>
          </w14:textFill>
        </w:rPr>
        <w:t>法律、法规规定</w:t>
      </w:r>
      <w:r>
        <w:rPr>
          <w:rFonts w:hint="eastAsia" w:ascii="Times New Roman" w:hAnsi="Times New Roman" w:eastAsia="仿宋_GB2312" w:cs="仿宋_GB2312"/>
          <w:color w:val="000000" w:themeColor="text1"/>
          <w:sz w:val="32"/>
          <w:szCs w:val="32"/>
          <w14:textFill>
            <w14:solidFill>
              <w14:schemeClr w14:val="tx1"/>
            </w14:solidFill>
          </w14:textFill>
        </w:rPr>
        <w:t>，结合医药行业实际和反商业贿赂执法实践，制定本指引。</w:t>
      </w:r>
    </w:p>
    <w:p>
      <w:pPr>
        <w:pStyle w:val="15"/>
        <w:numPr>
          <w:ilvl w:val="0"/>
          <w:numId w:val="1"/>
        </w:numPr>
        <w:overflowPunct w:val="0"/>
        <w:adjustRightInd w:val="0"/>
        <w:snapToGrid w:val="0"/>
        <w:spacing w:line="598" w:lineRule="exact"/>
        <w:ind w:left="0" w:firstLine="64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 xml:space="preserve"> </w:t>
      </w:r>
      <w:r>
        <w:rPr>
          <w:rFonts w:hint="eastAsia" w:ascii="Times New Roman" w:hAnsi="Times New Roman" w:eastAsia="仿宋_GB2312" w:cs="仿宋_GB2312"/>
          <w:color w:val="000000" w:themeColor="text1"/>
          <w:sz w:val="32"/>
          <w:szCs w:val="32"/>
          <w14:textFill>
            <w14:solidFill>
              <w14:schemeClr w14:val="tx1"/>
            </w14:solidFill>
          </w14:textFill>
        </w:rPr>
        <w:t>医药行业发展应遵循人民至上、生命至上的根本原则，</w:t>
      </w:r>
      <w:r>
        <w:rPr>
          <w:rFonts w:ascii="Times New Roman" w:hAnsi="Times New Roman" w:eastAsia="仿宋_GB2312" w:cs="仿宋_GB2312"/>
          <w:color w:val="000000" w:themeColor="text1"/>
          <w:sz w:val="32"/>
          <w:szCs w:val="32"/>
          <w14:textFill>
            <w14:solidFill>
              <w14:schemeClr w14:val="tx1"/>
            </w14:solidFill>
          </w14:textFill>
        </w:rPr>
        <w:t>坚持</w:t>
      </w:r>
      <w:r>
        <w:rPr>
          <w:rFonts w:hint="eastAsia" w:ascii="Times New Roman" w:hAnsi="Times New Roman" w:eastAsia="仿宋_GB2312" w:cs="仿宋_GB2312"/>
          <w:color w:val="000000" w:themeColor="text1"/>
          <w:sz w:val="32"/>
          <w:szCs w:val="32"/>
          <w14:textFill>
            <w14:solidFill>
              <w14:schemeClr w14:val="tx1"/>
            </w14:solidFill>
          </w14:textFill>
        </w:rPr>
        <w:t>科研为本、</w:t>
      </w:r>
      <w:r>
        <w:rPr>
          <w:rFonts w:ascii="Times New Roman" w:hAnsi="Times New Roman" w:eastAsia="仿宋_GB2312" w:cs="仿宋_GB2312"/>
          <w:color w:val="000000" w:themeColor="text1"/>
          <w:sz w:val="32"/>
          <w:szCs w:val="32"/>
          <w14:textFill>
            <w14:solidFill>
              <w14:schemeClr w14:val="tx1"/>
            </w14:solidFill>
          </w14:textFill>
        </w:rPr>
        <w:t>创新引领</w:t>
      </w:r>
      <w:r>
        <w:rPr>
          <w:rFonts w:hint="eastAsia" w:ascii="Times New Roman" w:hAnsi="Times New Roman" w:eastAsia="仿宋_GB2312" w:cs="仿宋_GB2312"/>
          <w:color w:val="000000" w:themeColor="text1"/>
          <w:sz w:val="32"/>
          <w:szCs w:val="32"/>
          <w14:textFill>
            <w14:solidFill>
              <w14:schemeClr w14:val="tx1"/>
            </w14:solidFill>
          </w14:textFill>
        </w:rPr>
        <w:t>，提升科技创新水平，</w:t>
      </w:r>
      <w:r>
        <w:rPr>
          <w:rFonts w:hint="eastAsia" w:ascii="Times New Roman" w:hAnsi="Times New Roman" w:eastAsia="仿宋_GB2312" w:cs="仿宋_GB2312"/>
          <w:color w:val="000000" w:themeColor="text1"/>
          <w:spacing w:val="6"/>
          <w:sz w:val="32"/>
          <w:szCs w:val="32"/>
          <w14:textFill>
            <w14:solidFill>
              <w14:schemeClr w14:val="tx1"/>
            </w14:solidFill>
          </w14:textFill>
        </w:rPr>
        <w:t>守住质量安全底线，维护广大患者利益</w:t>
      </w:r>
      <w:r>
        <w:rPr>
          <w:rFonts w:ascii="Times New Roman" w:hAnsi="Times New Roman" w:eastAsia="仿宋_GB2312" w:cs="仿宋_GB2312"/>
          <w:color w:val="000000" w:themeColor="text1"/>
          <w:spacing w:val="6"/>
          <w:sz w:val="32"/>
          <w:szCs w:val="32"/>
          <w14:textFill>
            <w14:solidFill>
              <w14:schemeClr w14:val="tx1"/>
            </w14:solidFill>
          </w14:textFill>
        </w:rPr>
        <w:t>，</w:t>
      </w:r>
      <w:r>
        <w:rPr>
          <w:rFonts w:hint="eastAsia" w:ascii="Times New Roman" w:hAnsi="Times New Roman" w:eastAsia="仿宋_GB2312" w:cs="仿宋_GB2312"/>
          <w:color w:val="000000" w:themeColor="text1"/>
          <w:spacing w:val="6"/>
          <w:sz w:val="32"/>
          <w:szCs w:val="32"/>
          <w14:textFill>
            <w14:solidFill>
              <w14:schemeClr w14:val="tx1"/>
            </w14:solidFill>
          </w14:textFill>
        </w:rPr>
        <w:t>不断提高医药和</w:t>
      </w:r>
      <w:r>
        <w:rPr>
          <w:rFonts w:ascii="Times New Roman" w:hAnsi="Times New Roman" w:eastAsia="仿宋_GB2312" w:cs="仿宋_GB2312"/>
          <w:color w:val="000000" w:themeColor="text1"/>
          <w:spacing w:val="6"/>
          <w:sz w:val="32"/>
          <w:szCs w:val="32"/>
          <w14:textFill>
            <w14:solidFill>
              <w14:schemeClr w14:val="tx1"/>
            </w14:solidFill>
          </w14:textFill>
        </w:rPr>
        <w:t>医疗水平</w:t>
      </w:r>
      <w:r>
        <w:rPr>
          <w:rFonts w:hint="eastAsia" w:ascii="Times New Roman" w:hAnsi="Times New Roman" w:eastAsia="仿宋_GB2312" w:cs="仿宋_GB2312"/>
          <w:color w:val="000000" w:themeColor="text1"/>
          <w:spacing w:val="6"/>
          <w:sz w:val="32"/>
          <w:szCs w:val="32"/>
          <w14:textFill>
            <w14:solidFill>
              <w14:schemeClr w14:val="tx1"/>
            </w14:solidFill>
          </w14:textFill>
        </w:rPr>
        <w:t>。</w:t>
      </w:r>
    </w:p>
    <w:p>
      <w:pPr>
        <w:overflowPunct w:val="0"/>
        <w:adjustRightInd w:val="0"/>
        <w:snapToGrid w:val="0"/>
        <w:spacing w:line="598" w:lineRule="exact"/>
        <w:ind w:firstLine="640" w:firstLineChars="200"/>
        <w:rPr>
          <w:rFonts w:ascii="Times New Roman" w:hAnsi="Times New Roman" w:eastAsia="仿宋_GB2312" w:cs="仿宋_GB2312"/>
          <w:color w:val="000000" w:themeColor="text1"/>
          <w:sz w:val="32"/>
          <w:szCs w:val="32"/>
          <w14:textFill>
            <w14:solidFill>
              <w14:schemeClr w14:val="tx1"/>
            </w14:solidFill>
          </w14:textFill>
        </w:rPr>
      </w:pPr>
      <w:r>
        <w:rPr>
          <w:rFonts w:ascii="Times New Roman" w:hAnsi="Times New Roman" w:eastAsia="仿宋_GB2312" w:cs="仿宋_GB2312"/>
          <w:color w:val="000000" w:themeColor="text1"/>
          <w:sz w:val="32"/>
          <w:szCs w:val="32"/>
          <w14:textFill>
            <w14:solidFill>
              <w14:schemeClr w14:val="tx1"/>
            </w14:solidFill>
          </w14:textFill>
        </w:rPr>
        <w:t>医药企业经营应</w:t>
      </w:r>
      <w:r>
        <w:rPr>
          <w:rFonts w:hint="eastAsia" w:ascii="Times New Roman" w:hAnsi="Times New Roman" w:eastAsia="仿宋_GB2312" w:cs="仿宋_GB2312"/>
          <w:color w:val="000000" w:themeColor="text1"/>
          <w:sz w:val="32"/>
          <w:szCs w:val="32"/>
          <w14:textFill>
            <w14:solidFill>
              <w14:schemeClr w14:val="tx1"/>
            </w14:solidFill>
          </w14:textFill>
        </w:rPr>
        <w:t>坚持公平竞争、诚实守信的原则，与</w:t>
      </w:r>
      <w:r>
        <w:rPr>
          <w:rFonts w:hint="eastAsia" w:ascii="Times New Roman" w:hAnsi="Times New Roman" w:eastAsia="仿宋_GB2312" w:cs="仿宋_GB2312"/>
          <w:color w:val="000000" w:themeColor="text1"/>
          <w:sz w:val="32"/>
          <w:szCs w:val="32"/>
          <w:lang w:eastAsia="zh-CN"/>
          <w14:textFill>
            <w14:solidFill>
              <w14:schemeClr w14:val="tx1"/>
            </w14:solidFill>
          </w14:textFill>
        </w:rPr>
        <w:t>医疗卫生机构</w:t>
      </w:r>
      <w:r>
        <w:rPr>
          <w:rFonts w:hint="eastAsia" w:ascii="Times New Roman" w:hAnsi="Times New Roman" w:eastAsia="仿宋_GB2312" w:cs="仿宋_GB2312"/>
          <w:color w:val="000000" w:themeColor="text1"/>
          <w:sz w:val="32"/>
          <w:szCs w:val="32"/>
          <w14:textFill>
            <w14:solidFill>
              <w14:schemeClr w14:val="tx1"/>
            </w14:solidFill>
          </w14:textFill>
        </w:rPr>
        <w:t>的沟通、交流与合作应坚持科学严谨、公开透明，不得干预</w:t>
      </w:r>
      <w:r>
        <w:rPr>
          <w:rFonts w:hint="eastAsia" w:ascii="Times New Roman" w:hAnsi="Times New Roman" w:eastAsia="仿宋_GB2312" w:cs="仿宋_GB2312"/>
          <w:color w:val="000000" w:themeColor="text1"/>
          <w:sz w:val="32"/>
          <w:szCs w:val="32"/>
          <w:lang w:eastAsia="zh-CN"/>
          <w14:textFill>
            <w14:solidFill>
              <w14:schemeClr w14:val="tx1"/>
            </w14:solidFill>
          </w14:textFill>
        </w:rPr>
        <w:t>医疗卫生机构</w:t>
      </w:r>
      <w:r>
        <w:rPr>
          <w:rFonts w:hint="eastAsia" w:ascii="Times New Roman" w:hAnsi="Times New Roman" w:eastAsia="仿宋_GB2312" w:cs="仿宋_GB2312"/>
          <w:color w:val="000000" w:themeColor="text1"/>
          <w:sz w:val="32"/>
          <w:szCs w:val="32"/>
          <w14:textFill>
            <w14:solidFill>
              <w14:schemeClr w14:val="tx1"/>
            </w14:solidFill>
          </w14:textFill>
        </w:rPr>
        <w:t>及</w:t>
      </w:r>
      <w:r>
        <w:rPr>
          <w:rFonts w:hint="eastAsia" w:ascii="Times New Roman" w:hAnsi="Times New Roman" w:eastAsia="仿宋_GB2312" w:cs="仿宋_GB2312"/>
          <w:color w:val="000000" w:themeColor="text1"/>
          <w:sz w:val="32"/>
          <w:szCs w:val="32"/>
          <w:lang w:eastAsia="zh-CN"/>
          <w14:textFill>
            <w14:solidFill>
              <w14:schemeClr w14:val="tx1"/>
            </w14:solidFill>
          </w14:textFill>
        </w:rPr>
        <w:t>医疗卫生人员</w:t>
      </w:r>
      <w:r>
        <w:rPr>
          <w:rFonts w:hint="eastAsia" w:ascii="Times New Roman" w:hAnsi="Times New Roman" w:eastAsia="仿宋_GB2312" w:cs="仿宋_GB2312"/>
          <w:color w:val="000000" w:themeColor="text1"/>
          <w:sz w:val="32"/>
          <w:szCs w:val="32"/>
          <w14:textFill>
            <w14:solidFill>
              <w14:schemeClr w14:val="tx1"/>
            </w14:solidFill>
          </w14:textFill>
        </w:rPr>
        <w:t>正常的诊疗行为。</w:t>
      </w:r>
    </w:p>
    <w:p>
      <w:pPr>
        <w:pStyle w:val="15"/>
        <w:numPr>
          <w:ilvl w:val="0"/>
          <w:numId w:val="1"/>
        </w:numPr>
        <w:overflowPunct w:val="0"/>
        <w:adjustRightInd w:val="0"/>
        <w:snapToGrid w:val="0"/>
        <w:spacing w:line="598" w:lineRule="exact"/>
        <w:ind w:left="0" w:firstLine="64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 xml:space="preserve"> </w:t>
      </w:r>
      <w:r>
        <w:rPr>
          <w:rFonts w:hint="eastAsia" w:ascii="Times New Roman" w:hAnsi="Times New Roman" w:eastAsia="仿宋_GB2312" w:cs="仿宋_GB2312"/>
          <w:color w:val="000000" w:themeColor="text1"/>
          <w:sz w:val="32"/>
          <w:szCs w:val="32"/>
          <w:lang w:eastAsia="zh-CN"/>
          <w14:textFill>
            <w14:solidFill>
              <w14:schemeClr w14:val="tx1"/>
            </w14:solidFill>
          </w14:textFill>
        </w:rPr>
        <w:t>本指引旨在为</w:t>
      </w:r>
      <w:r>
        <w:rPr>
          <w:rFonts w:hint="eastAsia" w:ascii="Times New Roman" w:hAnsi="Times New Roman" w:eastAsia="仿宋_GB2312" w:cs="仿宋_GB2312"/>
          <w:color w:val="000000" w:themeColor="text1"/>
          <w:sz w:val="32"/>
          <w:szCs w:val="32"/>
          <w14:textFill>
            <w14:solidFill>
              <w14:schemeClr w14:val="tx1"/>
            </w14:solidFill>
          </w14:textFill>
        </w:rPr>
        <w:t>中华人民共和国境内从事医药产品研发、生产、流通等活动的医药企业及相关第三方</w:t>
      </w:r>
      <w:r>
        <w:rPr>
          <w:rFonts w:hint="eastAsia" w:ascii="Times New Roman" w:hAnsi="Times New Roman" w:eastAsia="仿宋_GB2312" w:cs="仿宋_GB2312"/>
          <w:color w:val="000000" w:themeColor="text1"/>
          <w:sz w:val="32"/>
          <w:szCs w:val="32"/>
          <w:lang w:eastAsia="zh-CN"/>
          <w14:textFill>
            <w14:solidFill>
              <w14:schemeClr w14:val="tx1"/>
            </w14:solidFill>
          </w14:textFill>
        </w:rPr>
        <w:t>提供参考。鼓励</w:t>
      </w:r>
      <w:r>
        <w:rPr>
          <w:rFonts w:hint="eastAsia" w:ascii="Times New Roman" w:hAnsi="Times New Roman" w:eastAsia="仿宋_GB2312" w:cs="仿宋_GB2312"/>
          <w:b w:val="0"/>
          <w:bCs w:val="0"/>
          <w:color w:val="000000" w:themeColor="text1"/>
          <w:sz w:val="32"/>
          <w:szCs w:val="32"/>
          <w14:textFill>
            <w14:solidFill>
              <w14:schemeClr w14:val="tx1"/>
            </w14:solidFill>
          </w14:textFill>
          <w14:ligatures w14:val="none"/>
        </w:rPr>
        <w:t>大中型</w:t>
      </w:r>
      <w:r>
        <w:rPr>
          <w:rFonts w:hint="eastAsia" w:ascii="Times New Roman" w:hAnsi="Times New Roman" w:eastAsia="仿宋_GB2312" w:cs="仿宋_GB2312"/>
          <w:color w:val="000000" w:themeColor="text1"/>
          <w:sz w:val="32"/>
          <w:szCs w:val="32"/>
          <w14:textFill>
            <w14:solidFill>
              <w14:schemeClr w14:val="tx1"/>
            </w14:solidFill>
          </w14:textFill>
        </w:rPr>
        <w:t>医药企业及相关第三方</w:t>
      </w:r>
      <w:r>
        <w:rPr>
          <w:rFonts w:hint="eastAsia" w:ascii="Times New Roman" w:hAnsi="Times New Roman" w:eastAsia="仿宋_GB2312" w:cs="仿宋_GB2312"/>
          <w:color w:val="000000" w:themeColor="text1"/>
          <w:sz w:val="32"/>
          <w:szCs w:val="32"/>
          <w:lang w:eastAsia="zh-CN"/>
          <w14:textFill>
            <w14:solidFill>
              <w14:schemeClr w14:val="tx1"/>
            </w14:solidFill>
          </w14:textFill>
        </w:rPr>
        <w:t>依据本指引建立完备的</w:t>
      </w:r>
      <w:r>
        <w:rPr>
          <w:rFonts w:hint="eastAsia" w:ascii="Times New Roman" w:hAnsi="Times New Roman" w:eastAsia="仿宋_GB2312" w:cs="仿宋_GB2312"/>
          <w:color w:val="000000" w:themeColor="text1"/>
          <w:sz w:val="32"/>
          <w:szCs w:val="32"/>
          <w14:textFill>
            <w14:solidFill>
              <w14:schemeClr w14:val="tx1"/>
            </w14:solidFill>
          </w14:textFill>
        </w:rPr>
        <w:t>防范商业贿赂风险合规管理</w:t>
      </w:r>
      <w:r>
        <w:rPr>
          <w:rFonts w:hint="eastAsia" w:ascii="Times New Roman" w:hAnsi="Times New Roman" w:eastAsia="仿宋_GB2312" w:cs="仿宋_GB2312"/>
          <w:color w:val="000000" w:themeColor="text1"/>
          <w:sz w:val="32"/>
          <w:szCs w:val="32"/>
          <w:lang w:eastAsia="zh-CN"/>
          <w14:textFill>
            <w14:solidFill>
              <w14:schemeClr w14:val="tx1"/>
            </w14:solidFill>
          </w14:textFill>
        </w:rPr>
        <w:t>体系，</w:t>
      </w:r>
      <w:r>
        <w:rPr>
          <w:rFonts w:hint="eastAsia" w:ascii="Times New Roman" w:hAnsi="Times New Roman" w:eastAsia="仿宋_GB2312" w:cs="仿宋_GB2312"/>
          <w:b w:val="0"/>
          <w:bCs w:val="0"/>
          <w:color w:val="000000" w:themeColor="text1"/>
          <w:sz w:val="32"/>
          <w:szCs w:val="32"/>
          <w14:textFill>
            <w14:solidFill>
              <w14:schemeClr w14:val="tx1"/>
            </w14:solidFill>
          </w14:textFill>
        </w:rPr>
        <w:t>小</w:t>
      </w:r>
      <w:r>
        <w:rPr>
          <w:rFonts w:hint="eastAsia" w:ascii="Times New Roman" w:hAnsi="Times New Roman" w:eastAsia="仿宋_GB2312" w:cs="仿宋_GB2312"/>
          <w:b w:val="0"/>
          <w:bCs w:val="0"/>
          <w:color w:val="000000" w:themeColor="text1"/>
          <w:sz w:val="32"/>
          <w:szCs w:val="32"/>
          <w:lang w:eastAsia="zh-CN"/>
          <w14:textFill>
            <w14:solidFill>
              <w14:schemeClr w14:val="tx1"/>
            </w14:solidFill>
          </w14:textFill>
        </w:rPr>
        <w:t>型医药</w:t>
      </w:r>
      <w:r>
        <w:rPr>
          <w:rFonts w:hint="eastAsia" w:ascii="Times New Roman" w:hAnsi="Times New Roman" w:eastAsia="仿宋_GB2312" w:cs="仿宋_GB2312"/>
          <w:b w:val="0"/>
          <w:bCs w:val="0"/>
          <w:color w:val="000000" w:themeColor="text1"/>
          <w:sz w:val="32"/>
          <w:szCs w:val="32"/>
          <w14:textFill>
            <w14:solidFill>
              <w14:schemeClr w14:val="tx1"/>
            </w14:solidFill>
          </w14:textFill>
        </w:rPr>
        <w:t>企业</w:t>
      </w:r>
      <w:r>
        <w:rPr>
          <w:rFonts w:hint="eastAsia" w:ascii="Times New Roman" w:hAnsi="Times New Roman" w:eastAsia="仿宋_GB2312" w:cs="仿宋_GB2312"/>
          <w:color w:val="000000" w:themeColor="text1"/>
          <w:sz w:val="32"/>
          <w:szCs w:val="32"/>
          <w14:textFill>
            <w14:solidFill>
              <w14:schemeClr w14:val="tx1"/>
            </w14:solidFill>
          </w14:textFill>
        </w:rPr>
        <w:t>可以</w:t>
      </w:r>
      <w:r>
        <w:rPr>
          <w:rFonts w:hint="eastAsia" w:ascii="Times New Roman" w:hAnsi="Times New Roman" w:eastAsia="仿宋_GB2312" w:cs="仿宋_GB2312"/>
          <w:b w:val="0"/>
          <w:bCs w:val="0"/>
          <w:color w:val="000000" w:themeColor="text1"/>
          <w:sz w:val="32"/>
          <w:szCs w:val="32"/>
          <w14:textFill>
            <w14:solidFill>
              <w14:schemeClr w14:val="tx1"/>
            </w14:solidFill>
          </w14:textFill>
        </w:rPr>
        <w:t>参照</w:t>
      </w:r>
      <w:r>
        <w:rPr>
          <w:rFonts w:hint="eastAsia" w:ascii="Times New Roman" w:hAnsi="Times New Roman" w:eastAsia="仿宋_GB2312" w:cs="仿宋_GB2312"/>
          <w:b w:val="0"/>
          <w:bCs w:val="0"/>
          <w:color w:val="000000" w:themeColor="text1"/>
          <w:sz w:val="32"/>
          <w:szCs w:val="32"/>
          <w:lang w:eastAsia="zh-CN"/>
          <w14:textFill>
            <w14:solidFill>
              <w14:schemeClr w14:val="tx1"/>
            </w14:solidFill>
          </w14:textFill>
        </w:rPr>
        <w:t>本指引开展商业贿赂风险合规管理工作</w:t>
      </w:r>
      <w:r>
        <w:rPr>
          <w:rFonts w:hint="eastAsia" w:ascii="Times New Roman" w:hAnsi="Times New Roman" w:eastAsia="仿宋_GB2312" w:cs="仿宋_GB2312"/>
          <w:color w:val="000000" w:themeColor="text1"/>
          <w:sz w:val="32"/>
          <w:szCs w:val="32"/>
          <w14:textFill>
            <w14:solidFill>
              <w14:schemeClr w14:val="tx1"/>
            </w14:solidFill>
          </w14:textFill>
        </w:rPr>
        <w:t>。大中</w:t>
      </w:r>
      <w:r>
        <w:rPr>
          <w:rFonts w:hint="eastAsia" w:ascii="Times New Roman" w:hAnsi="Times New Roman" w:eastAsia="仿宋_GB2312" w:cs="仿宋_GB2312"/>
          <w:color w:val="auto"/>
          <w:sz w:val="32"/>
          <w:szCs w:val="32"/>
        </w:rPr>
        <w:t>型企业和小</w:t>
      </w:r>
      <w:r>
        <w:rPr>
          <w:rFonts w:hint="eastAsia" w:ascii="Times New Roman" w:hAnsi="Times New Roman" w:eastAsia="仿宋_GB2312" w:cs="仿宋_GB2312"/>
          <w:color w:val="auto"/>
          <w:sz w:val="32"/>
          <w:szCs w:val="32"/>
          <w:lang w:eastAsia="zh-CN"/>
        </w:rPr>
        <w:t>型</w:t>
      </w:r>
      <w:r>
        <w:rPr>
          <w:rFonts w:hint="eastAsia" w:ascii="Times New Roman" w:hAnsi="Times New Roman" w:eastAsia="仿宋_GB2312" w:cs="仿宋_GB2312"/>
          <w:color w:val="auto"/>
          <w:sz w:val="32"/>
          <w:szCs w:val="32"/>
        </w:rPr>
        <w:t>企业的划分</w:t>
      </w:r>
      <w:r>
        <w:rPr>
          <w:rFonts w:hint="eastAsia" w:ascii="Times New Roman" w:hAnsi="Times New Roman" w:eastAsia="仿宋_GB2312" w:cs="仿宋_GB2312"/>
          <w:color w:val="000000" w:themeColor="text1"/>
          <w:sz w:val="32"/>
          <w:szCs w:val="32"/>
          <w14:textFill>
            <w14:solidFill>
              <w14:schemeClr w14:val="tx1"/>
            </w14:solidFill>
          </w14:textFill>
        </w:rPr>
        <w:t>标准根据国家有关规定执行。</w:t>
      </w:r>
    </w:p>
    <w:p>
      <w:pPr>
        <w:pStyle w:val="15"/>
        <w:numPr>
          <w:ilvl w:val="0"/>
          <w:numId w:val="1"/>
        </w:numPr>
        <w:overflowPunct w:val="0"/>
        <w:adjustRightInd w:val="0"/>
        <w:snapToGrid w:val="0"/>
        <w:spacing w:line="598" w:lineRule="exact"/>
        <w:ind w:left="0" w:firstLine="64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 xml:space="preserve"> </w:t>
      </w:r>
      <w:r>
        <w:rPr>
          <w:rFonts w:hint="eastAsia" w:ascii="Times New Roman" w:hAnsi="Times New Roman" w:eastAsia="仿宋_GB2312" w:cs="仿宋_GB2312"/>
          <w:color w:val="000000" w:themeColor="text1"/>
          <w:sz w:val="32"/>
          <w:szCs w:val="32"/>
          <w14:textFill>
            <w14:solidFill>
              <w14:schemeClr w14:val="tx1"/>
            </w14:solidFill>
          </w14:textFill>
        </w:rPr>
        <w:t>本指引所称的医药产品，包括药品和医疗器械。</w:t>
      </w:r>
    </w:p>
    <w:p>
      <w:pPr>
        <w:overflowPunct w:val="0"/>
        <w:adjustRightInd w:val="0"/>
        <w:snapToGrid w:val="0"/>
        <w:spacing w:line="598" w:lineRule="exact"/>
        <w:ind w:firstLine="640" w:firstLineChars="200"/>
        <w:rPr>
          <w:rFonts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本指引所称的医药企业，是指从事医药产品研</w:t>
      </w:r>
      <w:r>
        <w:rPr>
          <w:rFonts w:ascii="Times New Roman" w:hAnsi="Times New Roman" w:eastAsia="仿宋_GB2312" w:cs="仿宋_GB2312"/>
          <w:color w:val="000000" w:themeColor="text1"/>
          <w:sz w:val="32"/>
          <w:szCs w:val="32"/>
          <w14:textFill>
            <w14:solidFill>
              <w14:schemeClr w14:val="tx1"/>
            </w14:solidFill>
          </w14:textFill>
        </w:rPr>
        <w:t>发</w:t>
      </w:r>
      <w:r>
        <w:rPr>
          <w:rFonts w:hint="eastAsia" w:ascii="Times New Roman" w:hAnsi="Times New Roman" w:eastAsia="仿宋_GB2312" w:cs="仿宋_GB2312"/>
          <w:color w:val="000000" w:themeColor="text1"/>
          <w:sz w:val="32"/>
          <w:szCs w:val="32"/>
          <w14:textFill>
            <w14:solidFill>
              <w14:schemeClr w14:val="tx1"/>
            </w14:solidFill>
          </w14:textFill>
        </w:rPr>
        <w:t>、生产、流通等活动的法人，包括但不限于药品上市许可持有人、医疗器械注册人（</w:t>
      </w:r>
      <w:r>
        <w:rPr>
          <w:rFonts w:ascii="Times New Roman" w:hAnsi="Times New Roman" w:eastAsia="仿宋_GB2312" w:cs="仿宋_GB2312"/>
          <w:color w:val="000000" w:themeColor="text1"/>
          <w:sz w:val="32"/>
          <w:szCs w:val="32"/>
          <w14:textFill>
            <w14:solidFill>
              <w14:schemeClr w14:val="tx1"/>
            </w14:solidFill>
          </w14:textFill>
        </w:rPr>
        <w:t>备案人）</w:t>
      </w:r>
      <w:r>
        <w:rPr>
          <w:rFonts w:hint="eastAsia" w:ascii="Times New Roman" w:hAnsi="Times New Roman" w:eastAsia="仿宋_GB2312" w:cs="仿宋_GB2312"/>
          <w:color w:val="000000" w:themeColor="text1"/>
          <w:sz w:val="32"/>
          <w:szCs w:val="32"/>
          <w14:textFill>
            <w14:solidFill>
              <w14:schemeClr w14:val="tx1"/>
            </w14:solidFill>
          </w14:textFill>
        </w:rPr>
        <w:t>、医药产品生产企业、医药产品商业流通企业</w:t>
      </w:r>
      <w:r>
        <w:rPr>
          <w:rFonts w:hint="eastAsia" w:ascii="Times New Roman" w:hAnsi="Times New Roman" w:eastAsia="仿宋_GB2312" w:cs="仿宋_GB2312"/>
          <w:color w:val="000000" w:themeColor="text1"/>
          <w:sz w:val="32"/>
          <w:szCs w:val="32"/>
          <w:lang w:eastAsia="zh-CN"/>
          <w14:textFill>
            <w14:solidFill>
              <w14:schemeClr w14:val="tx1"/>
            </w14:solidFill>
          </w14:textFill>
        </w:rPr>
        <w:t>、境外药品上市许可持有人指定的境内企业法人、进口医疗器械注册人（备案人）指定的境内企业法人</w:t>
      </w:r>
      <w:r>
        <w:rPr>
          <w:rFonts w:hint="eastAsia" w:ascii="Times New Roman" w:hAnsi="Times New Roman" w:eastAsia="仿宋_GB2312" w:cs="仿宋_GB2312"/>
          <w:color w:val="000000" w:themeColor="text1"/>
          <w:sz w:val="32"/>
          <w:szCs w:val="32"/>
          <w14:textFill>
            <w14:solidFill>
              <w14:schemeClr w14:val="tx1"/>
            </w14:solidFill>
          </w14:textFill>
        </w:rPr>
        <w:t>等。</w:t>
      </w:r>
    </w:p>
    <w:p>
      <w:pPr>
        <w:overflowPunct w:val="0"/>
        <w:adjustRightInd w:val="0"/>
        <w:snapToGrid w:val="0"/>
        <w:spacing w:line="598" w:lineRule="exact"/>
        <w:ind w:firstLine="640" w:firstLineChars="20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本指引所称的第三方，是指代表医药企业行事或者向医药企业提供货物或者服务的个人、法人或者非法人组织，包括但不限于</w:t>
      </w:r>
      <w:r>
        <w:rPr>
          <w:rFonts w:hint="eastAsia" w:ascii="Times New Roman" w:hAnsi="Times New Roman" w:eastAsia="仿宋_GB2312" w:cs="仿宋_GB2312"/>
          <w:color w:val="000000" w:themeColor="text1"/>
          <w:sz w:val="32"/>
          <w:szCs w:val="32"/>
          <w:lang w:eastAsia="zh-CN"/>
          <w14:textFill>
            <w14:solidFill>
              <w14:schemeClr w14:val="tx1"/>
            </w14:solidFill>
          </w14:textFill>
        </w:rPr>
        <w:t>医药产品委托研究机构</w:t>
      </w:r>
      <w:r>
        <w:rPr>
          <w:rFonts w:hint="eastAsia" w:ascii="Times New Roman" w:hAnsi="Times New Roman" w:eastAsia="仿宋_GB2312" w:cs="仿宋_GB2312"/>
          <w:color w:val="000000" w:themeColor="text1"/>
          <w:sz w:val="32"/>
          <w:szCs w:val="32"/>
          <w14:textFill>
            <w14:solidFill>
              <w14:schemeClr w14:val="tx1"/>
            </w14:solidFill>
          </w14:textFill>
        </w:rPr>
        <w:t>、医药产品</w:t>
      </w:r>
      <w:r>
        <w:rPr>
          <w:rFonts w:hint="eastAsia" w:ascii="Times New Roman" w:hAnsi="Times New Roman" w:eastAsia="仿宋_GB2312" w:cs="仿宋_GB2312"/>
          <w:color w:val="000000" w:themeColor="text1"/>
          <w:sz w:val="32"/>
          <w:szCs w:val="32"/>
          <w:lang w:eastAsia="zh-CN"/>
          <w14:textFill>
            <w14:solidFill>
              <w14:schemeClr w14:val="tx1"/>
            </w14:solidFill>
          </w14:textFill>
        </w:rPr>
        <w:t>委托</w:t>
      </w:r>
      <w:r>
        <w:rPr>
          <w:rFonts w:hint="eastAsia" w:ascii="Times New Roman" w:hAnsi="Times New Roman" w:eastAsia="仿宋_GB2312" w:cs="仿宋_GB2312"/>
          <w:color w:val="000000" w:themeColor="text1"/>
          <w:sz w:val="32"/>
          <w:szCs w:val="32"/>
          <w14:textFill>
            <w14:solidFill>
              <w14:schemeClr w14:val="tx1"/>
            </w14:solidFill>
          </w14:textFill>
        </w:rPr>
        <w:t>生产组织、医药产品</w:t>
      </w:r>
      <w:r>
        <w:rPr>
          <w:rFonts w:hint="eastAsia" w:ascii="Times New Roman" w:hAnsi="Times New Roman" w:eastAsia="仿宋_GB2312" w:cs="仿宋_GB2312"/>
          <w:color w:val="000000" w:themeColor="text1"/>
          <w:sz w:val="32"/>
          <w:szCs w:val="32"/>
          <w:lang w:eastAsia="zh-CN"/>
          <w14:textFill>
            <w14:solidFill>
              <w14:schemeClr w14:val="tx1"/>
            </w14:solidFill>
          </w14:textFill>
        </w:rPr>
        <w:t>推广服务商</w:t>
      </w:r>
      <w:r>
        <w:rPr>
          <w:rFonts w:hint="eastAsia" w:ascii="Times New Roman" w:hAnsi="Times New Roman" w:eastAsia="仿宋_GB2312" w:cs="仿宋_GB2312"/>
          <w:color w:val="000000" w:themeColor="text1"/>
          <w:sz w:val="32"/>
          <w:szCs w:val="32"/>
          <w14:textFill>
            <w14:solidFill>
              <w14:schemeClr w14:val="tx1"/>
            </w14:solidFill>
          </w14:textFill>
        </w:rPr>
        <w:t>、相关专业学会行业协会、经销商、供应商、配送商、</w:t>
      </w:r>
      <w:r>
        <w:rPr>
          <w:rFonts w:hint="eastAsia" w:ascii="Times New Roman" w:hAnsi="Times New Roman" w:eastAsia="仿宋_GB2312" w:cs="仿宋_GB2312"/>
          <w:color w:val="auto"/>
          <w:sz w:val="32"/>
          <w:szCs w:val="32"/>
          <w:lang w:eastAsia="zh-CN"/>
        </w:rPr>
        <w:t>中间人</w:t>
      </w:r>
      <w:r>
        <w:rPr>
          <w:rFonts w:hint="eastAsia" w:ascii="Times New Roman" w:hAnsi="Times New Roman" w:eastAsia="仿宋_GB2312" w:cs="仿宋_GB2312"/>
          <w:color w:val="000000" w:themeColor="text1"/>
          <w:sz w:val="32"/>
          <w:szCs w:val="32"/>
          <w14:textFill>
            <w14:solidFill>
              <w14:schemeClr w14:val="tx1"/>
            </w14:solidFill>
          </w14:textFill>
        </w:rPr>
        <w:t>、代理人等。</w:t>
      </w:r>
    </w:p>
    <w:p>
      <w:pPr>
        <w:overflowPunct w:val="0"/>
        <w:adjustRightInd w:val="0"/>
        <w:snapToGrid w:val="0"/>
        <w:spacing w:line="598" w:lineRule="exact"/>
        <w:ind w:firstLine="640" w:firstLineChars="200"/>
        <w:rPr>
          <w:rFonts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本指引所称的商业贿赂，是指采用财物或者其他手段贿赂交易相对方的工作人员、受交易相对方委托办理相关事务的单位或者个人、利用职权或者影响力影响交易的单位或者个人，以谋取交易机会或者竞争优势的行为。</w:t>
      </w:r>
    </w:p>
    <w:p>
      <w:pPr>
        <w:pStyle w:val="15"/>
        <w:numPr>
          <w:ilvl w:val="0"/>
          <w:numId w:val="1"/>
        </w:numPr>
        <w:overflowPunct w:val="0"/>
        <w:adjustRightInd w:val="0"/>
        <w:snapToGrid w:val="0"/>
        <w:spacing w:line="598" w:lineRule="exact"/>
        <w:ind w:left="0" w:firstLine="64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 xml:space="preserve"> </w:t>
      </w:r>
      <w:r>
        <w:rPr>
          <w:rFonts w:hint="eastAsia" w:ascii="Times New Roman" w:hAnsi="Times New Roman" w:eastAsia="仿宋_GB2312" w:cs="仿宋_GB2312"/>
          <w:color w:val="000000" w:themeColor="text1"/>
          <w:sz w:val="32"/>
          <w:szCs w:val="32"/>
          <w14:textFill>
            <w14:solidFill>
              <w14:schemeClr w14:val="tx1"/>
            </w14:solidFill>
          </w14:textFill>
        </w:rPr>
        <w:t>医药企业是防范自身商业贿赂风险的第一责任人，应当落实主体责任，加强防范商业贿赂风险的内部控制与合规管理，自觉抵制商业贿赂行为。倡导医药企业引入专业机构对自身防范商业贿赂风险合规管理体系建设、执行情况开展评价。</w:t>
      </w:r>
    </w:p>
    <w:p>
      <w:pPr>
        <w:pStyle w:val="15"/>
        <w:numPr>
          <w:ilvl w:val="-1"/>
          <w:numId w:val="0"/>
        </w:numPr>
        <w:overflowPunct w:val="0"/>
        <w:adjustRightInd w:val="0"/>
        <w:snapToGrid w:val="0"/>
        <w:spacing w:line="598" w:lineRule="exact"/>
        <w:ind w:left="0" w:leftChars="0" w:firstLine="64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lang w:eastAsia="zh-CN"/>
          <w14:textFill>
            <w14:solidFill>
              <w14:schemeClr w14:val="tx1"/>
            </w14:solidFill>
          </w14:textFill>
        </w:rPr>
        <w:t>国有医药企业及工作人员应当严格遵守法律法规和廉洁从业相关规定。</w:t>
      </w:r>
    </w:p>
    <w:p>
      <w:pPr>
        <w:overflowPunct w:val="0"/>
        <w:adjustRightInd w:val="0"/>
        <w:snapToGrid w:val="0"/>
        <w:spacing w:line="598" w:lineRule="exact"/>
        <w:ind w:firstLine="640" w:firstLineChars="200"/>
        <w:rPr>
          <w:rFonts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行业协会和专业学会等组织应当在政府部门指导下，加强行业自律，建立健全行业规范，推动行业防范商业贿赂风险合规管理体系建设，引导和督促医药企业依法开展生产经营等活动，配合、协助</w:t>
      </w:r>
      <w:r>
        <w:rPr>
          <w:rFonts w:hint="eastAsia" w:ascii="Times New Roman" w:hAnsi="Times New Roman" w:eastAsia="仿宋_GB2312" w:cs="仿宋_GB2312"/>
          <w:color w:val="000000" w:themeColor="text1"/>
          <w:sz w:val="32"/>
          <w:szCs w:val="32"/>
          <w:lang w:eastAsia="zh-CN"/>
          <w14:textFill>
            <w14:solidFill>
              <w14:schemeClr w14:val="tx1"/>
            </w14:solidFill>
          </w14:textFill>
        </w:rPr>
        <w:t>市场监管部门</w:t>
      </w:r>
      <w:r>
        <w:rPr>
          <w:rFonts w:hint="eastAsia" w:ascii="Times New Roman" w:hAnsi="Times New Roman" w:eastAsia="仿宋_GB2312" w:cs="仿宋_GB2312"/>
          <w:color w:val="000000" w:themeColor="text1"/>
          <w:sz w:val="32"/>
          <w:szCs w:val="32"/>
          <w14:textFill>
            <w14:solidFill>
              <w14:schemeClr w14:val="tx1"/>
            </w14:solidFill>
          </w14:textFill>
        </w:rPr>
        <w:t>查处商业贿赂行为。</w:t>
      </w:r>
    </w:p>
    <w:p>
      <w:pPr>
        <w:overflowPunct w:val="0"/>
        <w:adjustRightInd w:val="0"/>
        <w:snapToGrid w:val="0"/>
        <w:spacing w:line="598" w:lineRule="exact"/>
        <w:ind w:firstLine="640" w:firstLineChars="20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鼓励医药企业等组织、人员和社会公众对医药行业商业贿赂行为进行监督、举报，推动社会共治。</w:t>
      </w:r>
    </w:p>
    <w:p>
      <w:pPr>
        <w:overflowPunct w:val="0"/>
        <w:adjustRightInd w:val="0"/>
        <w:snapToGrid w:val="0"/>
        <w:spacing w:line="598" w:lineRule="exact"/>
        <w:ind w:firstLine="640" w:firstLineChars="20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lang w:eastAsia="zh-CN"/>
          <w14:textFill>
            <w14:solidFill>
              <w14:schemeClr w14:val="tx1"/>
            </w14:solidFill>
          </w14:textFill>
        </w:rPr>
        <w:t>鼓励医疗卫生机构参照本指引的规定</w:t>
      </w:r>
      <w:r>
        <w:rPr>
          <w:rFonts w:hint="eastAsia" w:ascii="Times New Roman" w:hAnsi="Times New Roman" w:eastAsia="仿宋_GB2312" w:cs="仿宋_GB2312"/>
          <w:color w:val="000000" w:themeColor="text1"/>
          <w:sz w:val="32"/>
          <w:szCs w:val="32"/>
          <w14:textFill>
            <w14:solidFill>
              <w14:schemeClr w14:val="tx1"/>
            </w14:solidFill>
          </w14:textFill>
        </w:rPr>
        <w:t>制定配套措施</w:t>
      </w:r>
      <w:r>
        <w:rPr>
          <w:rFonts w:hint="eastAsia" w:ascii="Times New Roman" w:hAnsi="Times New Roman" w:eastAsia="仿宋_GB2312" w:cs="仿宋_GB2312"/>
          <w:color w:val="000000" w:themeColor="text1"/>
          <w:sz w:val="32"/>
          <w:szCs w:val="32"/>
          <w:lang w:eastAsia="zh-CN"/>
          <w14:textFill>
            <w14:solidFill>
              <w14:schemeClr w14:val="tx1"/>
            </w14:solidFill>
          </w14:textFill>
        </w:rPr>
        <w:t>，</w:t>
      </w:r>
      <w:r>
        <w:rPr>
          <w:rFonts w:hint="eastAsia" w:ascii="Times New Roman" w:hAnsi="Times New Roman" w:eastAsia="仿宋_GB2312" w:cs="仿宋_GB2312"/>
          <w:color w:val="000000" w:themeColor="text1"/>
          <w:sz w:val="32"/>
          <w:szCs w:val="32"/>
          <w14:textFill>
            <w14:solidFill>
              <w14:schemeClr w14:val="tx1"/>
            </w14:solidFill>
          </w14:textFill>
        </w:rPr>
        <w:t>共同推动医药企业</w:t>
      </w:r>
      <w:r>
        <w:rPr>
          <w:rFonts w:hint="eastAsia" w:ascii="Times New Roman" w:hAnsi="Times New Roman" w:eastAsia="仿宋_GB2312" w:cs="仿宋_GB2312"/>
          <w:color w:val="000000" w:themeColor="text1"/>
          <w:sz w:val="32"/>
          <w:szCs w:val="32"/>
          <w:lang w:eastAsia="zh-CN"/>
          <w14:textFill>
            <w14:solidFill>
              <w14:schemeClr w14:val="tx1"/>
            </w14:solidFill>
          </w14:textFill>
        </w:rPr>
        <w:t>防范商业贿赂风险</w:t>
      </w:r>
      <w:r>
        <w:rPr>
          <w:rFonts w:hint="eastAsia" w:ascii="Times New Roman" w:hAnsi="Times New Roman" w:eastAsia="仿宋_GB2312" w:cs="仿宋_GB2312"/>
          <w:color w:val="000000" w:themeColor="text1"/>
          <w:sz w:val="32"/>
          <w:szCs w:val="32"/>
          <w14:textFill>
            <w14:solidFill>
              <w14:schemeClr w14:val="tx1"/>
            </w14:solidFill>
          </w14:textFill>
        </w:rPr>
        <w:t>合规</w:t>
      </w:r>
      <w:r>
        <w:rPr>
          <w:rFonts w:hint="eastAsia" w:ascii="Times New Roman" w:hAnsi="Times New Roman" w:eastAsia="仿宋_GB2312" w:cs="仿宋_GB2312"/>
          <w:color w:val="000000" w:themeColor="text1"/>
          <w:sz w:val="32"/>
          <w:szCs w:val="32"/>
          <w:lang w:eastAsia="zh-CN"/>
          <w14:textFill>
            <w14:solidFill>
              <w14:schemeClr w14:val="tx1"/>
            </w14:solidFill>
          </w14:textFill>
        </w:rPr>
        <w:t>管理</w:t>
      </w:r>
      <w:r>
        <w:rPr>
          <w:rFonts w:hint="eastAsia" w:ascii="Times New Roman" w:hAnsi="Times New Roman" w:eastAsia="仿宋_GB2312" w:cs="仿宋_GB2312"/>
          <w:color w:val="000000" w:themeColor="text1"/>
          <w:sz w:val="32"/>
          <w:szCs w:val="32"/>
          <w14:textFill>
            <w14:solidFill>
              <w14:schemeClr w14:val="tx1"/>
            </w14:solidFill>
          </w14:textFill>
        </w:rPr>
        <w:t>工作有序开展。</w:t>
      </w:r>
    </w:p>
    <w:p>
      <w:pPr>
        <w:overflowPunct w:val="0"/>
        <w:adjustRightInd w:val="0"/>
        <w:snapToGrid w:val="0"/>
        <w:spacing w:line="598" w:lineRule="exact"/>
        <w:ind w:firstLine="640" w:firstLineChars="20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lang w:eastAsia="zh-CN"/>
          <w14:textFill>
            <w14:solidFill>
              <w14:schemeClr w14:val="tx1"/>
            </w14:solidFill>
          </w14:textFill>
        </w:rPr>
        <w:t>市场监管部门</w:t>
      </w:r>
      <w:r>
        <w:rPr>
          <w:rFonts w:hint="eastAsia" w:ascii="Times New Roman" w:hAnsi="Times New Roman" w:eastAsia="仿宋_GB2312" w:cs="仿宋_GB2312"/>
          <w:color w:val="000000" w:themeColor="text1"/>
          <w:sz w:val="32"/>
          <w:szCs w:val="32"/>
          <w14:textFill>
            <w14:solidFill>
              <w14:schemeClr w14:val="tx1"/>
            </w14:solidFill>
          </w14:textFill>
        </w:rPr>
        <w:t>根据法律、行政法规规定，负责职责范围内医药企业商业贿赂行为的查处工作，对医药企业开展商业竞争进行事前指引，对医药企业建立防范商业贿赂风险合规制度及执行进行指导监督。</w:t>
      </w:r>
    </w:p>
    <w:p>
      <w:pPr>
        <w:overflowPunct w:val="0"/>
        <w:adjustRightInd w:val="0"/>
        <w:snapToGrid w:val="0"/>
        <w:spacing w:line="598" w:lineRule="exact"/>
        <w:ind w:firstLine="640" w:firstLineChars="200"/>
        <w:rPr>
          <w:rFonts w:hint="eastAsia" w:ascii="Times New Roman" w:hAnsi="Times New Roman" w:eastAsia="仿宋_GB2312" w:cs="仿宋_GB2312"/>
          <w:color w:val="000000" w:themeColor="text1"/>
          <w:sz w:val="32"/>
          <w:szCs w:val="32"/>
          <w14:textFill>
            <w14:solidFill>
              <w14:schemeClr w14:val="tx1"/>
            </w14:solidFill>
          </w14:textFill>
        </w:rPr>
      </w:pPr>
    </w:p>
    <w:p>
      <w:pPr>
        <w:pStyle w:val="3"/>
        <w:keepNext w:val="0"/>
        <w:keepLines w:val="0"/>
        <w:overflowPunct w:val="0"/>
        <w:adjustRightInd w:val="0"/>
        <w:snapToGrid w:val="0"/>
        <w:spacing w:before="0" w:after="0" w:line="598" w:lineRule="exact"/>
        <w:ind w:firstLine="0" w:firstLineChars="0"/>
        <w:jc w:val="center"/>
        <w:outlineLvl w:val="0"/>
        <w:rPr>
          <w:rFonts w:hint="eastAsia" w:ascii="Times New Roman" w:hAnsi="Times New Roman" w:eastAsia="黑体" w:cs="黑体"/>
          <w:b w:val="0"/>
          <w:bCs w:val="0"/>
          <w:color w:val="000000" w:themeColor="text1"/>
          <w:sz w:val="32"/>
          <w:szCs w:val="32"/>
          <w14:textFill>
            <w14:solidFill>
              <w14:schemeClr w14:val="tx1"/>
            </w14:solidFill>
          </w14:textFill>
        </w:rPr>
      </w:pPr>
      <w:bookmarkStart w:id="2" w:name="_Toc153726506"/>
      <w:r>
        <w:rPr>
          <w:rFonts w:hint="eastAsia" w:ascii="Times New Roman" w:hAnsi="Times New Roman" w:eastAsia="黑体" w:cs="黑体"/>
          <w:b w:val="0"/>
          <w:bCs w:val="0"/>
          <w:color w:val="000000" w:themeColor="text1"/>
          <w:sz w:val="32"/>
          <w:szCs w:val="32"/>
          <w14:textFill>
            <w14:solidFill>
              <w14:schemeClr w14:val="tx1"/>
            </w14:solidFill>
          </w14:textFill>
        </w:rPr>
        <w:t>第二章 医药企业防范商业贿赂风险合规管理体系建设</w:t>
      </w:r>
      <w:bookmarkEnd w:id="2"/>
    </w:p>
    <w:p>
      <w:pPr>
        <w:pStyle w:val="3"/>
        <w:keepNext w:val="0"/>
        <w:keepLines w:val="0"/>
        <w:overflowPunct w:val="0"/>
        <w:adjustRightInd w:val="0"/>
        <w:snapToGrid w:val="0"/>
        <w:spacing w:before="0" w:after="0" w:line="598" w:lineRule="exact"/>
        <w:ind w:firstLine="640" w:firstLineChars="200"/>
        <w:jc w:val="both"/>
        <w:outlineLvl w:val="9"/>
        <w:rPr>
          <w:rFonts w:hint="eastAsia" w:ascii="Times New Roman" w:hAnsi="Times New Roman" w:eastAsia="黑体" w:cs="黑体"/>
          <w:b w:val="0"/>
          <w:bCs w:val="0"/>
          <w:color w:val="000000" w:themeColor="text1"/>
          <w:sz w:val="32"/>
          <w:szCs w:val="32"/>
          <w14:textFill>
            <w14:solidFill>
              <w14:schemeClr w14:val="tx1"/>
            </w14:solidFill>
          </w14:textFill>
        </w:rPr>
      </w:pPr>
    </w:p>
    <w:p>
      <w:pPr>
        <w:pStyle w:val="15"/>
        <w:numPr>
          <w:ilvl w:val="0"/>
          <w:numId w:val="1"/>
        </w:numPr>
        <w:overflowPunct w:val="0"/>
        <w:adjustRightInd w:val="0"/>
        <w:snapToGrid w:val="0"/>
        <w:spacing w:line="598" w:lineRule="exact"/>
        <w:ind w:left="0" w:firstLine="64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 xml:space="preserve"> </w:t>
      </w:r>
      <w:r>
        <w:rPr>
          <w:rFonts w:hint="eastAsia" w:ascii="Times New Roman" w:hAnsi="Times New Roman" w:eastAsia="仿宋_GB2312" w:cs="仿宋_GB2312"/>
          <w:color w:val="000000" w:themeColor="text1"/>
          <w:sz w:val="32"/>
          <w:szCs w:val="32"/>
          <w14:textFill>
            <w14:solidFill>
              <w14:schemeClr w14:val="tx1"/>
            </w14:solidFill>
          </w14:textFill>
        </w:rPr>
        <w:t>管理层的合规意识和支持是医药企业防范商业贿赂风险合规管理体系有效运行的重要保障。倡导医药企业最高管理层以身作则，积极推动防范商业贿赂风险合规管理体系建设，在组织机构和资源配置等方面提供充分支持。</w:t>
      </w:r>
    </w:p>
    <w:p>
      <w:pPr>
        <w:pStyle w:val="15"/>
        <w:numPr>
          <w:ilvl w:val="0"/>
          <w:numId w:val="1"/>
        </w:numPr>
        <w:overflowPunct w:val="0"/>
        <w:adjustRightInd w:val="0"/>
        <w:snapToGrid w:val="0"/>
        <w:spacing w:line="598" w:lineRule="exact"/>
        <w:ind w:left="0" w:firstLine="64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 xml:space="preserve"> </w:t>
      </w:r>
      <w:r>
        <w:rPr>
          <w:rFonts w:hint="eastAsia" w:ascii="Times New Roman" w:hAnsi="Times New Roman" w:eastAsia="仿宋_GB2312" w:cs="仿宋_GB2312"/>
          <w:color w:val="000000" w:themeColor="text1"/>
          <w:sz w:val="32"/>
          <w:szCs w:val="32"/>
          <w14:textFill>
            <w14:solidFill>
              <w14:schemeClr w14:val="tx1"/>
            </w14:solidFill>
          </w14:textFill>
        </w:rPr>
        <w:t>医药企业应当建立与其经营规模和运营模式相适的防范商业贿赂风险合规管理组织，配置合规管理人员。建立健全合规管理与法务管理、财务审计、内部控制、风险管理等协同运作机制，加强统筹协调，提高管理效能。合规管理组织的基本职责包括但不限于：</w:t>
      </w:r>
    </w:p>
    <w:p>
      <w:pPr>
        <w:overflowPunct w:val="0"/>
        <w:adjustRightInd w:val="0"/>
        <w:snapToGrid w:val="0"/>
        <w:spacing w:line="598" w:lineRule="exact"/>
        <w:ind w:firstLine="640" w:firstLineChars="20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（一）制定企业合规管理战略规划和管理计划;</w:t>
      </w:r>
    </w:p>
    <w:p>
      <w:pPr>
        <w:overflowPunct w:val="0"/>
        <w:adjustRightInd w:val="0"/>
        <w:snapToGrid w:val="0"/>
        <w:spacing w:line="598" w:lineRule="exact"/>
        <w:ind w:firstLine="640" w:firstLineChars="20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（二）识别、评估合规风险；</w:t>
      </w:r>
    </w:p>
    <w:p>
      <w:pPr>
        <w:overflowPunct w:val="0"/>
        <w:adjustRightInd w:val="0"/>
        <w:snapToGrid w:val="0"/>
        <w:spacing w:line="598" w:lineRule="exact"/>
        <w:ind w:firstLine="640" w:firstLineChars="20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（三）制定并实施企业内部合规管理制度和流程；</w:t>
      </w:r>
    </w:p>
    <w:p>
      <w:pPr>
        <w:overflowPunct w:val="0"/>
        <w:adjustRightInd w:val="0"/>
        <w:snapToGrid w:val="0"/>
        <w:spacing w:line="598" w:lineRule="exact"/>
        <w:ind w:firstLine="640" w:firstLineChars="20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（四）开展企业合规调查，处理合规举报；</w:t>
      </w:r>
    </w:p>
    <w:p>
      <w:pPr>
        <w:overflowPunct w:val="0"/>
        <w:adjustRightInd w:val="0"/>
        <w:snapToGrid w:val="0"/>
        <w:spacing w:line="598" w:lineRule="exact"/>
        <w:ind w:firstLine="640" w:firstLineChars="20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（五）监测企业合规管理体系的运行，开展评价、审计、优化等工作;</w:t>
      </w:r>
    </w:p>
    <w:p>
      <w:pPr>
        <w:overflowPunct w:val="0"/>
        <w:adjustRightInd w:val="0"/>
        <w:snapToGrid w:val="0"/>
        <w:spacing w:line="598" w:lineRule="exact"/>
        <w:ind w:firstLine="640" w:firstLineChars="20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（六）处理与外部监管方、合作方相关的合规事务；</w:t>
      </w:r>
    </w:p>
    <w:p>
      <w:pPr>
        <w:overflowPunct w:val="0"/>
        <w:adjustRightInd w:val="0"/>
        <w:snapToGrid w:val="0"/>
        <w:spacing w:line="598" w:lineRule="exact"/>
        <w:ind w:firstLine="640" w:firstLineChars="20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（七）开展企业合规咨询、合规培训、合规考核、合规宣传和合规文化建设。</w:t>
      </w:r>
    </w:p>
    <w:p>
      <w:pPr>
        <w:pStyle w:val="15"/>
        <w:numPr>
          <w:ilvl w:val="0"/>
          <w:numId w:val="1"/>
        </w:numPr>
        <w:overflowPunct w:val="0"/>
        <w:adjustRightInd w:val="0"/>
        <w:snapToGrid w:val="0"/>
        <w:spacing w:line="598" w:lineRule="exact"/>
        <w:ind w:left="0" w:firstLine="64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 xml:space="preserve"> </w:t>
      </w:r>
      <w:r>
        <w:rPr>
          <w:rFonts w:hint="eastAsia" w:ascii="Times New Roman" w:hAnsi="Times New Roman" w:eastAsia="仿宋_GB2312" w:cs="仿宋_GB2312"/>
          <w:color w:val="000000" w:themeColor="text1"/>
          <w:sz w:val="32"/>
          <w:szCs w:val="32"/>
          <w14:textFill>
            <w14:solidFill>
              <w14:schemeClr w14:val="tx1"/>
            </w14:solidFill>
          </w14:textFill>
        </w:rPr>
        <w:t>医药企业应当及时将合规要求转化为规章制度或行为规范，建立防范商业贿赂风险的合规管理制度。根据法律法规、监管政策等变化情况，及时对制度进行修订完善，对制度执行情况进行检查。鼓励医药企业将反商业贿赂的制度要求融入员工行为规范中，促进其对规则的理解与执行。</w:t>
      </w:r>
    </w:p>
    <w:p>
      <w:pPr>
        <w:pStyle w:val="15"/>
        <w:numPr>
          <w:ilvl w:val="0"/>
          <w:numId w:val="1"/>
        </w:numPr>
        <w:overflowPunct w:val="0"/>
        <w:adjustRightInd w:val="0"/>
        <w:snapToGrid w:val="0"/>
        <w:spacing w:line="598" w:lineRule="exact"/>
        <w:ind w:left="0" w:firstLine="64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 xml:space="preserve"> </w:t>
      </w:r>
      <w:r>
        <w:rPr>
          <w:rFonts w:hint="eastAsia" w:ascii="Times New Roman" w:hAnsi="Times New Roman" w:eastAsia="仿宋_GB2312" w:cs="仿宋_GB2312"/>
          <w:color w:val="000000" w:themeColor="text1"/>
          <w:sz w:val="32"/>
          <w:szCs w:val="32"/>
          <w14:textFill>
            <w14:solidFill>
              <w14:schemeClr w14:val="tx1"/>
            </w14:solidFill>
          </w14:textFill>
        </w:rPr>
        <w:t>医药企业应当基于防范商业贿赂风险的目标要求，建立</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健</w:t>
      </w:r>
      <w:r>
        <w:rPr>
          <w:rFonts w:hint="eastAsia" w:ascii="Times New Roman" w:hAnsi="Times New Roman" w:eastAsia="仿宋_GB2312" w:cs="仿宋_GB2312"/>
          <w:color w:val="000000" w:themeColor="text1"/>
          <w:sz w:val="32"/>
          <w:szCs w:val="32"/>
          <w14:textFill>
            <w14:solidFill>
              <w14:schemeClr w14:val="tx1"/>
            </w14:solidFill>
          </w14:textFill>
        </w:rPr>
        <w:t>全合规运行机制，通过体系化运行有效地预防和应对商业贿赂风险。</w:t>
      </w:r>
    </w:p>
    <w:p>
      <w:pPr>
        <w:overflowPunct w:val="0"/>
        <w:adjustRightInd w:val="0"/>
        <w:snapToGrid w:val="0"/>
        <w:spacing w:line="598" w:lineRule="exact"/>
        <w:ind w:firstLine="640" w:firstLineChars="20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一）医药企业应当建立商业贿赂风险识别评估机制，根据企业经营环境、业务特征及合作伙伴类型等合理确定商业贿赂高风险领域和岗位，全面梳理经营管理活动中的合规风险，形成商业贿赂风险清单；鼓励建立数据分析系统，用数据技术赋能风险监测与分析，促进对商业贿赂风险的有效识别，并对风险等级、影响范围、影响程度等进行评估</w:t>
      </w:r>
      <w:r>
        <w:rPr>
          <w:rFonts w:hint="eastAsia" w:ascii="Times New Roman" w:hAnsi="Times New Roman" w:eastAsia="仿宋_GB2312" w:cs="仿宋_GB2312"/>
          <w:color w:val="000000" w:themeColor="text1"/>
          <w:sz w:val="32"/>
          <w:szCs w:val="32"/>
          <w:lang w:eastAsia="zh-CN"/>
          <w14:textFill>
            <w14:solidFill>
              <w14:schemeClr w14:val="tx1"/>
            </w14:solidFill>
          </w14:textFill>
        </w:rPr>
        <w:t>。</w:t>
      </w:r>
    </w:p>
    <w:p>
      <w:pPr>
        <w:overflowPunct w:val="0"/>
        <w:adjustRightInd w:val="0"/>
        <w:snapToGrid w:val="0"/>
        <w:spacing w:line="598" w:lineRule="exact"/>
        <w:ind w:firstLine="640" w:firstLineChars="20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（二）医药企业应当建立防范商业贿赂风险合规审核机制，重点关注岗位权力的正确行使以及财物的合法收支，鼓励在医药企业内部信息管理系统中嵌入合规审核环节，有效保障合规管理组织独立行使审核权</w:t>
      </w:r>
      <w:r>
        <w:rPr>
          <w:rFonts w:hint="eastAsia" w:ascii="Times New Roman" w:hAnsi="Times New Roman" w:eastAsia="仿宋_GB2312" w:cs="仿宋_GB2312"/>
          <w:color w:val="000000" w:themeColor="text1"/>
          <w:sz w:val="32"/>
          <w:szCs w:val="32"/>
          <w:lang w:eastAsia="zh-CN"/>
          <w14:textFill>
            <w14:solidFill>
              <w14:schemeClr w14:val="tx1"/>
            </w14:solidFill>
          </w14:textFill>
        </w:rPr>
        <w:t>。</w:t>
      </w:r>
    </w:p>
    <w:p>
      <w:pPr>
        <w:overflowPunct w:val="0"/>
        <w:adjustRightInd w:val="0"/>
        <w:snapToGrid w:val="0"/>
        <w:spacing w:line="598" w:lineRule="exact"/>
        <w:ind w:firstLine="640" w:firstLineChars="20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（三）医药企业应当建立防范商业贿赂风险应对机制，及时采取应对策略，合理降低合规风险，有效避免不良后果。倡导医药企业与</w:t>
      </w:r>
      <w:r>
        <w:rPr>
          <w:rFonts w:hint="eastAsia" w:ascii="Times New Roman" w:hAnsi="Times New Roman" w:eastAsia="仿宋_GB2312" w:cs="仿宋_GB2312"/>
          <w:color w:val="000000" w:themeColor="text1"/>
          <w:sz w:val="32"/>
          <w:szCs w:val="32"/>
          <w:lang w:eastAsia="zh-CN"/>
          <w14:textFill>
            <w14:solidFill>
              <w14:schemeClr w14:val="tx1"/>
            </w14:solidFill>
          </w14:textFill>
        </w:rPr>
        <w:t>市场监管部门</w:t>
      </w:r>
      <w:r>
        <w:rPr>
          <w:rFonts w:hint="eastAsia" w:ascii="Times New Roman" w:hAnsi="Times New Roman" w:eastAsia="仿宋_GB2312" w:cs="仿宋_GB2312"/>
          <w:color w:val="000000" w:themeColor="text1"/>
          <w:sz w:val="32"/>
          <w:szCs w:val="32"/>
          <w14:textFill>
            <w14:solidFill>
              <w14:schemeClr w14:val="tx1"/>
            </w14:solidFill>
          </w14:textFill>
        </w:rPr>
        <w:t>开展合作，寻求业务指导与政策支持；鼓励医药企业在发现涉嫌商业贿赂行为时，采取补救措施，并主动向</w:t>
      </w:r>
      <w:r>
        <w:rPr>
          <w:rFonts w:hint="eastAsia" w:ascii="Times New Roman" w:hAnsi="Times New Roman" w:eastAsia="仿宋_GB2312" w:cs="仿宋_GB2312"/>
          <w:color w:val="000000" w:themeColor="text1"/>
          <w:sz w:val="32"/>
          <w:szCs w:val="32"/>
          <w:lang w:eastAsia="zh-CN"/>
          <w14:textFill>
            <w14:solidFill>
              <w14:schemeClr w14:val="tx1"/>
            </w14:solidFill>
          </w14:textFill>
        </w:rPr>
        <w:t>市场监管部门</w:t>
      </w:r>
      <w:r>
        <w:rPr>
          <w:rFonts w:hint="eastAsia" w:ascii="Times New Roman" w:hAnsi="Times New Roman" w:eastAsia="仿宋_GB2312" w:cs="仿宋_GB2312"/>
          <w:color w:val="000000" w:themeColor="text1"/>
          <w:sz w:val="32"/>
          <w:szCs w:val="32"/>
          <w14:textFill>
            <w14:solidFill>
              <w14:schemeClr w14:val="tx1"/>
            </w14:solidFill>
          </w14:textFill>
        </w:rPr>
        <w:t>报告，积极配合调查，共同治理商业贿赂</w:t>
      </w:r>
      <w:r>
        <w:rPr>
          <w:rFonts w:hint="eastAsia" w:ascii="Times New Roman" w:hAnsi="Times New Roman" w:eastAsia="仿宋_GB2312" w:cs="仿宋_GB2312"/>
          <w:color w:val="000000" w:themeColor="text1"/>
          <w:sz w:val="32"/>
          <w:szCs w:val="32"/>
          <w:lang w:eastAsia="zh-CN"/>
          <w14:textFill>
            <w14:solidFill>
              <w14:schemeClr w14:val="tx1"/>
            </w14:solidFill>
          </w14:textFill>
        </w:rPr>
        <w:t>。</w:t>
      </w:r>
    </w:p>
    <w:p>
      <w:pPr>
        <w:overflowPunct w:val="0"/>
        <w:adjustRightInd w:val="0"/>
        <w:snapToGrid w:val="0"/>
        <w:spacing w:line="598" w:lineRule="exact"/>
        <w:ind w:firstLine="640" w:firstLineChars="20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（四）鼓励医药企业建立防范商业贿赂风险内部举报机制，畅通举报渠道，并通过技术设置和制度安排，消除举报人对个人信息保密和人身安全等方面的顾虑，防止对举报人打击报复</w:t>
      </w:r>
      <w:r>
        <w:rPr>
          <w:rFonts w:hint="eastAsia" w:ascii="Times New Roman" w:hAnsi="Times New Roman" w:eastAsia="仿宋_GB2312" w:cs="仿宋_GB2312"/>
          <w:color w:val="000000" w:themeColor="text1"/>
          <w:sz w:val="32"/>
          <w:szCs w:val="32"/>
          <w:lang w:eastAsia="zh-CN"/>
          <w14:textFill>
            <w14:solidFill>
              <w14:schemeClr w14:val="tx1"/>
            </w14:solidFill>
          </w14:textFill>
        </w:rPr>
        <w:t>。</w:t>
      </w:r>
    </w:p>
    <w:p>
      <w:pPr>
        <w:overflowPunct w:val="0"/>
        <w:adjustRightInd w:val="0"/>
        <w:snapToGrid w:val="0"/>
        <w:spacing w:line="598" w:lineRule="exact"/>
        <w:ind w:firstLine="640" w:firstLineChars="20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五）医药企业应当建立防范商业贿赂风险合规培训机制，定期对员工进行防范商业贿赂风险合规培训，提高员工的合规意识和应对商业贿赂风险的能力；鼓励医药企业根据员工不同职责或者需求组织差异化培训，提高培训质量；鼓励医药企业支持第三方对其员工进行合规培训</w:t>
      </w:r>
      <w:r>
        <w:rPr>
          <w:rFonts w:hint="eastAsia" w:ascii="Times New Roman" w:hAnsi="Times New Roman" w:eastAsia="仿宋_GB2312" w:cs="仿宋_GB2312"/>
          <w:color w:val="000000" w:themeColor="text1"/>
          <w:sz w:val="32"/>
          <w:szCs w:val="32"/>
          <w:lang w:eastAsia="zh-CN"/>
          <w14:textFill>
            <w14:solidFill>
              <w14:schemeClr w14:val="tx1"/>
            </w14:solidFill>
          </w14:textFill>
        </w:rPr>
        <w:t>。</w:t>
      </w:r>
    </w:p>
    <w:p>
      <w:pPr>
        <w:overflowPunct w:val="0"/>
        <w:adjustRightInd w:val="0"/>
        <w:snapToGrid w:val="0"/>
        <w:spacing w:line="598" w:lineRule="exact"/>
        <w:ind w:firstLine="640" w:firstLineChars="200"/>
        <w:rPr>
          <w:rFonts w:hint="eastAsia" w:ascii="Times New Roman" w:hAnsi="Times New Roman" w:eastAsia="仿宋_GB2312" w:cs="仿宋_GB2312"/>
          <w:color w:val="000000" w:themeColor="text1"/>
          <w:sz w:val="32"/>
          <w:szCs w:val="32"/>
          <w:lang w:eastAsia="zh-CN"/>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（六）</w:t>
      </w:r>
      <w:bookmarkStart w:id="3" w:name="_Hlk153962731"/>
      <w:r>
        <w:rPr>
          <w:rFonts w:hint="eastAsia" w:ascii="Times New Roman" w:hAnsi="Times New Roman" w:eastAsia="仿宋_GB2312" w:cs="仿宋_GB2312"/>
          <w:color w:val="000000" w:themeColor="text1"/>
          <w:sz w:val="32"/>
          <w:szCs w:val="32"/>
          <w14:textFill>
            <w14:solidFill>
              <w14:schemeClr w14:val="tx1"/>
            </w14:solidFill>
          </w14:textFill>
        </w:rPr>
        <w:t>医药企业应当建立防范商业贿赂风险合规管理体系监测机制，</w:t>
      </w:r>
      <w:bookmarkEnd w:id="3"/>
      <w:r>
        <w:rPr>
          <w:rFonts w:hint="eastAsia" w:ascii="Times New Roman" w:hAnsi="Times New Roman" w:eastAsia="仿宋_GB2312" w:cs="仿宋_GB2312"/>
          <w:color w:val="000000" w:themeColor="text1"/>
          <w:sz w:val="32"/>
          <w:szCs w:val="32"/>
          <w14:textFill>
            <w14:solidFill>
              <w14:schemeClr w14:val="tx1"/>
            </w14:solidFill>
          </w14:textFill>
        </w:rPr>
        <w:t>对体系的有效性开展定期评价，识别存在的问题和潜在风险</w:t>
      </w:r>
      <w:r>
        <w:rPr>
          <w:rFonts w:hint="eastAsia" w:ascii="Times New Roman" w:hAnsi="Times New Roman" w:eastAsia="仿宋_GB2312" w:cs="仿宋_GB2312"/>
          <w:color w:val="000000" w:themeColor="text1"/>
          <w:sz w:val="32"/>
          <w:szCs w:val="32"/>
          <w:lang w:eastAsia="zh-CN"/>
          <w14:textFill>
            <w14:solidFill>
              <w14:schemeClr w14:val="tx1"/>
            </w14:solidFill>
          </w14:textFill>
        </w:rPr>
        <w:t>。</w:t>
      </w:r>
    </w:p>
    <w:p>
      <w:pPr>
        <w:overflowPunct w:val="0"/>
        <w:adjustRightInd w:val="0"/>
        <w:snapToGrid w:val="0"/>
        <w:spacing w:line="598" w:lineRule="exact"/>
        <w:ind w:firstLine="640" w:firstLineChars="20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lang w:eastAsia="zh-CN"/>
          <w14:textFill>
            <w14:solidFill>
              <w14:schemeClr w14:val="tx1"/>
            </w14:solidFill>
          </w14:textFill>
        </w:rPr>
        <w:t>（七）</w:t>
      </w:r>
      <w:r>
        <w:rPr>
          <w:rFonts w:hint="eastAsia" w:ascii="Times New Roman" w:hAnsi="Times New Roman" w:eastAsia="仿宋_GB2312" w:cs="仿宋_GB2312"/>
          <w:color w:val="000000" w:themeColor="text1"/>
          <w:sz w:val="32"/>
          <w:szCs w:val="32"/>
          <w14:textFill>
            <w14:solidFill>
              <w14:schemeClr w14:val="tx1"/>
            </w14:solidFill>
          </w14:textFill>
        </w:rPr>
        <w:t>医药企业应当根据合规监测结果及时采取改进措施，调整管理策略，优化流程制度，以确保合规管理体系的适应性和有效性。</w:t>
      </w:r>
    </w:p>
    <w:p>
      <w:pPr>
        <w:pStyle w:val="15"/>
        <w:numPr>
          <w:ilvl w:val="0"/>
          <w:numId w:val="1"/>
        </w:numPr>
        <w:overflowPunct w:val="0"/>
        <w:adjustRightInd w:val="0"/>
        <w:snapToGrid w:val="0"/>
        <w:spacing w:line="598" w:lineRule="exact"/>
        <w:ind w:left="0" w:firstLine="64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 xml:space="preserve"> </w:t>
      </w:r>
      <w:r>
        <w:rPr>
          <w:rFonts w:hint="eastAsia" w:ascii="Times New Roman" w:hAnsi="Times New Roman" w:eastAsia="仿宋_GB2312" w:cs="仿宋_GB2312"/>
          <w:color w:val="000000" w:themeColor="text1"/>
          <w:sz w:val="32"/>
          <w:szCs w:val="32"/>
          <w14:textFill>
            <w14:solidFill>
              <w14:schemeClr w14:val="tx1"/>
            </w14:solidFill>
          </w14:textFill>
        </w:rPr>
        <w:t>倡导医药企业营造守法、诚信、透明、公正的合规文化氛围，使员工深刻理解防范商业贿赂风险的重要性，增强全员合规意识，自觉遵守相关法律法规，维护企业的声誉和形象，增强合作伙伴对企业的信任，提高企业综合竞争力，促进企业健康可持续发展。</w:t>
      </w:r>
    </w:p>
    <w:p>
      <w:pPr>
        <w:pStyle w:val="3"/>
        <w:keepNext w:val="0"/>
        <w:keepLines w:val="0"/>
        <w:overflowPunct w:val="0"/>
        <w:adjustRightInd w:val="0"/>
        <w:snapToGrid w:val="0"/>
        <w:spacing w:before="0" w:after="0" w:line="598" w:lineRule="exact"/>
        <w:jc w:val="center"/>
        <w:outlineLvl w:val="9"/>
        <w:rPr>
          <w:rFonts w:hint="default" w:ascii="Times New Roman" w:hAnsi="Times New Roman" w:eastAsia="黑体" w:cs="黑体"/>
          <w:b w:val="0"/>
          <w:bCs w:val="0"/>
          <w:color w:val="000000" w:themeColor="text1"/>
          <w:sz w:val="32"/>
          <w:szCs w:val="32"/>
          <w14:textFill>
            <w14:solidFill>
              <w14:schemeClr w14:val="tx1"/>
            </w14:solidFill>
          </w14:textFill>
        </w:rPr>
      </w:pPr>
      <w:bookmarkStart w:id="4" w:name="_Toc153726507"/>
    </w:p>
    <w:p>
      <w:pPr>
        <w:pStyle w:val="3"/>
        <w:keepNext w:val="0"/>
        <w:keepLines w:val="0"/>
        <w:overflowPunct w:val="0"/>
        <w:adjustRightInd w:val="0"/>
        <w:snapToGrid w:val="0"/>
        <w:spacing w:before="0" w:after="0" w:line="598" w:lineRule="exact"/>
        <w:jc w:val="center"/>
        <w:outlineLvl w:val="0"/>
        <w:rPr>
          <w:rFonts w:hint="default" w:ascii="Times New Roman" w:hAnsi="Times New Roman" w:eastAsia="黑体" w:cs="黑体"/>
          <w:b w:val="0"/>
          <w:bCs w:val="0"/>
          <w:color w:val="000000" w:themeColor="text1"/>
          <w:sz w:val="32"/>
          <w:szCs w:val="32"/>
          <w14:textFill>
            <w14:solidFill>
              <w14:schemeClr w14:val="tx1"/>
            </w14:solidFill>
          </w14:textFill>
        </w:rPr>
      </w:pPr>
      <w:r>
        <w:rPr>
          <w:rFonts w:hint="default" w:ascii="Times New Roman" w:hAnsi="Times New Roman" w:eastAsia="黑体" w:cs="黑体"/>
          <w:b w:val="0"/>
          <w:bCs w:val="0"/>
          <w:color w:val="000000" w:themeColor="text1"/>
          <w:sz w:val="32"/>
          <w:szCs w:val="32"/>
          <w14:textFill>
            <w14:solidFill>
              <w14:schemeClr w14:val="tx1"/>
            </w14:solidFill>
          </w14:textFill>
        </w:rPr>
        <w:t>第三章</w:t>
      </w:r>
      <w:r>
        <w:rPr>
          <w:rFonts w:hint="eastAsia" w:ascii="Times New Roman" w:hAnsi="Times New Roman" w:eastAsia="黑体" w:cs="黑体"/>
          <w:b w:val="0"/>
          <w:bCs w:val="0"/>
          <w:color w:val="000000" w:themeColor="text1"/>
          <w:sz w:val="32"/>
          <w:szCs w:val="32"/>
          <w14:textFill>
            <w14:solidFill>
              <w14:schemeClr w14:val="tx1"/>
            </w14:solidFill>
          </w14:textFill>
        </w:rPr>
        <w:t xml:space="preserve"> </w:t>
      </w:r>
      <w:r>
        <w:rPr>
          <w:rFonts w:hint="default" w:ascii="Times New Roman" w:hAnsi="Times New Roman" w:eastAsia="黑体" w:cs="黑体"/>
          <w:b w:val="0"/>
          <w:bCs w:val="0"/>
          <w:color w:val="000000" w:themeColor="text1"/>
          <w:sz w:val="32"/>
          <w:szCs w:val="32"/>
          <w14:textFill>
            <w14:solidFill>
              <w14:schemeClr w14:val="tx1"/>
            </w14:solidFill>
          </w14:textFill>
        </w:rPr>
        <w:t>医药企业商业贿赂风险识别与防范</w:t>
      </w:r>
      <w:bookmarkEnd w:id="4"/>
    </w:p>
    <w:p>
      <w:pPr>
        <w:pStyle w:val="4"/>
        <w:keepNext w:val="0"/>
        <w:keepLines w:val="0"/>
        <w:pageBreakBefore w:val="0"/>
        <w:widowControl w:val="0"/>
        <w:kinsoku/>
        <w:wordWrap/>
        <w:overflowPunct w:val="0"/>
        <w:topLinePunct w:val="0"/>
        <w:autoSpaceDE/>
        <w:autoSpaceDN/>
        <w:bidi w:val="0"/>
        <w:adjustRightInd w:val="0"/>
        <w:snapToGrid w:val="0"/>
        <w:spacing w:before="0" w:after="0" w:line="598" w:lineRule="exact"/>
        <w:jc w:val="center"/>
        <w:textAlignment w:val="auto"/>
        <w:outlineLvl w:val="1"/>
        <w:rPr>
          <w:rFonts w:hint="default" w:ascii="Times New Roman" w:hAnsi="Times New Roman" w:eastAsia="黑体" w:cs="黑体"/>
          <w:b w:val="0"/>
          <w:bCs w:val="0"/>
          <w:color w:val="000000" w:themeColor="text1"/>
          <w:sz w:val="32"/>
          <w:szCs w:val="32"/>
          <w14:textFill>
            <w14:solidFill>
              <w14:schemeClr w14:val="tx1"/>
            </w14:solidFill>
          </w14:textFill>
        </w:rPr>
      </w:pPr>
      <w:bookmarkStart w:id="5" w:name="_Toc153726508"/>
      <w:r>
        <w:rPr>
          <w:rFonts w:hint="eastAsia" w:ascii="Times New Roman" w:hAnsi="Times New Roman" w:eastAsia="黑体" w:cs="黑体"/>
          <w:b w:val="0"/>
          <w:bCs w:val="0"/>
          <w:color w:val="000000" w:themeColor="text1"/>
          <w:sz w:val="32"/>
          <w:szCs w:val="32"/>
          <w14:textFill>
            <w14:solidFill>
              <w14:schemeClr w14:val="tx1"/>
            </w14:solidFill>
          </w14:textFill>
        </w:rPr>
        <w:t xml:space="preserve">第一节 </w:t>
      </w:r>
      <w:r>
        <w:rPr>
          <w:rFonts w:hint="eastAsia" w:ascii="Times New Roman" w:hAnsi="Times New Roman" w:eastAsia="黑体" w:cs="黑体"/>
          <w:b w:val="0"/>
          <w:bCs w:val="0"/>
          <w:color w:val="000000" w:themeColor="text1"/>
          <w:sz w:val="32"/>
          <w:szCs w:val="32"/>
          <w:lang w:eastAsia="zh-CN"/>
          <w14:textFill>
            <w14:solidFill>
              <w14:schemeClr w14:val="tx1"/>
            </w14:solidFill>
          </w14:textFill>
        </w:rPr>
        <w:t>学术</w:t>
      </w:r>
      <w:r>
        <w:rPr>
          <w:rFonts w:hint="default" w:ascii="Times New Roman" w:hAnsi="Times New Roman" w:eastAsia="黑体" w:cs="黑体"/>
          <w:b w:val="0"/>
          <w:bCs w:val="0"/>
          <w:color w:val="000000" w:themeColor="text1"/>
          <w:sz w:val="32"/>
          <w:szCs w:val="32"/>
          <w14:textFill>
            <w14:solidFill>
              <w14:schemeClr w14:val="tx1"/>
            </w14:solidFill>
          </w14:textFill>
        </w:rPr>
        <w:t>拜访交流商业贿赂风险</w:t>
      </w:r>
      <w:bookmarkEnd w:id="5"/>
    </w:p>
    <w:p>
      <w:pPr>
        <w:keepNext w:val="0"/>
        <w:keepLines w:val="0"/>
        <w:spacing w:line="598" w:lineRule="exact"/>
        <w:jc w:val="center"/>
        <w:rPr>
          <w:rFonts w:hint="eastAsia" w:ascii="Times New Roman" w:hAnsi="Times New Roman" w:eastAsia="宋体"/>
          <w:b w:val="0"/>
          <w:bCs w:val="0"/>
          <w:color w:val="000000" w:themeColor="text1"/>
          <w14:textFill>
            <w14:solidFill>
              <w14:schemeClr w14:val="tx1"/>
            </w14:solidFill>
          </w14:textFill>
        </w:rPr>
      </w:pPr>
    </w:p>
    <w:p>
      <w:pPr>
        <w:pStyle w:val="15"/>
        <w:numPr>
          <w:ilvl w:val="0"/>
          <w:numId w:val="1"/>
        </w:numPr>
        <w:overflowPunct w:val="0"/>
        <w:adjustRightInd w:val="0"/>
        <w:snapToGrid w:val="0"/>
        <w:spacing w:line="598" w:lineRule="exact"/>
        <w:ind w:left="0" w:firstLine="64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lang w:eastAsia="zh-CN"/>
          <w14:textFill>
            <w14:solidFill>
              <w14:schemeClr w14:val="tx1"/>
            </w14:solidFill>
          </w14:textFill>
        </w:rPr>
        <w:t>本</w:t>
      </w:r>
      <w:r>
        <w:rPr>
          <w:rFonts w:hint="eastAsia" w:ascii="Times New Roman" w:hAnsi="Times New Roman" w:eastAsia="仿宋_GB2312" w:cs="仿宋_GB2312"/>
          <w:color w:val="000000" w:themeColor="text1"/>
          <w:sz w:val="32"/>
          <w:szCs w:val="32"/>
          <w14:textFill>
            <w14:solidFill>
              <w14:schemeClr w14:val="tx1"/>
            </w14:solidFill>
          </w14:textFill>
        </w:rPr>
        <w:t>指引所称的</w:t>
      </w:r>
      <w:r>
        <w:rPr>
          <w:rFonts w:hint="eastAsia" w:ascii="Times New Roman" w:hAnsi="Times New Roman" w:eastAsia="仿宋_GB2312" w:cs="仿宋_GB2312"/>
          <w:color w:val="000000" w:themeColor="text1"/>
          <w:sz w:val="32"/>
          <w:szCs w:val="32"/>
          <w:lang w:eastAsia="zh-CN"/>
          <w14:textFill>
            <w14:solidFill>
              <w14:schemeClr w14:val="tx1"/>
            </w14:solidFill>
          </w14:textFill>
        </w:rPr>
        <w:t>学术</w:t>
      </w:r>
      <w:r>
        <w:rPr>
          <w:rFonts w:hint="eastAsia" w:ascii="Times New Roman" w:hAnsi="Times New Roman" w:eastAsia="仿宋_GB2312" w:cs="仿宋_GB2312"/>
          <w:color w:val="000000" w:themeColor="text1"/>
          <w:sz w:val="32"/>
          <w:szCs w:val="32"/>
          <w14:textFill>
            <w14:solidFill>
              <w14:schemeClr w14:val="tx1"/>
            </w14:solidFill>
          </w14:textFill>
        </w:rPr>
        <w:t>拜访交流，是指医药代表</w:t>
      </w:r>
      <w:r>
        <w:rPr>
          <w:rFonts w:hint="eastAsia" w:ascii="Times New Roman" w:hAnsi="Times New Roman" w:eastAsia="仿宋_GB2312" w:cs="仿宋_GB2312"/>
          <w:color w:val="000000" w:themeColor="text1"/>
          <w:sz w:val="32"/>
          <w:szCs w:val="32"/>
          <w:lang w:eastAsia="zh-CN"/>
          <w14:textFill>
            <w14:solidFill>
              <w14:schemeClr w14:val="tx1"/>
            </w14:solidFill>
          </w14:textFill>
        </w:rPr>
        <w:t>和医疗器械推广人员向医疗卫生人员</w:t>
      </w:r>
      <w:r>
        <w:rPr>
          <w:rFonts w:hint="eastAsia" w:ascii="Times New Roman" w:hAnsi="Times New Roman" w:eastAsia="仿宋_GB2312" w:cs="仿宋_GB2312"/>
          <w:color w:val="000000" w:themeColor="text1"/>
          <w:sz w:val="32"/>
          <w:szCs w:val="32"/>
          <w14:textFill>
            <w14:solidFill>
              <w14:schemeClr w14:val="tx1"/>
            </w14:solidFill>
          </w14:textFill>
        </w:rPr>
        <w:t>开展有关医药产品的学术</w:t>
      </w:r>
      <w:r>
        <w:rPr>
          <w:rFonts w:hint="eastAsia" w:ascii="Times New Roman" w:hAnsi="Times New Roman" w:eastAsia="仿宋_GB2312" w:cs="仿宋_GB2312"/>
          <w:color w:val="000000" w:themeColor="text1"/>
          <w:sz w:val="32"/>
          <w:szCs w:val="32"/>
          <w:lang w:eastAsia="zh-CN"/>
          <w14:textFill>
            <w14:solidFill>
              <w14:schemeClr w14:val="tx1"/>
            </w14:solidFill>
          </w14:textFill>
        </w:rPr>
        <w:t>推广活动</w:t>
      </w:r>
      <w:r>
        <w:rPr>
          <w:rFonts w:hint="eastAsia" w:ascii="Times New Roman" w:hAnsi="Times New Roman" w:eastAsia="仿宋_GB2312" w:cs="仿宋_GB2312"/>
          <w:color w:val="000000" w:themeColor="text1"/>
          <w:sz w:val="32"/>
          <w:szCs w:val="32"/>
          <w14:textFill>
            <w14:solidFill>
              <w14:schemeClr w14:val="tx1"/>
            </w14:solidFill>
          </w14:textFill>
        </w:rPr>
        <w:t>。医药企业</w:t>
      </w:r>
      <w:r>
        <w:rPr>
          <w:rFonts w:hint="eastAsia" w:ascii="Times New Roman" w:hAnsi="Times New Roman" w:eastAsia="仿宋_GB2312" w:cs="仿宋_GB2312"/>
          <w:color w:val="000000" w:themeColor="text1"/>
          <w:sz w:val="32"/>
          <w:szCs w:val="32"/>
          <w:lang w:eastAsia="zh-CN"/>
          <w14:textFill>
            <w14:solidFill>
              <w14:schemeClr w14:val="tx1"/>
            </w14:solidFill>
          </w14:textFill>
        </w:rPr>
        <w:t>应当安排本企业的医药代表和医疗器械推广人员从事学术拜访交流工作，销售人员及其他人员不得参与学术拜访交流。</w:t>
      </w:r>
    </w:p>
    <w:p>
      <w:pPr>
        <w:pStyle w:val="15"/>
        <w:numPr>
          <w:ilvl w:val="-1"/>
          <w:numId w:val="0"/>
        </w:numPr>
        <w:overflowPunct w:val="0"/>
        <w:adjustRightInd w:val="0"/>
        <w:snapToGrid w:val="0"/>
        <w:spacing w:line="598" w:lineRule="exact"/>
        <w:ind w:left="0" w:leftChars="0" w:firstLine="640"/>
        <w:rPr>
          <w:rFonts w:hint="eastAsia" w:ascii="Times New Roman" w:hAnsi="Times New Roman" w:eastAsia="仿宋_GB2312" w:cs="仿宋_GB2312"/>
          <w:color w:val="000000" w:themeColor="text1"/>
          <w:sz w:val="32"/>
          <w:szCs w:val="32"/>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本指引中“医药代表”的定义参照《医药代表管理办法》。</w:t>
      </w:r>
    </w:p>
    <w:p>
      <w:pPr>
        <w:pStyle w:val="15"/>
        <w:numPr>
          <w:ilvl w:val="0"/>
          <w:numId w:val="1"/>
        </w:numPr>
        <w:overflowPunct w:val="0"/>
        <w:adjustRightInd w:val="0"/>
        <w:snapToGrid w:val="0"/>
        <w:spacing w:line="598" w:lineRule="exact"/>
        <w:ind w:left="0" w:firstLine="64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lang w:eastAsia="zh-CN"/>
          <w14:textFill>
            <w14:solidFill>
              <w14:schemeClr w14:val="tx1"/>
            </w14:solidFill>
          </w14:textFill>
        </w:rPr>
        <w:t>医药企业开展学术拜访交流活动，应当注意以下事项：</w:t>
      </w:r>
    </w:p>
    <w:p>
      <w:pPr>
        <w:pStyle w:val="15"/>
        <w:overflowPunct w:val="0"/>
        <w:adjustRightInd w:val="0"/>
        <w:snapToGrid w:val="0"/>
        <w:spacing w:line="598" w:lineRule="exact"/>
        <w:ind w:firstLine="64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（一）医药企业应当遵守法律、法规、政府指引以及卫生健康部门、</w:t>
      </w:r>
      <w:r>
        <w:rPr>
          <w:rFonts w:hint="eastAsia" w:ascii="Times New Roman" w:hAnsi="Times New Roman" w:eastAsia="仿宋_GB2312" w:cs="仿宋_GB2312"/>
          <w:color w:val="000000" w:themeColor="text1"/>
          <w:sz w:val="32"/>
          <w:szCs w:val="32"/>
          <w:lang w:eastAsia="zh-CN"/>
          <w14:textFill>
            <w14:solidFill>
              <w14:schemeClr w14:val="tx1"/>
            </w14:solidFill>
          </w14:textFill>
        </w:rPr>
        <w:t>医疗卫生机构</w:t>
      </w:r>
      <w:r>
        <w:rPr>
          <w:rFonts w:hint="eastAsia" w:ascii="Times New Roman" w:hAnsi="Times New Roman" w:eastAsia="仿宋_GB2312" w:cs="仿宋_GB2312"/>
          <w:color w:val="000000" w:themeColor="text1"/>
          <w:sz w:val="32"/>
          <w:szCs w:val="32"/>
          <w14:textFill>
            <w14:solidFill>
              <w14:schemeClr w14:val="tx1"/>
            </w14:solidFill>
          </w14:textFill>
        </w:rPr>
        <w:t>等关于接待医药代表</w:t>
      </w:r>
      <w:r>
        <w:rPr>
          <w:rFonts w:hint="eastAsia" w:ascii="Times New Roman" w:hAnsi="Times New Roman" w:eastAsia="仿宋_GB2312" w:cs="仿宋_GB2312"/>
          <w:color w:val="000000" w:themeColor="text1"/>
          <w:sz w:val="32"/>
          <w:szCs w:val="32"/>
          <w:lang w:eastAsia="zh-CN"/>
          <w14:textFill>
            <w14:solidFill>
              <w14:schemeClr w14:val="tx1"/>
            </w14:solidFill>
          </w14:textFill>
        </w:rPr>
        <w:t>和医疗器械推广人员</w:t>
      </w:r>
      <w:r>
        <w:rPr>
          <w:rFonts w:hint="eastAsia" w:ascii="Times New Roman" w:hAnsi="Times New Roman" w:eastAsia="仿宋_GB2312" w:cs="仿宋_GB2312"/>
          <w:color w:val="000000" w:themeColor="text1"/>
          <w:sz w:val="32"/>
          <w:szCs w:val="32"/>
          <w14:textFill>
            <w14:solidFill>
              <w14:schemeClr w14:val="tx1"/>
            </w14:solidFill>
          </w14:textFill>
        </w:rPr>
        <w:t>的管理规定，规范本企业医药代表</w:t>
      </w:r>
      <w:r>
        <w:rPr>
          <w:rFonts w:hint="eastAsia" w:ascii="Times New Roman" w:hAnsi="Times New Roman" w:eastAsia="仿宋_GB2312" w:cs="仿宋_GB2312"/>
          <w:color w:val="000000" w:themeColor="text1"/>
          <w:sz w:val="32"/>
          <w:szCs w:val="32"/>
          <w:lang w:eastAsia="zh-CN"/>
          <w14:textFill>
            <w14:solidFill>
              <w14:schemeClr w14:val="tx1"/>
            </w14:solidFill>
          </w14:textFill>
        </w:rPr>
        <w:t>和医疗器械推广人员</w:t>
      </w:r>
      <w:r>
        <w:rPr>
          <w:rFonts w:hint="eastAsia" w:ascii="Times New Roman" w:hAnsi="Times New Roman" w:eastAsia="仿宋_GB2312" w:cs="仿宋_GB2312"/>
          <w:color w:val="000000" w:themeColor="text1"/>
          <w:sz w:val="32"/>
          <w:szCs w:val="32"/>
          <w14:textFill>
            <w14:solidFill>
              <w14:schemeClr w14:val="tx1"/>
            </w14:solidFill>
          </w14:textFill>
        </w:rPr>
        <w:t>的职责及行为</w:t>
      </w:r>
      <w:r>
        <w:rPr>
          <w:rFonts w:hint="eastAsia" w:ascii="Times New Roman" w:hAnsi="Times New Roman" w:eastAsia="仿宋_GB2312" w:cs="仿宋_GB2312"/>
          <w:color w:val="000000" w:themeColor="text1"/>
          <w:sz w:val="32"/>
          <w:szCs w:val="32"/>
          <w:lang w:eastAsia="zh-CN"/>
          <w14:textFill>
            <w14:solidFill>
              <w14:schemeClr w14:val="tx1"/>
            </w14:solidFill>
          </w14:textFill>
        </w:rPr>
        <w:t>。</w:t>
      </w:r>
    </w:p>
    <w:p>
      <w:pPr>
        <w:overflowPunct w:val="0"/>
        <w:adjustRightInd w:val="0"/>
        <w:snapToGrid w:val="0"/>
        <w:spacing w:line="598" w:lineRule="exact"/>
        <w:ind w:firstLine="640" w:firstLineChars="20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（二）医药企业应当根据相关规定为</w:t>
      </w:r>
      <w:bookmarkStart w:id="6" w:name="_Hlk153973490"/>
      <w:r>
        <w:rPr>
          <w:rFonts w:hint="eastAsia" w:ascii="Times New Roman" w:hAnsi="Times New Roman" w:eastAsia="仿宋_GB2312" w:cs="仿宋_GB2312"/>
          <w:color w:val="000000" w:themeColor="text1"/>
          <w:sz w:val="32"/>
          <w:szCs w:val="32"/>
          <w14:textFill>
            <w14:solidFill>
              <w14:schemeClr w14:val="tx1"/>
            </w14:solidFill>
          </w14:textFill>
        </w:rPr>
        <w:t>医药代表</w:t>
      </w:r>
      <w:bookmarkEnd w:id="6"/>
      <w:r>
        <w:rPr>
          <w:rFonts w:hint="eastAsia" w:ascii="Times New Roman" w:hAnsi="Times New Roman" w:eastAsia="仿宋_GB2312" w:cs="仿宋_GB2312"/>
          <w:color w:val="000000" w:themeColor="text1"/>
          <w:sz w:val="32"/>
          <w:szCs w:val="32"/>
          <w14:textFill>
            <w14:solidFill>
              <w14:schemeClr w14:val="tx1"/>
            </w14:solidFill>
          </w14:textFill>
        </w:rPr>
        <w:t>进行备案并公示信息；</w:t>
      </w:r>
      <w:r>
        <w:rPr>
          <w:rFonts w:hint="eastAsia" w:ascii="Times New Roman" w:hAnsi="Times New Roman" w:eastAsia="仿宋_GB2312" w:cs="仿宋_GB2312"/>
          <w:color w:val="000000" w:themeColor="text1"/>
          <w:sz w:val="32"/>
          <w:szCs w:val="32"/>
          <w:lang w:eastAsia="zh-CN"/>
          <w14:textFill>
            <w14:solidFill>
              <w14:schemeClr w14:val="tx1"/>
            </w14:solidFill>
          </w14:textFill>
        </w:rPr>
        <w:t>医疗卫生机构</w:t>
      </w:r>
      <w:r>
        <w:rPr>
          <w:rFonts w:hint="eastAsia" w:ascii="Times New Roman" w:hAnsi="Times New Roman" w:eastAsia="仿宋_GB2312" w:cs="仿宋_GB2312"/>
          <w:color w:val="000000" w:themeColor="text1"/>
          <w:sz w:val="32"/>
          <w:szCs w:val="32"/>
          <w14:textFill>
            <w14:solidFill>
              <w14:schemeClr w14:val="tx1"/>
            </w14:solidFill>
          </w14:textFill>
        </w:rPr>
        <w:t>及其主管部门对拜访人员另有规定的，从其规定</w:t>
      </w:r>
      <w:r>
        <w:rPr>
          <w:rFonts w:hint="eastAsia" w:ascii="Times New Roman" w:hAnsi="Times New Roman" w:eastAsia="仿宋_GB2312" w:cs="仿宋_GB2312"/>
          <w:color w:val="000000" w:themeColor="text1"/>
          <w:sz w:val="32"/>
          <w:szCs w:val="32"/>
          <w:lang w:eastAsia="zh-CN"/>
          <w14:textFill>
            <w14:solidFill>
              <w14:schemeClr w14:val="tx1"/>
            </w14:solidFill>
          </w14:textFill>
        </w:rPr>
        <w:t>。</w:t>
      </w:r>
    </w:p>
    <w:p>
      <w:pPr>
        <w:overflowPunct w:val="0"/>
        <w:adjustRightInd w:val="0"/>
        <w:snapToGrid w:val="0"/>
        <w:spacing w:line="598" w:lineRule="exact"/>
        <w:ind w:firstLine="640" w:firstLineChars="20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（三）医药企业应当督促医药代表</w:t>
      </w:r>
      <w:r>
        <w:rPr>
          <w:rFonts w:hint="eastAsia" w:ascii="Times New Roman" w:hAnsi="Times New Roman" w:eastAsia="仿宋_GB2312" w:cs="仿宋_GB2312"/>
          <w:color w:val="000000" w:themeColor="text1"/>
          <w:sz w:val="32"/>
          <w:szCs w:val="32"/>
          <w:lang w:eastAsia="zh-CN"/>
          <w14:textFill>
            <w14:solidFill>
              <w14:schemeClr w14:val="tx1"/>
            </w14:solidFill>
          </w14:textFill>
        </w:rPr>
        <w:t>和医疗器械推广人员</w:t>
      </w:r>
      <w:r>
        <w:rPr>
          <w:rFonts w:hint="eastAsia" w:ascii="Times New Roman" w:hAnsi="Times New Roman" w:eastAsia="仿宋_GB2312" w:cs="仿宋_GB2312"/>
          <w:color w:val="000000" w:themeColor="text1"/>
          <w:sz w:val="32"/>
          <w:szCs w:val="32"/>
          <w14:textFill>
            <w14:solidFill>
              <w14:schemeClr w14:val="tx1"/>
            </w14:solidFill>
          </w14:textFill>
        </w:rPr>
        <w:t>严</w:t>
      </w:r>
      <w:r>
        <w:rPr>
          <w:rFonts w:hint="eastAsia" w:ascii="Times New Roman" w:hAnsi="Times New Roman" w:eastAsia="仿宋_GB2312" w:cs="仿宋_GB2312"/>
          <w:color w:val="000000" w:themeColor="text1"/>
          <w:spacing w:val="-6"/>
          <w:sz w:val="32"/>
          <w:szCs w:val="32"/>
          <w14:textFill>
            <w14:solidFill>
              <w14:schemeClr w14:val="tx1"/>
            </w14:solidFill>
          </w14:textFill>
        </w:rPr>
        <w:t>格遵守</w:t>
      </w:r>
      <w:r>
        <w:rPr>
          <w:rFonts w:hint="eastAsia" w:ascii="Times New Roman" w:hAnsi="Times New Roman" w:eastAsia="仿宋_GB2312" w:cs="仿宋_GB2312"/>
          <w:color w:val="000000" w:themeColor="text1"/>
          <w:spacing w:val="-6"/>
          <w:sz w:val="32"/>
          <w:szCs w:val="32"/>
          <w:lang w:eastAsia="zh-CN"/>
          <w14:textFill>
            <w14:solidFill>
              <w14:schemeClr w14:val="tx1"/>
            </w14:solidFill>
          </w14:textFill>
        </w:rPr>
        <w:t>医疗卫生机构</w:t>
      </w:r>
      <w:r>
        <w:rPr>
          <w:rFonts w:hint="eastAsia" w:ascii="Times New Roman" w:hAnsi="Times New Roman" w:eastAsia="仿宋_GB2312" w:cs="仿宋_GB2312"/>
          <w:color w:val="000000" w:themeColor="text1"/>
          <w:spacing w:val="-6"/>
          <w:sz w:val="32"/>
          <w:szCs w:val="32"/>
          <w14:textFill>
            <w14:solidFill>
              <w14:schemeClr w14:val="tx1"/>
            </w14:solidFill>
          </w14:textFill>
        </w:rPr>
        <w:t>的规定，在允许的时间和地点开展</w:t>
      </w:r>
      <w:r>
        <w:rPr>
          <w:rFonts w:hint="eastAsia" w:ascii="Times New Roman" w:hAnsi="Times New Roman" w:eastAsia="仿宋_GB2312" w:cs="仿宋_GB2312"/>
          <w:color w:val="000000" w:themeColor="text1"/>
          <w:spacing w:val="-6"/>
          <w:sz w:val="32"/>
          <w:szCs w:val="32"/>
          <w:lang w:eastAsia="zh-CN"/>
          <w14:textFill>
            <w14:solidFill>
              <w14:schemeClr w14:val="tx1"/>
            </w14:solidFill>
          </w14:textFill>
        </w:rPr>
        <w:t>学术</w:t>
      </w:r>
      <w:r>
        <w:rPr>
          <w:rFonts w:hint="eastAsia" w:ascii="Times New Roman" w:hAnsi="Times New Roman" w:eastAsia="仿宋_GB2312" w:cs="仿宋_GB2312"/>
          <w:color w:val="000000" w:themeColor="text1"/>
          <w:spacing w:val="-6"/>
          <w:sz w:val="32"/>
          <w:szCs w:val="32"/>
          <w14:textFill>
            <w14:solidFill>
              <w14:schemeClr w14:val="tx1"/>
            </w14:solidFill>
          </w14:textFill>
        </w:rPr>
        <w:t>拜访交流活动</w:t>
      </w:r>
      <w:r>
        <w:rPr>
          <w:rFonts w:hint="eastAsia" w:ascii="Times New Roman" w:hAnsi="Times New Roman" w:eastAsia="仿宋_GB2312" w:cs="仿宋_GB2312"/>
          <w:color w:val="000000" w:themeColor="text1"/>
          <w:spacing w:val="-6"/>
          <w:sz w:val="32"/>
          <w:szCs w:val="32"/>
          <w:lang w:eastAsia="zh-CN"/>
          <w14:textFill>
            <w14:solidFill>
              <w14:schemeClr w14:val="tx1"/>
            </w14:solidFill>
          </w14:textFill>
        </w:rPr>
        <w:t>。</w:t>
      </w:r>
    </w:p>
    <w:p>
      <w:pPr>
        <w:overflowPunct w:val="0"/>
        <w:adjustRightInd w:val="0"/>
        <w:snapToGrid w:val="0"/>
        <w:spacing w:line="598" w:lineRule="exact"/>
        <w:ind w:firstLine="640" w:firstLineChars="20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（四）医药代表</w:t>
      </w:r>
      <w:r>
        <w:rPr>
          <w:rFonts w:hint="eastAsia" w:ascii="Times New Roman" w:hAnsi="Times New Roman" w:eastAsia="仿宋_GB2312" w:cs="仿宋_GB2312"/>
          <w:color w:val="000000" w:themeColor="text1"/>
          <w:sz w:val="32"/>
          <w:szCs w:val="32"/>
          <w:lang w:eastAsia="zh-CN"/>
          <w14:textFill>
            <w14:solidFill>
              <w14:schemeClr w14:val="tx1"/>
            </w14:solidFill>
          </w14:textFill>
        </w:rPr>
        <w:t>和医疗器械推广人员</w:t>
      </w:r>
      <w:r>
        <w:rPr>
          <w:rFonts w:hint="eastAsia" w:ascii="Times New Roman" w:hAnsi="Times New Roman" w:eastAsia="仿宋_GB2312" w:cs="仿宋_GB2312"/>
          <w:color w:val="000000" w:themeColor="text1"/>
          <w:sz w:val="32"/>
          <w:szCs w:val="32"/>
          <w14:textFill>
            <w14:solidFill>
              <w14:schemeClr w14:val="tx1"/>
            </w14:solidFill>
          </w14:textFill>
        </w:rPr>
        <w:t>可以与</w:t>
      </w:r>
      <w:r>
        <w:rPr>
          <w:rFonts w:hint="eastAsia" w:ascii="Times New Roman" w:hAnsi="Times New Roman" w:eastAsia="仿宋_GB2312" w:cs="仿宋_GB2312"/>
          <w:color w:val="000000" w:themeColor="text1"/>
          <w:sz w:val="32"/>
          <w:szCs w:val="32"/>
          <w:lang w:eastAsia="zh-CN"/>
          <w14:textFill>
            <w14:solidFill>
              <w14:schemeClr w14:val="tx1"/>
            </w14:solidFill>
          </w14:textFill>
        </w:rPr>
        <w:t>医疗卫生人员</w:t>
      </w:r>
      <w:r>
        <w:rPr>
          <w:rFonts w:hint="eastAsia" w:ascii="Times New Roman" w:hAnsi="Times New Roman" w:eastAsia="仿宋_GB2312" w:cs="仿宋_GB2312"/>
          <w:color w:val="000000" w:themeColor="text1"/>
          <w:sz w:val="32"/>
          <w:szCs w:val="32"/>
          <w14:textFill>
            <w14:solidFill>
              <w14:schemeClr w14:val="tx1"/>
            </w14:solidFill>
          </w14:textFill>
        </w:rPr>
        <w:t>沟通，提供学术资料、技术咨询</w:t>
      </w:r>
      <w:r>
        <w:rPr>
          <w:rFonts w:hint="eastAsia" w:ascii="Times New Roman" w:hAnsi="Times New Roman" w:eastAsia="仿宋_GB2312" w:cs="仿宋_GB2312"/>
          <w:color w:val="000000" w:themeColor="text1"/>
          <w:sz w:val="32"/>
          <w:szCs w:val="32"/>
          <w:lang w:eastAsia="zh-CN"/>
          <w14:textFill>
            <w14:solidFill>
              <w14:schemeClr w14:val="tx1"/>
            </w14:solidFill>
          </w14:textFill>
        </w:rPr>
        <w:t>，开展</w:t>
      </w:r>
      <w:r>
        <w:rPr>
          <w:rFonts w:hint="eastAsia" w:ascii="Times New Roman" w:hAnsi="Times New Roman" w:eastAsia="仿宋_GB2312" w:cs="仿宋_GB2312"/>
          <w:color w:val="000000" w:themeColor="text1"/>
          <w:sz w:val="32"/>
          <w:szCs w:val="32"/>
          <w14:textFill>
            <w14:solidFill>
              <w14:schemeClr w14:val="tx1"/>
            </w14:solidFill>
          </w14:textFill>
        </w:rPr>
        <w:t>学术</w:t>
      </w:r>
      <w:r>
        <w:rPr>
          <w:rFonts w:hint="eastAsia" w:ascii="Times New Roman" w:hAnsi="Times New Roman" w:eastAsia="仿宋_GB2312" w:cs="仿宋_GB2312"/>
          <w:color w:val="000000" w:themeColor="text1"/>
          <w:sz w:val="32"/>
          <w:szCs w:val="32"/>
          <w:lang w:eastAsia="zh-CN"/>
          <w14:textFill>
            <w14:solidFill>
              <w14:schemeClr w14:val="tx1"/>
            </w14:solidFill>
          </w14:textFill>
        </w:rPr>
        <w:t>推广</w:t>
      </w:r>
      <w:r>
        <w:rPr>
          <w:rFonts w:hint="eastAsia" w:ascii="Times New Roman" w:hAnsi="Times New Roman" w:eastAsia="仿宋_GB2312" w:cs="仿宋_GB2312"/>
          <w:color w:val="000000" w:themeColor="text1"/>
          <w:sz w:val="32"/>
          <w:szCs w:val="32"/>
          <w14:textFill>
            <w14:solidFill>
              <w14:schemeClr w14:val="tx1"/>
            </w14:solidFill>
          </w14:textFill>
        </w:rPr>
        <w:t>。</w:t>
      </w:r>
    </w:p>
    <w:p>
      <w:pPr>
        <w:pStyle w:val="15"/>
        <w:numPr>
          <w:ilvl w:val="0"/>
          <w:numId w:val="1"/>
        </w:numPr>
        <w:overflowPunct w:val="0"/>
        <w:adjustRightInd w:val="0"/>
        <w:snapToGrid w:val="0"/>
        <w:spacing w:line="598" w:lineRule="exact"/>
        <w:ind w:left="0" w:firstLine="64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lang w:eastAsia="zh-CN"/>
          <w14:textFill>
            <w14:solidFill>
              <w14:schemeClr w14:val="tx1"/>
            </w14:solidFill>
          </w14:textFill>
        </w:rPr>
        <w:t>医药企业开展学术拜访交流活动，应当注意以下行为风险的识别与防范：</w:t>
      </w:r>
    </w:p>
    <w:p>
      <w:pPr>
        <w:overflowPunct w:val="0"/>
        <w:adjustRightInd w:val="0"/>
        <w:snapToGrid w:val="0"/>
        <w:spacing w:line="598" w:lineRule="exact"/>
        <w:ind w:firstLine="640" w:firstLineChars="20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（一）</w:t>
      </w:r>
      <w:r>
        <w:rPr>
          <w:rFonts w:hint="eastAsia" w:ascii="Times New Roman" w:hAnsi="Times New Roman" w:eastAsia="仿宋_GB2312" w:cs="仿宋_GB2312"/>
          <w:color w:val="000000" w:themeColor="text1"/>
          <w:sz w:val="32"/>
          <w:szCs w:val="32"/>
          <w:lang w:eastAsia="zh-CN"/>
          <w14:textFill>
            <w14:solidFill>
              <w14:schemeClr w14:val="tx1"/>
            </w14:solidFill>
          </w14:textFill>
        </w:rPr>
        <w:t>禁止</w:t>
      </w:r>
      <w:r>
        <w:rPr>
          <w:rFonts w:hint="eastAsia" w:ascii="Times New Roman" w:hAnsi="Times New Roman" w:eastAsia="仿宋_GB2312" w:cs="仿宋_GB2312"/>
          <w:color w:val="000000" w:themeColor="text1"/>
          <w:sz w:val="32"/>
          <w:szCs w:val="32"/>
          <w14:textFill>
            <w14:solidFill>
              <w14:schemeClr w14:val="tx1"/>
            </w14:solidFill>
          </w14:textFill>
        </w:rPr>
        <w:t>医药企业向医药代表</w:t>
      </w:r>
      <w:r>
        <w:rPr>
          <w:rFonts w:hint="eastAsia" w:ascii="Times New Roman" w:hAnsi="Times New Roman" w:eastAsia="仿宋_GB2312" w:cs="仿宋_GB2312"/>
          <w:color w:val="000000" w:themeColor="text1"/>
          <w:sz w:val="32"/>
          <w:szCs w:val="32"/>
          <w:lang w:eastAsia="zh-CN"/>
          <w14:textFill>
            <w14:solidFill>
              <w14:schemeClr w14:val="tx1"/>
            </w14:solidFill>
          </w14:textFill>
        </w:rPr>
        <w:t>和医疗器械推广人员</w:t>
      </w:r>
      <w:r>
        <w:rPr>
          <w:rFonts w:hint="eastAsia" w:ascii="Times New Roman" w:hAnsi="Times New Roman" w:eastAsia="仿宋_GB2312" w:cs="仿宋_GB2312"/>
          <w:color w:val="000000" w:themeColor="text1"/>
          <w:sz w:val="32"/>
          <w:szCs w:val="32"/>
          <w14:textFill>
            <w14:solidFill>
              <w14:schemeClr w14:val="tx1"/>
            </w14:solidFill>
          </w14:textFill>
        </w:rPr>
        <w:t>分配销售任务</w:t>
      </w:r>
      <w:r>
        <w:rPr>
          <w:rFonts w:hint="eastAsia" w:ascii="Times New Roman" w:hAnsi="Times New Roman" w:eastAsia="仿宋_GB2312" w:cs="仿宋_GB2312"/>
          <w:color w:val="000000" w:themeColor="text1"/>
          <w:sz w:val="32"/>
          <w:szCs w:val="32"/>
          <w:lang w:eastAsia="zh-CN"/>
          <w14:textFill>
            <w14:solidFill>
              <w14:schemeClr w14:val="tx1"/>
            </w14:solidFill>
          </w14:textFill>
        </w:rPr>
        <w:t>。</w:t>
      </w:r>
    </w:p>
    <w:p>
      <w:pPr>
        <w:overflowPunct w:val="0"/>
        <w:adjustRightInd w:val="0"/>
        <w:snapToGrid w:val="0"/>
        <w:spacing w:line="598" w:lineRule="exact"/>
        <w:ind w:firstLine="640" w:firstLineChars="200"/>
        <w:rPr>
          <w:rFonts w:hint="eastAsia" w:ascii="Times New Roman" w:hAnsi="Times New Roman" w:eastAsia="仿宋_GB2312" w:cs="仿宋_GB2312"/>
          <w:color w:val="000000" w:themeColor="text1"/>
          <w:sz w:val="32"/>
          <w:szCs w:val="32"/>
          <w:lang w:eastAsia="zh-CN"/>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（二）</w:t>
      </w:r>
      <w:r>
        <w:rPr>
          <w:rFonts w:hint="eastAsia" w:ascii="Times New Roman" w:hAnsi="Times New Roman" w:eastAsia="仿宋_GB2312" w:cs="仿宋_GB2312"/>
          <w:color w:val="000000" w:themeColor="text1"/>
          <w:sz w:val="32"/>
          <w:szCs w:val="32"/>
          <w:lang w:eastAsia="zh-CN"/>
          <w14:textFill>
            <w14:solidFill>
              <w14:schemeClr w14:val="tx1"/>
            </w14:solidFill>
          </w14:textFill>
        </w:rPr>
        <w:t>禁止医药代表和医疗器械推广人员干预或者影响医疗卫生人员合理使用医药产品。</w:t>
      </w:r>
    </w:p>
    <w:p>
      <w:pPr>
        <w:overflowPunct w:val="0"/>
        <w:adjustRightInd w:val="0"/>
        <w:snapToGrid w:val="0"/>
        <w:spacing w:line="598" w:lineRule="exact"/>
        <w:ind w:firstLine="640" w:firstLineChars="20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（三）禁止医药代表</w:t>
      </w:r>
      <w:r>
        <w:rPr>
          <w:rFonts w:hint="eastAsia" w:ascii="Times New Roman" w:hAnsi="Times New Roman" w:eastAsia="仿宋_GB2312" w:cs="仿宋_GB2312"/>
          <w:color w:val="000000" w:themeColor="text1"/>
          <w:sz w:val="32"/>
          <w:szCs w:val="32"/>
          <w:lang w:eastAsia="zh-CN"/>
          <w14:textFill>
            <w14:solidFill>
              <w14:schemeClr w14:val="tx1"/>
            </w14:solidFill>
          </w14:textFill>
        </w:rPr>
        <w:t>和医疗器械推广人员</w:t>
      </w:r>
      <w:r>
        <w:rPr>
          <w:rFonts w:hint="eastAsia" w:ascii="Times New Roman" w:hAnsi="Times New Roman" w:eastAsia="仿宋_GB2312" w:cs="仿宋_GB2312"/>
          <w:color w:val="000000" w:themeColor="text1"/>
          <w:sz w:val="32"/>
          <w:szCs w:val="32"/>
          <w14:textFill>
            <w14:solidFill>
              <w14:schemeClr w14:val="tx1"/>
            </w14:solidFill>
          </w14:textFill>
        </w:rPr>
        <w:t>假借拜访名义索取、统计</w:t>
      </w:r>
      <w:r>
        <w:rPr>
          <w:rFonts w:hint="eastAsia" w:ascii="Times New Roman" w:hAnsi="Times New Roman" w:eastAsia="仿宋_GB2312" w:cs="仿宋_GB2312"/>
          <w:color w:val="000000" w:themeColor="text1"/>
          <w:sz w:val="32"/>
          <w:szCs w:val="32"/>
          <w:lang w:eastAsia="zh-CN"/>
          <w14:textFill>
            <w14:solidFill>
              <w14:schemeClr w14:val="tx1"/>
            </w14:solidFill>
          </w14:textFill>
        </w:rPr>
        <w:t>医疗卫生机构</w:t>
      </w:r>
      <w:r>
        <w:rPr>
          <w:rFonts w:hint="eastAsia" w:ascii="Times New Roman" w:hAnsi="Times New Roman" w:eastAsia="仿宋_GB2312" w:cs="仿宋_GB2312"/>
          <w:color w:val="000000" w:themeColor="text1"/>
          <w:sz w:val="32"/>
          <w:szCs w:val="32"/>
          <w14:textFill>
            <w14:solidFill>
              <w14:schemeClr w14:val="tx1"/>
            </w14:solidFill>
          </w14:textFill>
        </w:rPr>
        <w:t>、</w:t>
      </w:r>
      <w:r>
        <w:rPr>
          <w:rFonts w:hint="eastAsia" w:ascii="Times New Roman" w:hAnsi="Times New Roman" w:eastAsia="仿宋_GB2312" w:cs="仿宋_GB2312"/>
          <w:color w:val="000000" w:themeColor="text1"/>
          <w:sz w:val="32"/>
          <w:szCs w:val="32"/>
          <w:lang w:eastAsia="zh-CN"/>
          <w14:textFill>
            <w14:solidFill>
              <w14:schemeClr w14:val="tx1"/>
            </w14:solidFill>
          </w14:textFill>
        </w:rPr>
        <w:t>医疗卫生机构</w:t>
      </w:r>
      <w:r>
        <w:rPr>
          <w:rFonts w:hint="eastAsia" w:ascii="Times New Roman" w:hAnsi="Times New Roman" w:eastAsia="仿宋_GB2312" w:cs="仿宋_GB2312"/>
          <w:color w:val="000000" w:themeColor="text1"/>
          <w:sz w:val="32"/>
          <w:szCs w:val="32"/>
          <w14:textFill>
            <w14:solidFill>
              <w14:schemeClr w14:val="tx1"/>
            </w14:solidFill>
          </w14:textFill>
        </w:rPr>
        <w:t>内设科室或</w:t>
      </w:r>
      <w:r>
        <w:rPr>
          <w:rFonts w:hint="eastAsia" w:ascii="Times New Roman" w:hAnsi="Times New Roman" w:eastAsia="仿宋_GB2312" w:cs="仿宋_GB2312"/>
          <w:color w:val="000000" w:themeColor="text1"/>
          <w:sz w:val="32"/>
          <w:szCs w:val="32"/>
          <w:lang w:eastAsia="zh-CN"/>
          <w14:textFill>
            <w14:solidFill>
              <w14:schemeClr w14:val="tx1"/>
            </w14:solidFill>
          </w14:textFill>
        </w:rPr>
        <w:t>医疗卫生机构</w:t>
      </w:r>
      <w:r>
        <w:rPr>
          <w:rFonts w:hint="eastAsia" w:ascii="Times New Roman" w:hAnsi="Times New Roman" w:eastAsia="仿宋_GB2312" w:cs="仿宋_GB2312"/>
          <w:color w:val="000000" w:themeColor="text1"/>
          <w:sz w:val="32"/>
          <w:szCs w:val="32"/>
          <w14:textFill>
            <w14:solidFill>
              <w14:schemeClr w14:val="tx1"/>
            </w14:solidFill>
          </w14:textFill>
        </w:rPr>
        <w:t>人员开具的各类</w:t>
      </w:r>
      <w:r>
        <w:rPr>
          <w:rFonts w:hint="eastAsia" w:ascii="Times New Roman" w:hAnsi="Times New Roman" w:eastAsia="仿宋_GB2312" w:cs="仿宋_GB2312"/>
          <w:color w:val="000000" w:themeColor="text1"/>
          <w:sz w:val="32"/>
          <w:szCs w:val="32"/>
          <w:lang w:eastAsia="zh-CN"/>
          <w14:textFill>
            <w14:solidFill>
              <w14:schemeClr w14:val="tx1"/>
            </w14:solidFill>
          </w14:textFill>
        </w:rPr>
        <w:t>医药产品</w:t>
      </w:r>
      <w:r>
        <w:rPr>
          <w:rFonts w:hint="eastAsia" w:ascii="Times New Roman" w:hAnsi="Times New Roman" w:eastAsia="仿宋_GB2312" w:cs="仿宋_GB2312"/>
          <w:color w:val="000000" w:themeColor="text1"/>
          <w:sz w:val="32"/>
          <w:szCs w:val="32"/>
          <w14:textFill>
            <w14:solidFill>
              <w14:schemeClr w14:val="tx1"/>
            </w14:solidFill>
          </w14:textFill>
        </w:rPr>
        <w:t>用量信息</w:t>
      </w:r>
      <w:r>
        <w:rPr>
          <w:rFonts w:hint="eastAsia" w:ascii="Times New Roman" w:hAnsi="Times New Roman" w:eastAsia="仿宋_GB2312" w:cs="仿宋_GB2312"/>
          <w:color w:val="000000" w:themeColor="text1"/>
          <w:sz w:val="32"/>
          <w:szCs w:val="32"/>
          <w:lang w:eastAsia="zh-CN"/>
          <w14:textFill>
            <w14:solidFill>
              <w14:schemeClr w14:val="tx1"/>
            </w14:solidFill>
          </w14:textFill>
        </w:rPr>
        <w:t>。</w:t>
      </w:r>
    </w:p>
    <w:p>
      <w:pPr>
        <w:overflowPunct w:val="0"/>
        <w:adjustRightInd w:val="0"/>
        <w:snapToGrid w:val="0"/>
        <w:spacing w:line="598" w:lineRule="exact"/>
        <w:ind w:firstLine="640" w:firstLineChars="20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（四）禁止医药代表</w:t>
      </w:r>
      <w:r>
        <w:rPr>
          <w:rFonts w:hint="eastAsia" w:ascii="Times New Roman" w:hAnsi="Times New Roman" w:eastAsia="仿宋_GB2312" w:cs="仿宋_GB2312"/>
          <w:color w:val="000000" w:themeColor="text1"/>
          <w:sz w:val="32"/>
          <w:szCs w:val="32"/>
          <w:lang w:eastAsia="zh-CN"/>
          <w14:textFill>
            <w14:solidFill>
              <w14:schemeClr w14:val="tx1"/>
            </w14:solidFill>
          </w14:textFill>
        </w:rPr>
        <w:t>和医疗器械推广人员</w:t>
      </w:r>
      <w:r>
        <w:rPr>
          <w:rFonts w:hint="eastAsia" w:ascii="Times New Roman" w:hAnsi="Times New Roman" w:eastAsia="仿宋_GB2312" w:cs="仿宋_GB2312"/>
          <w:color w:val="000000" w:themeColor="text1"/>
          <w:sz w:val="32"/>
          <w:szCs w:val="32"/>
          <w14:textFill>
            <w14:solidFill>
              <w14:schemeClr w14:val="tx1"/>
            </w14:solidFill>
          </w14:textFill>
        </w:rPr>
        <w:t>以直接或者间接方式给予</w:t>
      </w:r>
      <w:r>
        <w:rPr>
          <w:rFonts w:hint="eastAsia" w:ascii="Times New Roman" w:hAnsi="Times New Roman" w:eastAsia="仿宋_GB2312" w:cs="仿宋_GB2312"/>
          <w:color w:val="000000" w:themeColor="text1"/>
          <w:sz w:val="32"/>
          <w:szCs w:val="32"/>
          <w:lang w:eastAsia="zh-CN"/>
          <w14:textFill>
            <w14:solidFill>
              <w14:schemeClr w14:val="tx1"/>
            </w14:solidFill>
          </w14:textFill>
        </w:rPr>
        <w:t>医疗卫生人员</w:t>
      </w:r>
      <w:r>
        <w:rPr>
          <w:rFonts w:hint="eastAsia" w:ascii="Times New Roman" w:hAnsi="Times New Roman" w:eastAsia="仿宋_GB2312" w:cs="仿宋_GB2312"/>
          <w:color w:val="000000" w:themeColor="text1"/>
          <w:sz w:val="32"/>
          <w:szCs w:val="32"/>
          <w14:textFill>
            <w14:solidFill>
              <w14:schemeClr w14:val="tx1"/>
            </w14:solidFill>
          </w14:textFill>
        </w:rPr>
        <w:t>财物或者其他不正当利益，促使其开具</w:t>
      </w:r>
      <w:r>
        <w:rPr>
          <w:rFonts w:hint="eastAsia" w:ascii="Times New Roman" w:hAnsi="Times New Roman" w:eastAsia="仿宋_GB2312" w:cs="仿宋_GB2312"/>
          <w:color w:val="000000" w:themeColor="text1"/>
          <w:sz w:val="32"/>
          <w:szCs w:val="32"/>
          <w:lang w:eastAsia="zh-CN"/>
          <w14:textFill>
            <w14:solidFill>
              <w14:schemeClr w14:val="tx1"/>
            </w14:solidFill>
          </w14:textFill>
        </w:rPr>
        <w:t>医药产品处方</w:t>
      </w:r>
      <w:r>
        <w:rPr>
          <w:rFonts w:hint="eastAsia" w:ascii="Times New Roman" w:hAnsi="Times New Roman" w:eastAsia="仿宋_GB2312" w:cs="仿宋_GB2312"/>
          <w:color w:val="000000" w:themeColor="text1"/>
          <w:sz w:val="32"/>
          <w:szCs w:val="32"/>
          <w14:textFill>
            <w14:solidFill>
              <w14:schemeClr w14:val="tx1"/>
            </w14:solidFill>
          </w14:textFill>
        </w:rPr>
        <w:t>或者推荐、使用、采购医药产品。</w:t>
      </w:r>
    </w:p>
    <w:p>
      <w:pPr>
        <w:overflowPunct w:val="0"/>
        <w:adjustRightInd w:val="0"/>
        <w:snapToGrid w:val="0"/>
        <w:spacing w:line="570" w:lineRule="exact"/>
        <w:rPr>
          <w:rFonts w:hint="eastAsia" w:ascii="Times New Roman" w:hAnsi="Times New Roman" w:eastAsia="仿宋_GB2312" w:cs="仿宋_GB2312"/>
          <w:color w:val="000000" w:themeColor="text1"/>
          <w:sz w:val="32"/>
          <w:szCs w:val="32"/>
          <w14:textFill>
            <w14:solidFill>
              <w14:schemeClr w14:val="tx1"/>
            </w14:solidFill>
          </w14:textFill>
        </w:rPr>
      </w:pPr>
    </w:p>
    <w:p>
      <w:pPr>
        <w:pStyle w:val="3"/>
        <w:keepNext w:val="0"/>
        <w:keepLines w:val="0"/>
        <w:pageBreakBefore w:val="0"/>
        <w:widowControl w:val="0"/>
        <w:numPr>
          <w:ilvl w:val="0"/>
          <w:numId w:val="2"/>
        </w:numPr>
        <w:kinsoku/>
        <w:wordWrap/>
        <w:overflowPunct w:val="0"/>
        <w:topLinePunct w:val="0"/>
        <w:autoSpaceDE/>
        <w:autoSpaceDN/>
        <w:bidi w:val="0"/>
        <w:adjustRightInd w:val="0"/>
        <w:snapToGrid w:val="0"/>
        <w:spacing w:before="0" w:after="0" w:line="570" w:lineRule="exact"/>
        <w:jc w:val="center"/>
        <w:textAlignment w:val="auto"/>
        <w:outlineLvl w:val="1"/>
        <w:rPr>
          <w:rFonts w:hint="default" w:ascii="Times New Roman" w:hAnsi="Times New Roman" w:eastAsia="黑体" w:cs="黑体"/>
          <w:b w:val="0"/>
          <w:bCs w:val="0"/>
          <w:color w:val="000000" w:themeColor="text1"/>
          <w:sz w:val="32"/>
          <w:szCs w:val="32"/>
          <w14:textFill>
            <w14:solidFill>
              <w14:schemeClr w14:val="tx1"/>
            </w14:solidFill>
          </w14:textFill>
        </w:rPr>
      </w:pPr>
      <w:bookmarkStart w:id="7" w:name="_Toc153726510"/>
      <w:r>
        <w:rPr>
          <w:rFonts w:hint="default" w:ascii="Times New Roman" w:hAnsi="Times New Roman" w:eastAsia="黑体" w:cs="黑体"/>
          <w:b w:val="0"/>
          <w:bCs w:val="0"/>
          <w:color w:val="000000" w:themeColor="text1"/>
          <w:sz w:val="32"/>
          <w:szCs w:val="32"/>
          <w14:textFill>
            <w14:solidFill>
              <w14:schemeClr w14:val="tx1"/>
            </w14:solidFill>
          </w14:textFill>
        </w:rPr>
        <w:t>接待商业贿赂风险</w:t>
      </w:r>
      <w:bookmarkEnd w:id="7"/>
    </w:p>
    <w:p>
      <w:pPr>
        <w:keepNext w:val="0"/>
        <w:keepLines w:val="0"/>
        <w:numPr>
          <w:ilvl w:val="-1"/>
          <w:numId w:val="0"/>
        </w:numPr>
        <w:spacing w:line="570" w:lineRule="exact"/>
        <w:jc w:val="center"/>
        <w:rPr>
          <w:rFonts w:hint="eastAsia" w:ascii="Times New Roman" w:hAnsi="Times New Roman" w:eastAsia="宋体"/>
          <w:b w:val="0"/>
          <w:bCs w:val="0"/>
          <w:color w:val="000000" w:themeColor="text1"/>
          <w14:textFill>
            <w14:solidFill>
              <w14:schemeClr w14:val="tx1"/>
            </w14:solidFill>
          </w14:textFill>
        </w:rPr>
      </w:pPr>
    </w:p>
    <w:p>
      <w:pPr>
        <w:pStyle w:val="15"/>
        <w:numPr>
          <w:ilvl w:val="0"/>
          <w:numId w:val="1"/>
        </w:numPr>
        <w:overflowPunct w:val="0"/>
        <w:adjustRightInd w:val="0"/>
        <w:snapToGrid w:val="0"/>
        <w:spacing w:line="598" w:lineRule="exact"/>
        <w:ind w:left="0" w:firstLine="64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本指引所称的接待，是指医药企业在商务活动中对外部相关人员提供的餐饮等安排。</w:t>
      </w:r>
    </w:p>
    <w:p>
      <w:pPr>
        <w:pStyle w:val="15"/>
        <w:numPr>
          <w:ilvl w:val="0"/>
          <w:numId w:val="1"/>
        </w:numPr>
        <w:overflowPunct w:val="0"/>
        <w:adjustRightInd w:val="0"/>
        <w:snapToGrid w:val="0"/>
        <w:spacing w:line="598" w:lineRule="exact"/>
        <w:ind w:left="0" w:firstLine="64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lang w:eastAsia="zh-CN"/>
          <w14:textFill>
            <w14:solidFill>
              <w14:schemeClr w14:val="tx1"/>
            </w14:solidFill>
          </w14:textFill>
        </w:rPr>
        <w:t>医药企业在商务活动中开展业务接待，应当注意以下事项：</w:t>
      </w:r>
    </w:p>
    <w:p>
      <w:pPr>
        <w:overflowPunct w:val="0"/>
        <w:adjustRightInd w:val="0"/>
        <w:snapToGrid w:val="0"/>
        <w:spacing w:line="598" w:lineRule="exact"/>
        <w:ind w:firstLine="640" w:firstLineChars="200"/>
        <w:rPr>
          <w:rFonts w:hint="eastAsia" w:ascii="Times New Roman" w:hAnsi="Times New Roman" w:eastAsia="仿宋_GB2312" w:cs="仿宋_GB2312"/>
          <w:color w:val="000000" w:themeColor="text1"/>
          <w:sz w:val="32"/>
          <w:szCs w:val="32"/>
          <w:lang w:eastAsia="zh-CN"/>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（一）医药企业应当制定制度明确接待的范围和标准等，接待标准应当符合被接待人员适用的各类管理规定</w:t>
      </w:r>
      <w:r>
        <w:rPr>
          <w:rFonts w:hint="eastAsia" w:ascii="Times New Roman" w:hAnsi="Times New Roman" w:eastAsia="仿宋_GB2312" w:cs="仿宋_GB2312"/>
          <w:color w:val="000000" w:themeColor="text1"/>
          <w:sz w:val="32"/>
          <w:szCs w:val="32"/>
          <w:lang w:eastAsia="zh-CN"/>
          <w14:textFill>
            <w14:solidFill>
              <w14:schemeClr w14:val="tx1"/>
            </w14:solidFill>
          </w14:textFill>
        </w:rPr>
        <w:t>。</w:t>
      </w:r>
    </w:p>
    <w:p>
      <w:pPr>
        <w:overflowPunct w:val="0"/>
        <w:adjustRightInd w:val="0"/>
        <w:snapToGrid w:val="0"/>
        <w:spacing w:line="598" w:lineRule="exact"/>
        <w:ind w:firstLine="640" w:firstLineChars="20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w:t>
      </w:r>
      <w:r>
        <w:rPr>
          <w:rFonts w:hint="eastAsia" w:ascii="Times New Roman" w:hAnsi="Times New Roman" w:eastAsia="仿宋_GB2312" w:cs="仿宋_GB2312"/>
          <w:color w:val="000000" w:themeColor="text1"/>
          <w:sz w:val="32"/>
          <w:szCs w:val="32"/>
          <w:lang w:eastAsia="zh-CN"/>
          <w14:textFill>
            <w14:solidFill>
              <w14:schemeClr w14:val="tx1"/>
            </w14:solidFill>
          </w14:textFill>
        </w:rPr>
        <w:t>二</w:t>
      </w:r>
      <w:r>
        <w:rPr>
          <w:rFonts w:hint="eastAsia" w:ascii="Times New Roman" w:hAnsi="Times New Roman" w:eastAsia="仿宋_GB2312" w:cs="仿宋_GB2312"/>
          <w:color w:val="000000" w:themeColor="text1"/>
          <w:sz w:val="32"/>
          <w:szCs w:val="32"/>
          <w14:textFill>
            <w14:solidFill>
              <w14:schemeClr w14:val="tx1"/>
            </w14:solidFill>
          </w14:textFill>
        </w:rPr>
        <w:t>）业务接待中可发生的费用类型应当仅限于合理且适度的餐饮</w:t>
      </w:r>
      <w:r>
        <w:rPr>
          <w:rFonts w:hint="eastAsia" w:ascii="Times New Roman" w:hAnsi="Times New Roman" w:eastAsia="仿宋_GB2312" w:cs="仿宋_GB2312"/>
          <w:color w:val="000000" w:themeColor="text1"/>
          <w:sz w:val="32"/>
          <w:szCs w:val="32"/>
          <w:lang w:eastAsia="zh-CN"/>
          <w14:textFill>
            <w14:solidFill>
              <w14:schemeClr w14:val="tx1"/>
            </w14:solidFill>
          </w14:textFill>
        </w:rPr>
        <w:t>。</w:t>
      </w:r>
    </w:p>
    <w:p>
      <w:pPr>
        <w:overflowPunct w:val="0"/>
        <w:adjustRightInd w:val="0"/>
        <w:snapToGrid w:val="0"/>
        <w:spacing w:line="598" w:lineRule="exact"/>
        <w:ind w:firstLine="640" w:firstLineChars="20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w:t>
      </w:r>
      <w:r>
        <w:rPr>
          <w:rFonts w:hint="eastAsia" w:ascii="Times New Roman" w:hAnsi="Times New Roman" w:eastAsia="仿宋_GB2312" w:cs="仿宋_GB2312"/>
          <w:color w:val="000000" w:themeColor="text1"/>
          <w:sz w:val="32"/>
          <w:szCs w:val="32"/>
          <w:lang w:eastAsia="zh-CN"/>
          <w14:textFill>
            <w14:solidFill>
              <w14:schemeClr w14:val="tx1"/>
            </w14:solidFill>
          </w14:textFill>
        </w:rPr>
        <w:t>三</w:t>
      </w:r>
      <w:r>
        <w:rPr>
          <w:rFonts w:hint="eastAsia" w:ascii="Times New Roman" w:hAnsi="Times New Roman" w:eastAsia="仿宋_GB2312" w:cs="仿宋_GB2312"/>
          <w:color w:val="000000" w:themeColor="text1"/>
          <w:sz w:val="32"/>
          <w:szCs w:val="32"/>
          <w14:textFill>
            <w14:solidFill>
              <w14:schemeClr w14:val="tx1"/>
            </w14:solidFill>
          </w14:textFill>
        </w:rPr>
        <w:t>）建议医药企业保留业务接待的记录。</w:t>
      </w:r>
    </w:p>
    <w:p>
      <w:pPr>
        <w:pStyle w:val="15"/>
        <w:numPr>
          <w:ilvl w:val="0"/>
          <w:numId w:val="1"/>
        </w:numPr>
        <w:overflowPunct w:val="0"/>
        <w:adjustRightInd w:val="0"/>
        <w:snapToGrid w:val="0"/>
        <w:spacing w:line="598" w:lineRule="exact"/>
        <w:ind w:left="0" w:firstLine="64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lang w:eastAsia="zh-CN"/>
          <w14:textFill>
            <w14:solidFill>
              <w14:schemeClr w14:val="tx1"/>
            </w14:solidFill>
          </w14:textFill>
        </w:rPr>
        <w:t>医药企业</w:t>
      </w:r>
      <w:r>
        <w:rPr>
          <w:rFonts w:hint="eastAsia" w:ascii="Times New Roman" w:hAnsi="Times New Roman" w:eastAsia="仿宋_GB2312" w:cs="仿宋_GB2312"/>
          <w:color w:val="000000" w:themeColor="text1"/>
          <w:spacing w:val="-6"/>
          <w:sz w:val="32"/>
          <w:szCs w:val="32"/>
          <w:lang w:eastAsia="zh-CN"/>
          <w14:textFill>
            <w14:solidFill>
              <w14:schemeClr w14:val="tx1"/>
            </w14:solidFill>
          </w14:textFill>
        </w:rPr>
        <w:t>在商务活动中开展业务接待，应当注意以下行为风险的识别与防范：</w:t>
      </w:r>
    </w:p>
    <w:p>
      <w:pPr>
        <w:overflowPunct w:val="0"/>
        <w:adjustRightInd w:val="0"/>
        <w:snapToGrid w:val="0"/>
        <w:spacing w:line="598" w:lineRule="exact"/>
        <w:ind w:firstLine="640" w:firstLineChars="20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（一）关注频次不合理的或者超出商业惯例的业务接待</w:t>
      </w:r>
      <w:r>
        <w:rPr>
          <w:rFonts w:hint="eastAsia" w:ascii="Times New Roman" w:hAnsi="Times New Roman" w:eastAsia="仿宋_GB2312" w:cs="仿宋_GB2312"/>
          <w:color w:val="000000" w:themeColor="text1"/>
          <w:sz w:val="32"/>
          <w:szCs w:val="32"/>
          <w:lang w:eastAsia="zh-CN"/>
          <w14:textFill>
            <w14:solidFill>
              <w14:schemeClr w14:val="tx1"/>
            </w14:solidFill>
          </w14:textFill>
        </w:rPr>
        <w:t>。</w:t>
      </w:r>
    </w:p>
    <w:p>
      <w:pPr>
        <w:overflowPunct w:val="0"/>
        <w:adjustRightInd w:val="0"/>
        <w:snapToGrid w:val="0"/>
        <w:spacing w:line="598" w:lineRule="exact"/>
        <w:ind w:firstLine="640" w:firstLineChars="20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（二）避免将业务接待场合安排在名胜景区或者高档奢侈的地点，或者选择与娱乐活动相关联的场所</w:t>
      </w:r>
      <w:r>
        <w:rPr>
          <w:rFonts w:hint="eastAsia" w:ascii="Times New Roman" w:hAnsi="Times New Roman" w:eastAsia="仿宋_GB2312" w:cs="仿宋_GB2312"/>
          <w:color w:val="000000" w:themeColor="text1"/>
          <w:sz w:val="32"/>
          <w:szCs w:val="32"/>
          <w:lang w:eastAsia="zh-CN"/>
          <w14:textFill>
            <w14:solidFill>
              <w14:schemeClr w14:val="tx1"/>
            </w14:solidFill>
          </w14:textFill>
        </w:rPr>
        <w:t>。</w:t>
      </w:r>
    </w:p>
    <w:p>
      <w:pPr>
        <w:overflowPunct w:val="0"/>
        <w:adjustRightInd w:val="0"/>
        <w:snapToGrid w:val="0"/>
        <w:spacing w:line="598" w:lineRule="exact"/>
        <w:ind w:firstLine="640" w:firstLineChars="20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（三）禁止向被接待人员的近亲属等无关人员提供业务接待和礼品，或者以接待的名义向该等无关人员输送利益或者支付费用</w:t>
      </w:r>
      <w:r>
        <w:rPr>
          <w:rFonts w:hint="eastAsia" w:ascii="Times New Roman" w:hAnsi="Times New Roman" w:eastAsia="仿宋_GB2312" w:cs="仿宋_GB2312"/>
          <w:color w:val="000000" w:themeColor="text1"/>
          <w:sz w:val="32"/>
          <w:szCs w:val="32"/>
          <w:lang w:eastAsia="zh-CN"/>
          <w14:textFill>
            <w14:solidFill>
              <w14:schemeClr w14:val="tx1"/>
            </w14:solidFill>
          </w14:textFill>
        </w:rPr>
        <w:t>。</w:t>
      </w:r>
    </w:p>
    <w:p>
      <w:pPr>
        <w:overflowPunct w:val="0"/>
        <w:adjustRightInd w:val="0"/>
        <w:snapToGrid w:val="0"/>
        <w:spacing w:line="598" w:lineRule="exact"/>
        <w:ind w:firstLine="640" w:firstLineChars="20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（四）禁止在业务接待中提供旅游、健身</w:t>
      </w:r>
      <w:r>
        <w:rPr>
          <w:rFonts w:hint="eastAsia" w:ascii="Times New Roman" w:hAnsi="Times New Roman" w:eastAsia="仿宋_GB2312" w:cs="仿宋_GB2312"/>
          <w:color w:val="000000" w:themeColor="text1"/>
          <w:sz w:val="32"/>
          <w:szCs w:val="32"/>
          <w:lang w:eastAsia="zh-CN"/>
          <w14:textFill>
            <w14:solidFill>
              <w14:schemeClr w14:val="tx1"/>
            </w14:solidFill>
          </w14:textFill>
        </w:rPr>
        <w:t>、娱乐</w:t>
      </w:r>
      <w:r>
        <w:rPr>
          <w:rFonts w:hint="eastAsia" w:ascii="Times New Roman" w:hAnsi="Times New Roman" w:eastAsia="仿宋_GB2312" w:cs="仿宋_GB2312"/>
          <w:color w:val="000000" w:themeColor="text1"/>
          <w:sz w:val="32"/>
          <w:szCs w:val="32"/>
          <w14:textFill>
            <w14:solidFill>
              <w14:schemeClr w14:val="tx1"/>
            </w14:solidFill>
          </w14:textFill>
        </w:rPr>
        <w:t>等活动</w:t>
      </w:r>
      <w:r>
        <w:rPr>
          <w:rFonts w:hint="eastAsia" w:ascii="Times New Roman" w:hAnsi="Times New Roman" w:eastAsia="仿宋_GB2312" w:cs="仿宋_GB2312"/>
          <w:color w:val="000000" w:themeColor="text1"/>
          <w:sz w:val="32"/>
          <w:szCs w:val="32"/>
          <w:lang w:eastAsia="zh-CN"/>
          <w14:textFill>
            <w14:solidFill>
              <w14:schemeClr w14:val="tx1"/>
            </w14:solidFill>
          </w14:textFill>
        </w:rPr>
        <w:t>安排。</w:t>
      </w:r>
    </w:p>
    <w:p>
      <w:pPr>
        <w:overflowPunct w:val="0"/>
        <w:adjustRightInd w:val="0"/>
        <w:snapToGrid w:val="0"/>
        <w:spacing w:line="598" w:lineRule="exact"/>
        <w:ind w:firstLine="640" w:firstLineChars="20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（五）禁止将业务接待费用以会议、培训、调研等其他名义虚列、隐匿</w:t>
      </w:r>
      <w:r>
        <w:rPr>
          <w:rFonts w:hint="eastAsia" w:ascii="Times New Roman" w:hAnsi="Times New Roman" w:eastAsia="仿宋_GB2312" w:cs="仿宋_GB2312"/>
          <w:color w:val="000000" w:themeColor="text1"/>
          <w:sz w:val="32"/>
          <w:szCs w:val="32"/>
          <w:lang w:eastAsia="zh-CN"/>
          <w14:textFill>
            <w14:solidFill>
              <w14:schemeClr w14:val="tx1"/>
            </w14:solidFill>
          </w14:textFill>
        </w:rPr>
        <w:t>。</w:t>
      </w:r>
    </w:p>
    <w:p>
      <w:pPr>
        <w:overflowPunct w:val="0"/>
        <w:adjustRightInd w:val="0"/>
        <w:snapToGrid w:val="0"/>
        <w:spacing w:line="598" w:lineRule="exact"/>
        <w:ind w:firstLine="640" w:firstLineChars="20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 xml:space="preserve">（六）禁止医药企业通过提供业务接待谋取交易机会或者竞争优势。 </w:t>
      </w:r>
    </w:p>
    <w:p>
      <w:pPr>
        <w:pStyle w:val="3"/>
        <w:keepNext w:val="0"/>
        <w:keepLines w:val="0"/>
        <w:overflowPunct w:val="0"/>
        <w:adjustRightInd w:val="0"/>
        <w:snapToGrid w:val="0"/>
        <w:spacing w:before="0" w:after="0" w:line="598" w:lineRule="exact"/>
        <w:jc w:val="center"/>
        <w:outlineLvl w:val="9"/>
        <w:rPr>
          <w:rFonts w:hint="default" w:ascii="Times New Roman" w:hAnsi="Times New Roman" w:eastAsia="黑体" w:cs="黑体"/>
          <w:b w:val="0"/>
          <w:bCs w:val="0"/>
          <w:color w:val="000000" w:themeColor="text1"/>
          <w:sz w:val="32"/>
          <w:szCs w:val="32"/>
          <w14:textFill>
            <w14:solidFill>
              <w14:schemeClr w14:val="tx1"/>
            </w14:solidFill>
          </w14:textFill>
        </w:rPr>
      </w:pPr>
      <w:bookmarkStart w:id="8" w:name="_Toc153726511"/>
    </w:p>
    <w:p>
      <w:pPr>
        <w:pStyle w:val="3"/>
        <w:keepNext w:val="0"/>
        <w:keepLines w:val="0"/>
        <w:pageBreakBefore w:val="0"/>
        <w:widowControl w:val="0"/>
        <w:numPr>
          <w:ilvl w:val="0"/>
          <w:numId w:val="2"/>
        </w:numPr>
        <w:kinsoku/>
        <w:wordWrap/>
        <w:overflowPunct w:val="0"/>
        <w:topLinePunct w:val="0"/>
        <w:autoSpaceDE/>
        <w:autoSpaceDN/>
        <w:bidi w:val="0"/>
        <w:adjustRightInd w:val="0"/>
        <w:snapToGrid w:val="0"/>
        <w:spacing w:before="0" w:after="0" w:line="598" w:lineRule="exact"/>
        <w:jc w:val="center"/>
        <w:textAlignment w:val="auto"/>
        <w:outlineLvl w:val="1"/>
        <w:rPr>
          <w:rFonts w:hint="default" w:ascii="Times New Roman" w:hAnsi="Times New Roman" w:eastAsia="黑体" w:cs="黑体"/>
          <w:b w:val="0"/>
          <w:bCs w:val="0"/>
          <w:color w:val="000000" w:themeColor="text1"/>
          <w:sz w:val="32"/>
          <w:szCs w:val="32"/>
          <w14:textFill>
            <w14:solidFill>
              <w14:schemeClr w14:val="tx1"/>
            </w14:solidFill>
          </w14:textFill>
        </w:rPr>
      </w:pPr>
      <w:r>
        <w:rPr>
          <w:rFonts w:hint="default" w:ascii="Times New Roman" w:hAnsi="Times New Roman" w:eastAsia="黑体" w:cs="黑体"/>
          <w:b w:val="0"/>
          <w:bCs w:val="0"/>
          <w:color w:val="000000" w:themeColor="text1"/>
          <w:sz w:val="32"/>
          <w:szCs w:val="32"/>
          <w14:textFill>
            <w14:solidFill>
              <w14:schemeClr w14:val="tx1"/>
            </w14:solidFill>
          </w14:textFill>
        </w:rPr>
        <w:t>咨询服务商业贿赂风险</w:t>
      </w:r>
      <w:bookmarkEnd w:id="8"/>
    </w:p>
    <w:p>
      <w:pPr>
        <w:keepNext w:val="0"/>
        <w:keepLines w:val="0"/>
        <w:numPr>
          <w:ilvl w:val="-1"/>
          <w:numId w:val="0"/>
        </w:numPr>
        <w:spacing w:line="598" w:lineRule="exact"/>
        <w:jc w:val="center"/>
        <w:rPr>
          <w:rFonts w:hint="eastAsia" w:ascii="Times New Roman" w:hAnsi="Times New Roman" w:eastAsia="宋体"/>
          <w:b w:val="0"/>
          <w:bCs w:val="0"/>
          <w:color w:val="000000" w:themeColor="text1"/>
          <w14:textFill>
            <w14:solidFill>
              <w14:schemeClr w14:val="tx1"/>
            </w14:solidFill>
          </w14:textFill>
        </w:rPr>
      </w:pPr>
    </w:p>
    <w:p>
      <w:pPr>
        <w:pStyle w:val="15"/>
        <w:numPr>
          <w:ilvl w:val="0"/>
          <w:numId w:val="1"/>
        </w:numPr>
        <w:overflowPunct w:val="0"/>
        <w:adjustRightInd w:val="0"/>
        <w:snapToGrid w:val="0"/>
        <w:spacing w:line="598" w:lineRule="exact"/>
        <w:ind w:left="0" w:firstLine="64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lang w:eastAsia="zh-CN"/>
          <w14:textFill>
            <w14:solidFill>
              <w14:schemeClr w14:val="tx1"/>
            </w14:solidFill>
          </w14:textFill>
        </w:rPr>
        <w:t>本</w:t>
      </w:r>
      <w:r>
        <w:rPr>
          <w:rFonts w:hint="eastAsia" w:ascii="Times New Roman" w:hAnsi="Times New Roman" w:eastAsia="仿宋_GB2312" w:cs="仿宋_GB2312"/>
          <w:color w:val="000000" w:themeColor="text1"/>
          <w:sz w:val="32"/>
          <w:szCs w:val="32"/>
          <w14:textFill>
            <w14:solidFill>
              <w14:schemeClr w14:val="tx1"/>
            </w14:solidFill>
          </w14:textFill>
        </w:rPr>
        <w:t>指引所称的咨询服务，是指医药企业聘请</w:t>
      </w:r>
      <w:r>
        <w:rPr>
          <w:rFonts w:hint="eastAsia" w:ascii="Times New Roman" w:hAnsi="Times New Roman" w:eastAsia="仿宋_GB2312" w:cs="仿宋_GB2312"/>
          <w:color w:val="000000" w:themeColor="text1"/>
          <w:sz w:val="32"/>
          <w:szCs w:val="32"/>
          <w:lang w:eastAsia="zh-CN"/>
          <w14:textFill>
            <w14:solidFill>
              <w14:schemeClr w14:val="tx1"/>
            </w14:solidFill>
          </w14:textFill>
        </w:rPr>
        <w:t>医疗卫生人员</w:t>
      </w:r>
      <w:r>
        <w:rPr>
          <w:rFonts w:hint="eastAsia" w:ascii="Times New Roman" w:hAnsi="Times New Roman" w:eastAsia="仿宋_GB2312" w:cs="仿宋_GB2312"/>
          <w:color w:val="000000" w:themeColor="text1"/>
          <w:sz w:val="32"/>
          <w:szCs w:val="32"/>
          <w14:textFill>
            <w14:solidFill>
              <w14:schemeClr w14:val="tx1"/>
            </w14:solidFill>
          </w14:textFill>
        </w:rPr>
        <w:t>以其专业知识、经验和方法提供专业性服务，并向其支付合理报酬。</w:t>
      </w:r>
    </w:p>
    <w:p>
      <w:pPr>
        <w:pStyle w:val="15"/>
        <w:numPr>
          <w:ilvl w:val="0"/>
          <w:numId w:val="1"/>
        </w:numPr>
        <w:overflowPunct w:val="0"/>
        <w:adjustRightInd w:val="0"/>
        <w:snapToGrid w:val="0"/>
        <w:spacing w:line="598" w:lineRule="exact"/>
        <w:ind w:left="0" w:firstLine="64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lang w:eastAsia="zh-CN"/>
          <w14:textFill>
            <w14:solidFill>
              <w14:schemeClr w14:val="tx1"/>
            </w14:solidFill>
          </w14:textFill>
        </w:rPr>
        <w:t>医药企业聘请医疗卫生人员提供咨询服务，应当注意以下事项：</w:t>
      </w:r>
    </w:p>
    <w:p>
      <w:pPr>
        <w:overflowPunct w:val="0"/>
        <w:adjustRightInd w:val="0"/>
        <w:snapToGrid w:val="0"/>
        <w:spacing w:line="598" w:lineRule="exact"/>
        <w:ind w:firstLine="640" w:firstLineChars="20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（一）医药企业聘请</w:t>
      </w:r>
      <w:r>
        <w:rPr>
          <w:rFonts w:hint="eastAsia" w:ascii="Times New Roman" w:hAnsi="Times New Roman" w:eastAsia="仿宋_GB2312" w:cs="仿宋_GB2312"/>
          <w:color w:val="000000" w:themeColor="text1"/>
          <w:sz w:val="32"/>
          <w:szCs w:val="32"/>
          <w:lang w:eastAsia="zh-CN"/>
          <w14:textFill>
            <w14:solidFill>
              <w14:schemeClr w14:val="tx1"/>
            </w14:solidFill>
          </w14:textFill>
        </w:rPr>
        <w:t>医疗卫生人员</w:t>
      </w:r>
      <w:r>
        <w:rPr>
          <w:rFonts w:hint="eastAsia" w:ascii="Times New Roman" w:hAnsi="Times New Roman" w:eastAsia="仿宋_GB2312" w:cs="仿宋_GB2312"/>
          <w:color w:val="000000" w:themeColor="text1"/>
          <w:sz w:val="32"/>
          <w:szCs w:val="32"/>
          <w14:textFill>
            <w14:solidFill>
              <w14:schemeClr w14:val="tx1"/>
            </w14:solidFill>
          </w14:textFill>
        </w:rPr>
        <w:t>进行</w:t>
      </w:r>
      <w:r>
        <w:rPr>
          <w:rFonts w:hint="eastAsia" w:ascii="Times New Roman" w:hAnsi="Times New Roman" w:eastAsia="仿宋_GB2312" w:cs="仿宋_GB2312"/>
          <w:color w:val="000000" w:themeColor="text1"/>
          <w:sz w:val="32"/>
          <w:szCs w:val="32"/>
          <w:lang w:eastAsia="zh-CN"/>
          <w14:textFill>
            <w14:solidFill>
              <w14:schemeClr w14:val="tx1"/>
            </w14:solidFill>
          </w14:textFill>
        </w:rPr>
        <w:t>授课</w:t>
      </w:r>
      <w:r>
        <w:rPr>
          <w:rFonts w:hint="eastAsia" w:ascii="Times New Roman" w:hAnsi="Times New Roman" w:eastAsia="仿宋_GB2312" w:cs="仿宋_GB2312"/>
          <w:color w:val="000000" w:themeColor="text1"/>
          <w:sz w:val="32"/>
          <w:szCs w:val="32"/>
          <w14:textFill>
            <w14:solidFill>
              <w14:schemeClr w14:val="tx1"/>
            </w14:solidFill>
          </w14:textFill>
        </w:rPr>
        <w:t>、调研等咨询服务应当基于真实、合理、合法的业务需求</w:t>
      </w:r>
      <w:r>
        <w:rPr>
          <w:rFonts w:hint="eastAsia" w:ascii="Times New Roman" w:hAnsi="Times New Roman" w:eastAsia="仿宋_GB2312" w:cs="仿宋_GB2312"/>
          <w:color w:val="000000" w:themeColor="text1"/>
          <w:sz w:val="32"/>
          <w:szCs w:val="32"/>
          <w:lang w:eastAsia="zh-CN"/>
          <w14:textFill>
            <w14:solidFill>
              <w14:schemeClr w14:val="tx1"/>
            </w14:solidFill>
          </w14:textFill>
        </w:rPr>
        <w:t>。</w:t>
      </w:r>
    </w:p>
    <w:p>
      <w:pPr>
        <w:overflowPunct w:val="0"/>
        <w:adjustRightInd w:val="0"/>
        <w:snapToGrid w:val="0"/>
        <w:spacing w:line="598" w:lineRule="exact"/>
        <w:ind w:firstLine="640" w:firstLineChars="20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（二）医药企业应当基于专业知识、专业技能、工作经验等客观标准，选择符合业务需求的</w:t>
      </w:r>
      <w:r>
        <w:rPr>
          <w:rFonts w:hint="eastAsia" w:ascii="Times New Roman" w:hAnsi="Times New Roman" w:eastAsia="仿宋_GB2312" w:cs="仿宋_GB2312"/>
          <w:color w:val="000000" w:themeColor="text1"/>
          <w:sz w:val="32"/>
          <w:szCs w:val="32"/>
          <w:lang w:eastAsia="zh-CN"/>
          <w14:textFill>
            <w14:solidFill>
              <w14:schemeClr w14:val="tx1"/>
            </w14:solidFill>
          </w14:textFill>
        </w:rPr>
        <w:t>医疗卫生人员</w:t>
      </w:r>
      <w:r>
        <w:rPr>
          <w:rFonts w:hint="eastAsia" w:ascii="Times New Roman" w:hAnsi="Times New Roman" w:eastAsia="仿宋_GB2312" w:cs="仿宋_GB2312"/>
          <w:color w:val="000000" w:themeColor="text1"/>
          <w:sz w:val="32"/>
          <w:szCs w:val="32"/>
          <w14:textFill>
            <w14:solidFill>
              <w14:schemeClr w14:val="tx1"/>
            </w14:solidFill>
          </w14:textFill>
        </w:rPr>
        <w:t>提供咨询服务</w:t>
      </w:r>
      <w:r>
        <w:rPr>
          <w:rFonts w:hint="eastAsia" w:ascii="Times New Roman" w:hAnsi="Times New Roman" w:eastAsia="仿宋_GB2312" w:cs="仿宋_GB2312"/>
          <w:color w:val="000000" w:themeColor="text1"/>
          <w:sz w:val="32"/>
          <w:szCs w:val="32"/>
          <w:lang w:eastAsia="zh-CN"/>
          <w14:textFill>
            <w14:solidFill>
              <w14:schemeClr w14:val="tx1"/>
            </w14:solidFill>
          </w14:textFill>
        </w:rPr>
        <w:t>。</w:t>
      </w:r>
    </w:p>
    <w:p>
      <w:pPr>
        <w:overflowPunct w:val="0"/>
        <w:adjustRightInd w:val="0"/>
        <w:snapToGrid w:val="0"/>
        <w:spacing w:line="598" w:lineRule="exact"/>
        <w:ind w:firstLine="640" w:firstLineChars="200"/>
        <w:rPr>
          <w:rFonts w:hint="eastAsia" w:ascii="Times New Roman" w:hAnsi="Times New Roman" w:eastAsia="仿宋_GB2312" w:cs="仿宋_GB2312"/>
          <w:color w:val="000000" w:themeColor="text1"/>
          <w:sz w:val="32"/>
          <w:szCs w:val="32"/>
          <w:lang w:eastAsia="zh-CN"/>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（三）</w:t>
      </w:r>
      <w:r>
        <w:rPr>
          <w:rFonts w:hint="eastAsia" w:ascii="Times New Roman" w:hAnsi="Times New Roman" w:eastAsia="仿宋_GB2312" w:cs="仿宋_GB2312"/>
          <w:color w:val="000000" w:themeColor="text1"/>
          <w:sz w:val="32"/>
          <w:szCs w:val="32"/>
          <w:lang w:eastAsia="zh-CN"/>
          <w14:textFill>
            <w14:solidFill>
              <w14:schemeClr w14:val="tx1"/>
            </w14:solidFill>
          </w14:textFill>
        </w:rPr>
        <w:t>医药企业聘请医疗卫生人员提供咨询服务，应当遵守其所在医疗卫生机构的相关规定。</w:t>
      </w:r>
    </w:p>
    <w:p>
      <w:pPr>
        <w:overflowPunct w:val="0"/>
        <w:adjustRightInd w:val="0"/>
        <w:snapToGrid w:val="0"/>
        <w:spacing w:line="598" w:lineRule="exact"/>
        <w:ind w:firstLine="640" w:firstLineChars="200"/>
        <w:rPr>
          <w:rFonts w:hint="eastAsia" w:ascii="Times New Roman" w:hAnsi="Times New Roman" w:eastAsia="仿宋_GB2312" w:cs="仿宋_GB2312"/>
          <w:color w:val="000000" w:themeColor="text1"/>
          <w:sz w:val="32"/>
          <w:szCs w:val="32"/>
          <w:lang w:eastAsia="zh-CN"/>
          <w14:textFill>
            <w14:solidFill>
              <w14:schemeClr w14:val="tx1"/>
            </w14:solidFill>
          </w14:textFill>
        </w:rPr>
      </w:pPr>
      <w:r>
        <w:rPr>
          <w:rFonts w:hint="eastAsia" w:ascii="Times New Roman" w:hAnsi="Times New Roman" w:eastAsia="仿宋_GB2312" w:cs="仿宋_GB2312"/>
          <w:color w:val="000000" w:themeColor="text1"/>
          <w:sz w:val="32"/>
          <w:szCs w:val="32"/>
          <w:lang w:eastAsia="zh-CN"/>
          <w14:textFill>
            <w14:solidFill>
              <w14:schemeClr w14:val="tx1"/>
            </w14:solidFill>
          </w14:textFill>
        </w:rPr>
        <w:t>（四）</w:t>
      </w:r>
      <w:r>
        <w:rPr>
          <w:rFonts w:hint="eastAsia" w:ascii="Times New Roman" w:hAnsi="Times New Roman" w:eastAsia="仿宋_GB2312" w:cs="仿宋_GB2312"/>
          <w:color w:val="000000" w:themeColor="text1"/>
          <w:sz w:val="32"/>
          <w:szCs w:val="32"/>
          <w14:textFill>
            <w14:solidFill>
              <w14:schemeClr w14:val="tx1"/>
            </w14:solidFill>
          </w14:textFill>
        </w:rPr>
        <w:t>医药企业应当合理制定</w:t>
      </w:r>
      <w:r>
        <w:rPr>
          <w:rFonts w:hint="eastAsia" w:ascii="Times New Roman" w:hAnsi="Times New Roman" w:eastAsia="仿宋_GB2312" w:cs="仿宋_GB2312"/>
          <w:color w:val="000000" w:themeColor="text1"/>
          <w:sz w:val="32"/>
          <w:szCs w:val="32"/>
          <w:lang w:eastAsia="zh-CN"/>
          <w14:textFill>
            <w14:solidFill>
              <w14:schemeClr w14:val="tx1"/>
            </w14:solidFill>
          </w14:textFill>
        </w:rPr>
        <w:t>医疗卫生人员</w:t>
      </w:r>
      <w:r>
        <w:rPr>
          <w:rFonts w:hint="eastAsia" w:ascii="Times New Roman" w:hAnsi="Times New Roman" w:eastAsia="仿宋_GB2312" w:cs="仿宋_GB2312"/>
          <w:color w:val="000000" w:themeColor="text1"/>
          <w:sz w:val="32"/>
          <w:szCs w:val="32"/>
          <w14:textFill>
            <w14:solidFill>
              <w14:schemeClr w14:val="tx1"/>
            </w14:solidFill>
          </w14:textFill>
        </w:rPr>
        <w:t>提供咨询服务的费用标准，建议根据项目规模、服务时长、专业程度等客观条件，并参照有关规定的标准或市场公允价格</w:t>
      </w:r>
      <w:r>
        <w:rPr>
          <w:rFonts w:hint="eastAsia" w:ascii="Times New Roman" w:hAnsi="Times New Roman" w:eastAsia="仿宋_GB2312" w:cs="仿宋_GB2312"/>
          <w:color w:val="000000" w:themeColor="text1"/>
          <w:sz w:val="32"/>
          <w:szCs w:val="32"/>
          <w:lang w:eastAsia="zh-CN"/>
          <w14:textFill>
            <w14:solidFill>
              <w14:schemeClr w14:val="tx1"/>
            </w14:solidFill>
          </w14:textFill>
        </w:rPr>
        <w:t>。</w:t>
      </w:r>
    </w:p>
    <w:p>
      <w:pPr>
        <w:overflowPunct w:val="0"/>
        <w:adjustRightInd w:val="0"/>
        <w:snapToGrid w:val="0"/>
        <w:spacing w:line="598" w:lineRule="exact"/>
        <w:ind w:firstLine="640" w:firstLineChars="20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w:t>
      </w:r>
      <w:r>
        <w:rPr>
          <w:rFonts w:hint="eastAsia" w:ascii="Times New Roman" w:hAnsi="Times New Roman" w:eastAsia="仿宋_GB2312" w:cs="仿宋_GB2312"/>
          <w:color w:val="000000" w:themeColor="text1"/>
          <w:sz w:val="32"/>
          <w:szCs w:val="32"/>
          <w:lang w:eastAsia="zh-CN"/>
          <w14:textFill>
            <w14:solidFill>
              <w14:schemeClr w14:val="tx1"/>
            </w14:solidFill>
          </w14:textFill>
        </w:rPr>
        <w:t>五</w:t>
      </w:r>
      <w:r>
        <w:rPr>
          <w:rFonts w:hint="eastAsia" w:ascii="Times New Roman" w:hAnsi="Times New Roman" w:eastAsia="仿宋_GB2312" w:cs="仿宋_GB2312"/>
          <w:color w:val="000000" w:themeColor="text1"/>
          <w:sz w:val="32"/>
          <w:szCs w:val="32"/>
          <w14:textFill>
            <w14:solidFill>
              <w14:schemeClr w14:val="tx1"/>
            </w14:solidFill>
          </w14:textFill>
        </w:rPr>
        <w:t>）建议医药企业对一定周期内聘用单个</w:t>
      </w:r>
      <w:r>
        <w:rPr>
          <w:rFonts w:hint="eastAsia" w:ascii="Times New Roman" w:hAnsi="Times New Roman" w:eastAsia="仿宋_GB2312" w:cs="仿宋_GB2312"/>
          <w:color w:val="000000" w:themeColor="text1"/>
          <w:sz w:val="32"/>
          <w:szCs w:val="32"/>
          <w:lang w:eastAsia="zh-CN"/>
          <w14:textFill>
            <w14:solidFill>
              <w14:schemeClr w14:val="tx1"/>
            </w14:solidFill>
          </w14:textFill>
        </w:rPr>
        <w:t>医疗卫生人员</w:t>
      </w:r>
      <w:r>
        <w:rPr>
          <w:rFonts w:hint="eastAsia" w:ascii="Times New Roman" w:hAnsi="Times New Roman" w:eastAsia="仿宋_GB2312" w:cs="仿宋_GB2312"/>
          <w:color w:val="000000" w:themeColor="text1"/>
          <w:sz w:val="32"/>
          <w:szCs w:val="32"/>
          <w14:textFill>
            <w14:solidFill>
              <w14:schemeClr w14:val="tx1"/>
            </w14:solidFill>
          </w14:textFill>
        </w:rPr>
        <w:t>的次数以及向其支付咨询费用的总额予以合理限定</w:t>
      </w:r>
      <w:r>
        <w:rPr>
          <w:rFonts w:hint="eastAsia" w:ascii="Times New Roman" w:hAnsi="Times New Roman" w:eastAsia="仿宋_GB2312" w:cs="仿宋_GB2312"/>
          <w:color w:val="000000" w:themeColor="text1"/>
          <w:sz w:val="32"/>
          <w:szCs w:val="32"/>
          <w:lang w:eastAsia="zh-CN"/>
          <w14:textFill>
            <w14:solidFill>
              <w14:schemeClr w14:val="tx1"/>
            </w14:solidFill>
          </w14:textFill>
        </w:rPr>
        <w:t>。</w:t>
      </w:r>
    </w:p>
    <w:p>
      <w:pPr>
        <w:overflowPunct w:val="0"/>
        <w:adjustRightInd w:val="0"/>
        <w:snapToGrid w:val="0"/>
        <w:spacing w:line="598" w:lineRule="exact"/>
        <w:ind w:firstLine="640" w:firstLineChars="20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w:t>
      </w:r>
      <w:r>
        <w:rPr>
          <w:rFonts w:hint="eastAsia" w:ascii="Times New Roman" w:hAnsi="Times New Roman" w:eastAsia="仿宋_GB2312" w:cs="仿宋_GB2312"/>
          <w:color w:val="000000" w:themeColor="text1"/>
          <w:sz w:val="32"/>
          <w:szCs w:val="32"/>
          <w:lang w:eastAsia="zh-CN"/>
          <w14:textFill>
            <w14:solidFill>
              <w14:schemeClr w14:val="tx1"/>
            </w14:solidFill>
          </w14:textFill>
        </w:rPr>
        <w:t>六</w:t>
      </w:r>
      <w:r>
        <w:rPr>
          <w:rFonts w:hint="eastAsia" w:ascii="Times New Roman" w:hAnsi="Times New Roman" w:eastAsia="仿宋_GB2312" w:cs="仿宋_GB2312"/>
          <w:color w:val="000000" w:themeColor="text1"/>
          <w:sz w:val="32"/>
          <w:szCs w:val="32"/>
          <w14:textFill>
            <w14:solidFill>
              <w14:schemeClr w14:val="tx1"/>
            </w14:solidFill>
          </w14:textFill>
        </w:rPr>
        <w:t>）医药企业应当</w:t>
      </w:r>
      <w:r>
        <w:rPr>
          <w:rFonts w:hint="eastAsia" w:ascii="Times New Roman" w:hAnsi="Times New Roman" w:eastAsia="仿宋_GB2312" w:cs="仿宋_GB2312"/>
          <w:color w:val="000000" w:themeColor="text1"/>
          <w:sz w:val="32"/>
          <w:szCs w:val="32"/>
          <w:lang w:eastAsia="zh-CN"/>
          <w14:textFill>
            <w14:solidFill>
              <w14:schemeClr w14:val="tx1"/>
            </w14:solidFill>
          </w14:textFill>
        </w:rPr>
        <w:t>如实记录并</w:t>
      </w:r>
      <w:r>
        <w:rPr>
          <w:rFonts w:hint="eastAsia" w:ascii="Times New Roman" w:hAnsi="Times New Roman" w:eastAsia="仿宋_GB2312" w:cs="仿宋_GB2312"/>
          <w:color w:val="000000" w:themeColor="text1"/>
          <w:sz w:val="32"/>
          <w:szCs w:val="32"/>
          <w14:textFill>
            <w14:solidFill>
              <w14:schemeClr w14:val="tx1"/>
            </w14:solidFill>
          </w14:textFill>
        </w:rPr>
        <w:t>妥善留存</w:t>
      </w:r>
      <w:r>
        <w:rPr>
          <w:rFonts w:hint="eastAsia" w:ascii="Times New Roman" w:hAnsi="Times New Roman" w:eastAsia="仿宋_GB2312" w:cs="仿宋_GB2312"/>
          <w:color w:val="000000" w:themeColor="text1"/>
          <w:sz w:val="32"/>
          <w:szCs w:val="32"/>
          <w:lang w:eastAsia="zh-CN"/>
          <w14:textFill>
            <w14:solidFill>
              <w14:schemeClr w14:val="tx1"/>
            </w14:solidFill>
          </w14:textFill>
        </w:rPr>
        <w:t>医疗卫生人员</w:t>
      </w:r>
      <w:r>
        <w:rPr>
          <w:rFonts w:hint="eastAsia" w:ascii="Times New Roman" w:hAnsi="Times New Roman" w:eastAsia="仿宋_GB2312" w:cs="仿宋_GB2312"/>
          <w:color w:val="000000" w:themeColor="text1"/>
          <w:sz w:val="32"/>
          <w:szCs w:val="32"/>
          <w14:textFill>
            <w14:solidFill>
              <w14:schemeClr w14:val="tx1"/>
            </w14:solidFill>
          </w14:textFill>
        </w:rPr>
        <w:t>的服务记录</w:t>
      </w:r>
      <w:r>
        <w:rPr>
          <w:rFonts w:hint="eastAsia" w:ascii="Times New Roman" w:hAnsi="Times New Roman" w:eastAsia="仿宋_GB2312" w:cs="仿宋_GB2312"/>
          <w:color w:val="000000" w:themeColor="text1"/>
          <w:sz w:val="32"/>
          <w:szCs w:val="32"/>
          <w:lang w:eastAsia="zh-CN"/>
          <w14:textFill>
            <w14:solidFill>
              <w14:schemeClr w14:val="tx1"/>
            </w14:solidFill>
          </w14:textFill>
        </w:rPr>
        <w:t>、</w:t>
      </w:r>
      <w:r>
        <w:rPr>
          <w:rFonts w:hint="eastAsia" w:ascii="Times New Roman" w:hAnsi="Times New Roman" w:eastAsia="仿宋_GB2312" w:cs="仿宋_GB2312"/>
          <w:color w:val="000000" w:themeColor="text1"/>
          <w:sz w:val="32"/>
          <w:szCs w:val="32"/>
          <w14:textFill>
            <w14:solidFill>
              <w14:schemeClr w14:val="tx1"/>
            </w14:solidFill>
          </w14:textFill>
        </w:rPr>
        <w:t>服务成果</w:t>
      </w:r>
      <w:r>
        <w:rPr>
          <w:rFonts w:hint="eastAsia" w:ascii="Times New Roman" w:hAnsi="Times New Roman" w:eastAsia="仿宋_GB2312" w:cs="仿宋_GB2312"/>
          <w:color w:val="000000" w:themeColor="text1"/>
          <w:sz w:val="32"/>
          <w:szCs w:val="32"/>
          <w:lang w:eastAsia="zh-CN"/>
          <w14:textFill>
            <w14:solidFill>
              <w14:schemeClr w14:val="tx1"/>
            </w14:solidFill>
          </w14:textFill>
        </w:rPr>
        <w:t>、服务详细内容</w:t>
      </w:r>
      <w:r>
        <w:rPr>
          <w:rFonts w:hint="eastAsia" w:ascii="Times New Roman" w:hAnsi="Times New Roman" w:eastAsia="仿宋_GB2312" w:cs="仿宋_GB2312"/>
          <w:color w:val="000000" w:themeColor="text1"/>
          <w:sz w:val="32"/>
          <w:szCs w:val="32"/>
          <w14:textFill>
            <w14:solidFill>
              <w14:schemeClr w14:val="tx1"/>
            </w14:solidFill>
          </w14:textFill>
        </w:rPr>
        <w:t>等，以证明</w:t>
      </w:r>
      <w:r>
        <w:rPr>
          <w:rFonts w:hint="eastAsia" w:ascii="Times New Roman" w:hAnsi="Times New Roman" w:eastAsia="仿宋_GB2312" w:cs="仿宋_GB2312"/>
          <w:color w:val="000000" w:themeColor="text1"/>
          <w:sz w:val="32"/>
          <w:szCs w:val="32"/>
          <w:lang w:eastAsia="zh-CN"/>
          <w14:textFill>
            <w14:solidFill>
              <w14:schemeClr w14:val="tx1"/>
            </w14:solidFill>
          </w14:textFill>
        </w:rPr>
        <w:t>服务</w:t>
      </w:r>
      <w:r>
        <w:rPr>
          <w:rFonts w:hint="eastAsia" w:ascii="Times New Roman" w:hAnsi="Times New Roman" w:eastAsia="仿宋_GB2312" w:cs="仿宋_GB2312"/>
          <w:color w:val="000000" w:themeColor="text1"/>
          <w:sz w:val="32"/>
          <w:szCs w:val="32"/>
          <w14:textFill>
            <w14:solidFill>
              <w14:schemeClr w14:val="tx1"/>
            </w14:solidFill>
          </w14:textFill>
        </w:rPr>
        <w:t>行为的真实性、合理性和</w:t>
      </w:r>
      <w:r>
        <w:rPr>
          <w:rFonts w:hint="eastAsia" w:ascii="Times New Roman" w:hAnsi="Times New Roman" w:eastAsia="仿宋_GB2312" w:cs="仿宋_GB2312"/>
          <w:color w:val="000000" w:themeColor="text1"/>
          <w:sz w:val="32"/>
          <w:szCs w:val="32"/>
          <w:lang w:eastAsia="zh-CN"/>
          <w14:textFill>
            <w14:solidFill>
              <w14:schemeClr w14:val="tx1"/>
            </w14:solidFill>
          </w14:textFill>
        </w:rPr>
        <w:t>等价</w:t>
      </w:r>
      <w:r>
        <w:rPr>
          <w:rFonts w:hint="eastAsia" w:ascii="Times New Roman" w:hAnsi="Times New Roman" w:eastAsia="仿宋_GB2312" w:cs="仿宋_GB2312"/>
          <w:color w:val="000000" w:themeColor="text1"/>
          <w:sz w:val="32"/>
          <w:szCs w:val="32"/>
          <w14:textFill>
            <w14:solidFill>
              <w14:schemeClr w14:val="tx1"/>
            </w14:solidFill>
          </w14:textFill>
        </w:rPr>
        <w:t>性</w:t>
      </w:r>
      <w:r>
        <w:rPr>
          <w:rFonts w:hint="eastAsia" w:ascii="Times New Roman" w:hAnsi="Times New Roman" w:eastAsia="仿宋_GB2312" w:cs="仿宋_GB2312"/>
          <w:color w:val="000000" w:themeColor="text1"/>
          <w:sz w:val="32"/>
          <w:szCs w:val="32"/>
          <w:lang w:eastAsia="zh-CN"/>
          <w14:textFill>
            <w14:solidFill>
              <w14:schemeClr w14:val="tx1"/>
            </w14:solidFill>
          </w14:textFill>
        </w:rPr>
        <w:t>。</w:t>
      </w:r>
    </w:p>
    <w:p>
      <w:pPr>
        <w:overflowPunct w:val="0"/>
        <w:adjustRightInd w:val="0"/>
        <w:snapToGrid w:val="0"/>
        <w:spacing w:line="598" w:lineRule="exact"/>
        <w:ind w:firstLine="640" w:firstLineChars="20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w:t>
      </w:r>
      <w:r>
        <w:rPr>
          <w:rFonts w:hint="eastAsia" w:ascii="Times New Roman" w:hAnsi="Times New Roman" w:eastAsia="仿宋_GB2312" w:cs="仿宋_GB2312"/>
          <w:color w:val="000000" w:themeColor="text1"/>
          <w:sz w:val="32"/>
          <w:szCs w:val="32"/>
          <w:lang w:eastAsia="zh-CN"/>
          <w14:textFill>
            <w14:solidFill>
              <w14:schemeClr w14:val="tx1"/>
            </w14:solidFill>
          </w14:textFill>
        </w:rPr>
        <w:t>七</w:t>
      </w:r>
      <w:r>
        <w:rPr>
          <w:rFonts w:hint="eastAsia" w:ascii="Times New Roman" w:hAnsi="Times New Roman" w:eastAsia="仿宋_GB2312" w:cs="仿宋_GB2312"/>
          <w:color w:val="000000" w:themeColor="text1"/>
          <w:sz w:val="32"/>
          <w:szCs w:val="32"/>
          <w14:textFill>
            <w14:solidFill>
              <w14:schemeClr w14:val="tx1"/>
            </w14:solidFill>
          </w14:textFill>
        </w:rPr>
        <w:t>）</w:t>
      </w:r>
      <w:r>
        <w:rPr>
          <w:rFonts w:hint="eastAsia" w:ascii="Times New Roman" w:hAnsi="Times New Roman" w:eastAsia="仿宋_GB2312" w:cs="仿宋_GB2312"/>
          <w:color w:val="000000" w:themeColor="text1"/>
          <w:sz w:val="32"/>
          <w:szCs w:val="32"/>
          <w:lang w:eastAsia="zh-CN"/>
          <w14:textFill>
            <w14:solidFill>
              <w14:schemeClr w14:val="tx1"/>
            </w14:solidFill>
          </w14:textFill>
        </w:rPr>
        <w:t>建议</w:t>
      </w:r>
      <w:r>
        <w:rPr>
          <w:rFonts w:hint="eastAsia" w:ascii="Times New Roman" w:hAnsi="Times New Roman" w:eastAsia="仿宋_GB2312" w:cs="仿宋_GB2312"/>
          <w:color w:val="000000" w:themeColor="text1"/>
          <w:sz w:val="32"/>
          <w:szCs w:val="32"/>
          <w14:textFill>
            <w14:solidFill>
              <w14:schemeClr w14:val="tx1"/>
            </w14:solidFill>
          </w14:textFill>
        </w:rPr>
        <w:t>医药企业以银行转账方式向</w:t>
      </w:r>
      <w:r>
        <w:rPr>
          <w:rFonts w:hint="eastAsia" w:ascii="Times New Roman" w:hAnsi="Times New Roman" w:eastAsia="仿宋_GB2312" w:cs="仿宋_GB2312"/>
          <w:color w:val="000000" w:themeColor="text1"/>
          <w:sz w:val="32"/>
          <w:szCs w:val="32"/>
          <w:lang w:eastAsia="zh-CN"/>
          <w14:textFill>
            <w14:solidFill>
              <w14:schemeClr w14:val="tx1"/>
            </w14:solidFill>
          </w14:textFill>
        </w:rPr>
        <w:t>医疗卫生人员</w:t>
      </w:r>
      <w:r>
        <w:rPr>
          <w:rFonts w:hint="eastAsia" w:ascii="Times New Roman" w:hAnsi="Times New Roman" w:eastAsia="仿宋_GB2312" w:cs="仿宋_GB2312"/>
          <w:color w:val="000000" w:themeColor="text1"/>
          <w:sz w:val="32"/>
          <w:szCs w:val="32"/>
          <w14:textFill>
            <w14:solidFill>
              <w14:schemeClr w14:val="tx1"/>
            </w14:solidFill>
          </w14:textFill>
        </w:rPr>
        <w:t>支付服务费。</w:t>
      </w:r>
    </w:p>
    <w:p>
      <w:pPr>
        <w:pStyle w:val="15"/>
        <w:numPr>
          <w:ilvl w:val="0"/>
          <w:numId w:val="1"/>
        </w:numPr>
        <w:overflowPunct w:val="0"/>
        <w:adjustRightInd w:val="0"/>
        <w:snapToGrid w:val="0"/>
        <w:spacing w:line="598" w:lineRule="exact"/>
        <w:ind w:left="0" w:firstLine="64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lang w:eastAsia="zh-CN"/>
          <w14:textFill>
            <w14:solidFill>
              <w14:schemeClr w14:val="tx1"/>
            </w14:solidFill>
          </w14:textFill>
        </w:rPr>
        <w:t>医药企业聘请医疗卫生人员提供咨询服务，应当注意以下行为风险的识别与防范：</w:t>
      </w:r>
    </w:p>
    <w:p>
      <w:pPr>
        <w:overflowPunct w:val="0"/>
        <w:adjustRightInd w:val="0"/>
        <w:snapToGrid w:val="0"/>
        <w:spacing w:line="598" w:lineRule="exact"/>
        <w:ind w:firstLine="640" w:firstLineChars="20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（一）</w:t>
      </w:r>
      <w:r>
        <w:rPr>
          <w:rFonts w:hint="eastAsia" w:ascii="Times New Roman" w:hAnsi="Times New Roman" w:eastAsia="仿宋_GB2312" w:cs="仿宋_GB2312"/>
          <w:color w:val="000000" w:themeColor="text1"/>
          <w:sz w:val="32"/>
          <w:szCs w:val="32"/>
          <w:lang w:eastAsia="zh-CN"/>
          <w14:textFill>
            <w14:solidFill>
              <w14:schemeClr w14:val="tx1"/>
            </w14:solidFill>
          </w14:textFill>
        </w:rPr>
        <w:t>避免</w:t>
      </w:r>
      <w:r>
        <w:rPr>
          <w:rFonts w:hint="eastAsia" w:ascii="Times New Roman" w:hAnsi="Times New Roman" w:eastAsia="仿宋_GB2312" w:cs="仿宋_GB2312"/>
          <w:color w:val="000000" w:themeColor="text1"/>
          <w:sz w:val="32"/>
          <w:szCs w:val="32"/>
          <w14:textFill>
            <w14:solidFill>
              <w14:schemeClr w14:val="tx1"/>
            </w14:solidFill>
          </w14:textFill>
        </w:rPr>
        <w:t>以现金或者现金等价物的方式向</w:t>
      </w:r>
      <w:r>
        <w:rPr>
          <w:rFonts w:hint="eastAsia" w:ascii="Times New Roman" w:hAnsi="Times New Roman" w:eastAsia="仿宋_GB2312" w:cs="仿宋_GB2312"/>
          <w:color w:val="000000" w:themeColor="text1"/>
          <w:sz w:val="32"/>
          <w:szCs w:val="32"/>
          <w:lang w:eastAsia="zh-CN"/>
          <w14:textFill>
            <w14:solidFill>
              <w14:schemeClr w14:val="tx1"/>
            </w14:solidFill>
          </w14:textFill>
        </w:rPr>
        <w:t>医疗卫生人员</w:t>
      </w:r>
      <w:r>
        <w:rPr>
          <w:rFonts w:hint="eastAsia" w:ascii="Times New Roman" w:hAnsi="Times New Roman" w:eastAsia="仿宋_GB2312" w:cs="仿宋_GB2312"/>
          <w:color w:val="000000" w:themeColor="text1"/>
          <w:sz w:val="32"/>
          <w:szCs w:val="32"/>
          <w14:textFill>
            <w14:solidFill>
              <w14:schemeClr w14:val="tx1"/>
            </w14:solidFill>
          </w14:textFill>
        </w:rPr>
        <w:t>支付服务费。</w:t>
      </w:r>
    </w:p>
    <w:p>
      <w:pPr>
        <w:overflowPunct w:val="0"/>
        <w:adjustRightInd w:val="0"/>
        <w:snapToGrid w:val="0"/>
        <w:spacing w:line="598" w:lineRule="exact"/>
        <w:ind w:firstLine="640" w:firstLineChars="20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w:t>
      </w:r>
      <w:r>
        <w:rPr>
          <w:rFonts w:hint="eastAsia" w:ascii="Times New Roman" w:hAnsi="Times New Roman" w:eastAsia="仿宋_GB2312" w:cs="仿宋_GB2312"/>
          <w:color w:val="000000" w:themeColor="text1"/>
          <w:sz w:val="32"/>
          <w:szCs w:val="32"/>
          <w:lang w:eastAsia="zh-CN"/>
          <w14:textFill>
            <w14:solidFill>
              <w14:schemeClr w14:val="tx1"/>
            </w14:solidFill>
          </w14:textFill>
        </w:rPr>
        <w:t>二</w:t>
      </w:r>
      <w:r>
        <w:rPr>
          <w:rFonts w:hint="eastAsia" w:ascii="Times New Roman" w:hAnsi="Times New Roman" w:eastAsia="仿宋_GB2312" w:cs="仿宋_GB2312"/>
          <w:color w:val="000000" w:themeColor="text1"/>
          <w:sz w:val="32"/>
          <w:szCs w:val="32"/>
          <w14:textFill>
            <w14:solidFill>
              <w14:schemeClr w14:val="tx1"/>
            </w14:solidFill>
          </w14:textFill>
        </w:rPr>
        <w:t>）禁止医药企业通过聘用</w:t>
      </w:r>
      <w:r>
        <w:rPr>
          <w:rFonts w:hint="eastAsia" w:ascii="Times New Roman" w:hAnsi="Times New Roman" w:eastAsia="仿宋_GB2312" w:cs="仿宋_GB2312"/>
          <w:color w:val="000000" w:themeColor="text1"/>
          <w:sz w:val="32"/>
          <w:szCs w:val="32"/>
          <w:lang w:eastAsia="zh-CN"/>
          <w14:textFill>
            <w14:solidFill>
              <w14:schemeClr w14:val="tx1"/>
            </w14:solidFill>
          </w14:textFill>
        </w:rPr>
        <w:t>医疗卫生人员</w:t>
      </w:r>
      <w:r>
        <w:rPr>
          <w:rFonts w:hint="eastAsia" w:ascii="Times New Roman" w:hAnsi="Times New Roman" w:eastAsia="仿宋_GB2312" w:cs="仿宋_GB2312"/>
          <w:color w:val="000000" w:themeColor="text1"/>
          <w:sz w:val="32"/>
          <w:szCs w:val="32"/>
          <w14:textFill>
            <w14:solidFill>
              <w14:schemeClr w14:val="tx1"/>
            </w14:solidFill>
          </w14:textFill>
        </w:rPr>
        <w:t>提供相关咨询服务以奖励或者诱导其开具</w:t>
      </w:r>
      <w:r>
        <w:rPr>
          <w:rFonts w:hint="eastAsia" w:ascii="Times New Roman" w:hAnsi="Times New Roman" w:eastAsia="仿宋_GB2312" w:cs="仿宋_GB2312"/>
          <w:color w:val="000000" w:themeColor="text1"/>
          <w:sz w:val="32"/>
          <w:szCs w:val="32"/>
          <w:lang w:eastAsia="zh-CN"/>
          <w14:textFill>
            <w14:solidFill>
              <w14:schemeClr w14:val="tx1"/>
            </w14:solidFill>
          </w14:textFill>
        </w:rPr>
        <w:t>医药产品处方</w:t>
      </w:r>
      <w:r>
        <w:rPr>
          <w:rFonts w:hint="eastAsia" w:ascii="Times New Roman" w:hAnsi="Times New Roman" w:eastAsia="仿宋_GB2312" w:cs="仿宋_GB2312"/>
          <w:color w:val="000000" w:themeColor="text1"/>
          <w:sz w:val="32"/>
          <w:szCs w:val="32"/>
          <w14:textFill>
            <w14:solidFill>
              <w14:schemeClr w14:val="tx1"/>
            </w14:solidFill>
          </w14:textFill>
        </w:rPr>
        <w:t>，或者推荐、宣传、采购、使用本企业医药产品。</w:t>
      </w:r>
    </w:p>
    <w:p>
      <w:pPr>
        <w:overflowPunct w:val="0"/>
        <w:adjustRightInd w:val="0"/>
        <w:snapToGrid w:val="0"/>
        <w:spacing w:line="598" w:lineRule="exact"/>
        <w:ind w:firstLine="640" w:firstLineChars="20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lang w:eastAsia="zh-CN"/>
          <w14:textFill>
            <w14:solidFill>
              <w14:schemeClr w14:val="tx1"/>
            </w14:solidFill>
          </w14:textFill>
        </w:rPr>
        <w:t>（三）禁止以咨询服务名义向医疗卫生人员输送不当利益。</w:t>
      </w:r>
    </w:p>
    <w:p>
      <w:pPr>
        <w:overflowPunct w:val="0"/>
        <w:adjustRightInd w:val="0"/>
        <w:snapToGrid w:val="0"/>
        <w:spacing w:line="598" w:lineRule="exact"/>
        <w:ind w:firstLine="640" w:firstLineChars="200"/>
        <w:rPr>
          <w:rFonts w:hint="eastAsia" w:ascii="Times New Roman" w:hAnsi="Times New Roman" w:eastAsia="仿宋_GB2312" w:cs="仿宋_GB2312"/>
          <w:color w:val="000000" w:themeColor="text1"/>
          <w:sz w:val="32"/>
          <w:szCs w:val="32"/>
          <w14:textFill>
            <w14:solidFill>
              <w14:schemeClr w14:val="tx1"/>
            </w14:solidFill>
          </w14:textFill>
        </w:rPr>
      </w:pPr>
    </w:p>
    <w:p>
      <w:pPr>
        <w:pStyle w:val="3"/>
        <w:keepNext w:val="0"/>
        <w:keepLines w:val="0"/>
        <w:pageBreakBefore w:val="0"/>
        <w:widowControl w:val="0"/>
        <w:numPr>
          <w:ilvl w:val="0"/>
          <w:numId w:val="2"/>
        </w:numPr>
        <w:kinsoku/>
        <w:wordWrap/>
        <w:overflowPunct w:val="0"/>
        <w:topLinePunct w:val="0"/>
        <w:autoSpaceDE/>
        <w:autoSpaceDN/>
        <w:bidi w:val="0"/>
        <w:adjustRightInd w:val="0"/>
        <w:snapToGrid w:val="0"/>
        <w:spacing w:before="0" w:after="0" w:line="598" w:lineRule="exact"/>
        <w:jc w:val="center"/>
        <w:textAlignment w:val="auto"/>
        <w:outlineLvl w:val="1"/>
        <w:rPr>
          <w:rFonts w:hint="default" w:ascii="Times New Roman" w:hAnsi="Times New Roman" w:eastAsia="黑体" w:cs="黑体"/>
          <w:b w:val="0"/>
          <w:bCs w:val="0"/>
          <w:color w:val="000000" w:themeColor="text1"/>
          <w:sz w:val="32"/>
          <w:szCs w:val="32"/>
          <w14:textFill>
            <w14:solidFill>
              <w14:schemeClr w14:val="tx1"/>
            </w14:solidFill>
          </w14:textFill>
        </w:rPr>
      </w:pPr>
      <w:bookmarkStart w:id="9" w:name="_Toc153726512"/>
      <w:r>
        <w:rPr>
          <w:rFonts w:hint="default" w:ascii="Times New Roman" w:hAnsi="Times New Roman" w:eastAsia="黑体" w:cs="黑体"/>
          <w:b w:val="0"/>
          <w:bCs w:val="0"/>
          <w:color w:val="000000" w:themeColor="text1"/>
          <w:sz w:val="32"/>
          <w:szCs w:val="32"/>
          <w14:textFill>
            <w14:solidFill>
              <w14:schemeClr w14:val="tx1"/>
            </w14:solidFill>
          </w14:textFill>
        </w:rPr>
        <w:t>外包服务商业贿赂风险</w:t>
      </w:r>
      <w:bookmarkEnd w:id="9"/>
    </w:p>
    <w:p>
      <w:pPr>
        <w:keepNext w:val="0"/>
        <w:keepLines w:val="0"/>
        <w:numPr>
          <w:ilvl w:val="-1"/>
          <w:numId w:val="0"/>
        </w:numPr>
        <w:spacing w:line="598" w:lineRule="exact"/>
        <w:jc w:val="center"/>
        <w:rPr>
          <w:rFonts w:hint="eastAsia" w:ascii="Times New Roman" w:hAnsi="Times New Roman" w:eastAsia="宋体"/>
          <w:b w:val="0"/>
          <w:bCs w:val="0"/>
          <w:color w:val="000000" w:themeColor="text1"/>
          <w14:textFill>
            <w14:solidFill>
              <w14:schemeClr w14:val="tx1"/>
            </w14:solidFill>
          </w14:textFill>
        </w:rPr>
      </w:pPr>
    </w:p>
    <w:p>
      <w:pPr>
        <w:pStyle w:val="15"/>
        <w:numPr>
          <w:ilvl w:val="0"/>
          <w:numId w:val="1"/>
        </w:numPr>
        <w:overflowPunct w:val="0"/>
        <w:adjustRightInd w:val="0"/>
        <w:snapToGrid w:val="0"/>
        <w:spacing w:line="598" w:lineRule="exact"/>
        <w:ind w:left="0" w:firstLine="64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lang w:eastAsia="zh-CN"/>
          <w14:textFill>
            <w14:solidFill>
              <w14:schemeClr w14:val="tx1"/>
            </w14:solidFill>
          </w14:textFill>
        </w:rPr>
        <w:t>本</w:t>
      </w:r>
      <w:r>
        <w:rPr>
          <w:rFonts w:hint="eastAsia" w:ascii="Times New Roman" w:hAnsi="Times New Roman" w:eastAsia="仿宋_GB2312" w:cs="仿宋_GB2312"/>
          <w:color w:val="000000" w:themeColor="text1"/>
          <w:sz w:val="32"/>
          <w:szCs w:val="32"/>
          <w14:textFill>
            <w14:solidFill>
              <w14:schemeClr w14:val="tx1"/>
            </w14:solidFill>
          </w14:textFill>
        </w:rPr>
        <w:t>指引所称的外包服务，是指第三方为医药企业提供的有关医药产品研发、生产和流通等各类服务。</w:t>
      </w:r>
    </w:p>
    <w:p>
      <w:pPr>
        <w:pStyle w:val="15"/>
        <w:numPr>
          <w:ilvl w:val="0"/>
          <w:numId w:val="1"/>
        </w:numPr>
        <w:overflowPunct w:val="0"/>
        <w:adjustRightInd w:val="0"/>
        <w:snapToGrid w:val="0"/>
        <w:spacing w:line="598" w:lineRule="exact"/>
        <w:ind w:left="0" w:firstLine="64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lang w:eastAsia="zh-CN"/>
          <w14:textFill>
            <w14:solidFill>
              <w14:schemeClr w14:val="tx1"/>
            </w14:solidFill>
          </w14:textFill>
        </w:rPr>
        <w:t>医药企业选聘第三方提供相关服务，应当注意以下事项：</w:t>
      </w:r>
    </w:p>
    <w:p>
      <w:pPr>
        <w:overflowPunct w:val="0"/>
        <w:adjustRightInd w:val="0"/>
        <w:snapToGrid w:val="0"/>
        <w:spacing w:line="598" w:lineRule="exact"/>
        <w:ind w:firstLine="640" w:firstLineChars="20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一）医药企业应当建立外包服务商的选聘机制，鼓励采用竞争性方式选聘合作方；选聘应当遵循公开、透明的原则，并保留完整的选聘记录；医药企业应当要求外包服务商提供必要的证明资料，包括但不限于注册证明、资质、财务、税务、场地、人员、业务能力、违法记录、社会信用记录等；医药企业应当对外包服务商实施尽职调查</w:t>
      </w:r>
      <w:r>
        <w:rPr>
          <w:rFonts w:hint="eastAsia" w:ascii="Times New Roman" w:hAnsi="Times New Roman" w:eastAsia="仿宋_GB2312" w:cs="仿宋_GB2312"/>
          <w:color w:val="000000" w:themeColor="text1"/>
          <w:sz w:val="32"/>
          <w:szCs w:val="32"/>
          <w:lang w:eastAsia="zh-CN"/>
          <w14:textFill>
            <w14:solidFill>
              <w14:schemeClr w14:val="tx1"/>
            </w14:solidFill>
          </w14:textFill>
        </w:rPr>
        <w:t>。</w:t>
      </w:r>
    </w:p>
    <w:p>
      <w:pPr>
        <w:overflowPunct w:val="0"/>
        <w:adjustRightInd w:val="0"/>
        <w:snapToGrid w:val="0"/>
        <w:spacing w:line="598" w:lineRule="exact"/>
        <w:ind w:firstLine="640" w:firstLineChars="200"/>
        <w:rPr>
          <w:rFonts w:hint="eastAsia" w:ascii="Times New Roman" w:hAnsi="Times New Roman" w:eastAsia="仿宋_GB2312" w:cs="仿宋_GB2312"/>
          <w:snapToGrid w:val="0"/>
          <w:color w:val="000000" w:themeColor="text1"/>
          <w:sz w:val="32"/>
          <w:szCs w:val="32"/>
          <w14:textFill>
            <w14:solidFill>
              <w14:schemeClr w14:val="tx1"/>
            </w14:solidFill>
          </w14:textFill>
        </w:rPr>
      </w:pPr>
      <w:r>
        <w:rPr>
          <w:rFonts w:hint="eastAsia" w:ascii="Times New Roman" w:hAnsi="Times New Roman" w:eastAsia="仿宋_GB2312" w:cs="仿宋_GB2312"/>
          <w:snapToGrid w:val="0"/>
          <w:color w:val="000000" w:themeColor="text1"/>
          <w:sz w:val="32"/>
          <w:szCs w:val="32"/>
          <w14:textFill>
            <w14:solidFill>
              <w14:schemeClr w14:val="tx1"/>
            </w14:solidFill>
          </w14:textFill>
        </w:rPr>
        <w:t>（二）医药企业应当与外包服务商签订服务合同，全面载明服务内容、服务成果、费用标准、服务期限以及反商业贿赂条款等；建议在合同中明确约定，医药企业有权对外包事项的履行情况进行必要的监督或者合规审核</w:t>
      </w:r>
      <w:r>
        <w:rPr>
          <w:rFonts w:hint="eastAsia" w:ascii="Times New Roman" w:hAnsi="Times New Roman" w:eastAsia="仿宋_GB2312" w:cs="仿宋_GB2312"/>
          <w:snapToGrid w:val="0"/>
          <w:color w:val="000000" w:themeColor="text1"/>
          <w:sz w:val="32"/>
          <w:szCs w:val="32"/>
          <w:lang w:eastAsia="zh-CN"/>
          <w14:textFill>
            <w14:solidFill>
              <w14:schemeClr w14:val="tx1"/>
            </w14:solidFill>
          </w14:textFill>
        </w:rPr>
        <w:t>。</w:t>
      </w:r>
    </w:p>
    <w:p>
      <w:pPr>
        <w:overflowPunct w:val="0"/>
        <w:adjustRightInd w:val="0"/>
        <w:snapToGrid w:val="0"/>
        <w:spacing w:line="570" w:lineRule="exact"/>
        <w:ind w:firstLine="640" w:firstLineChars="200"/>
        <w:rPr>
          <w:rFonts w:hint="eastAsia" w:ascii="Times New Roman" w:hAnsi="Times New Roman" w:eastAsia="仿宋_GB2312" w:cs="仿宋_GB2312"/>
          <w:color w:val="000000" w:themeColor="text1"/>
          <w:spacing w:val="0"/>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（三）建</w:t>
      </w:r>
      <w:r>
        <w:rPr>
          <w:rFonts w:hint="eastAsia" w:ascii="Times New Roman" w:hAnsi="Times New Roman" w:eastAsia="仿宋_GB2312" w:cs="仿宋_GB2312"/>
          <w:color w:val="000000" w:themeColor="text1"/>
          <w:spacing w:val="0"/>
          <w:sz w:val="32"/>
          <w:szCs w:val="32"/>
          <w14:textFill>
            <w14:solidFill>
              <w14:schemeClr w14:val="tx1"/>
            </w14:solidFill>
          </w14:textFill>
        </w:rPr>
        <w:t>议医药企业制定负面清单，通过与外包服务商签订的合同或承诺书等明确其在服务过程中的禁止性行为</w:t>
      </w:r>
      <w:r>
        <w:rPr>
          <w:rFonts w:hint="eastAsia" w:ascii="Times New Roman" w:hAnsi="Times New Roman" w:eastAsia="仿宋_GB2312" w:cs="仿宋_GB2312"/>
          <w:color w:val="000000" w:themeColor="text1"/>
          <w:spacing w:val="0"/>
          <w:sz w:val="32"/>
          <w:szCs w:val="32"/>
          <w:lang w:eastAsia="zh-CN"/>
          <w14:textFill>
            <w14:solidFill>
              <w14:schemeClr w14:val="tx1"/>
            </w14:solidFill>
          </w14:textFill>
        </w:rPr>
        <w:t>。</w:t>
      </w:r>
    </w:p>
    <w:p>
      <w:pPr>
        <w:overflowPunct w:val="0"/>
        <w:adjustRightInd w:val="0"/>
        <w:snapToGrid w:val="0"/>
        <w:spacing w:line="570" w:lineRule="exact"/>
        <w:ind w:firstLine="640" w:firstLineChars="200"/>
        <w:rPr>
          <w:rFonts w:hint="eastAsia" w:ascii="Times New Roman" w:hAnsi="Times New Roman" w:eastAsia="仿宋_GB2312" w:cs="仿宋_GB2312"/>
          <w:snapToGrid w:val="0"/>
          <w:color w:val="000000" w:themeColor="text1"/>
          <w:sz w:val="32"/>
          <w:szCs w:val="32"/>
          <w14:textFill>
            <w14:solidFill>
              <w14:schemeClr w14:val="tx1"/>
            </w14:solidFill>
          </w14:textFill>
        </w:rPr>
      </w:pPr>
      <w:r>
        <w:rPr>
          <w:rFonts w:hint="eastAsia" w:ascii="Times New Roman" w:hAnsi="Times New Roman" w:eastAsia="仿宋_GB2312" w:cs="仿宋_GB2312"/>
          <w:snapToGrid w:val="0"/>
          <w:color w:val="000000" w:themeColor="text1"/>
          <w:sz w:val="32"/>
          <w:szCs w:val="32"/>
          <w14:textFill>
            <w14:solidFill>
              <w14:schemeClr w14:val="tx1"/>
            </w14:solidFill>
          </w14:textFill>
        </w:rPr>
        <w:t>（四）建议医药企业根据双方约定的合同条款，定期对外包服务商的合同履行情况实施监督或者合规审核，重点关注人员、资金和场地等关键风险因素的变动情况</w:t>
      </w:r>
      <w:r>
        <w:rPr>
          <w:rFonts w:hint="eastAsia" w:ascii="Times New Roman" w:hAnsi="Times New Roman" w:eastAsia="仿宋_GB2312" w:cs="仿宋_GB2312"/>
          <w:snapToGrid w:val="0"/>
          <w:color w:val="000000" w:themeColor="text1"/>
          <w:sz w:val="32"/>
          <w:szCs w:val="32"/>
          <w:lang w:eastAsia="zh-CN"/>
          <w14:textFill>
            <w14:solidFill>
              <w14:schemeClr w14:val="tx1"/>
            </w14:solidFill>
          </w14:textFill>
        </w:rPr>
        <w:t>。</w:t>
      </w:r>
    </w:p>
    <w:p>
      <w:pPr>
        <w:overflowPunct w:val="0"/>
        <w:adjustRightInd w:val="0"/>
        <w:snapToGrid w:val="0"/>
        <w:spacing w:line="570" w:lineRule="exact"/>
        <w:ind w:firstLine="640" w:firstLineChars="20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（五）外包服务商发生商业贿赂的，医药企业应当根据合同和承诺书及时进行相关处置</w:t>
      </w:r>
      <w:r>
        <w:rPr>
          <w:rFonts w:hint="eastAsia" w:ascii="Times New Roman" w:hAnsi="Times New Roman" w:eastAsia="仿宋_GB2312" w:cs="仿宋_GB2312"/>
          <w:color w:val="000000" w:themeColor="text1"/>
          <w:sz w:val="32"/>
          <w:szCs w:val="32"/>
          <w:lang w:eastAsia="zh-CN"/>
          <w14:textFill>
            <w14:solidFill>
              <w14:schemeClr w14:val="tx1"/>
            </w14:solidFill>
          </w14:textFill>
        </w:rPr>
        <w:t>。</w:t>
      </w:r>
    </w:p>
    <w:p>
      <w:pPr>
        <w:overflowPunct w:val="0"/>
        <w:adjustRightInd w:val="0"/>
        <w:snapToGrid w:val="0"/>
        <w:spacing w:line="570" w:lineRule="exact"/>
        <w:ind w:firstLine="640" w:firstLineChars="20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（六）医药企业应当按照合同约定，评价外包服务商履约情况，并作为结算服务价款的依据。</w:t>
      </w:r>
    </w:p>
    <w:p>
      <w:pPr>
        <w:pStyle w:val="15"/>
        <w:numPr>
          <w:ilvl w:val="0"/>
          <w:numId w:val="1"/>
        </w:numPr>
        <w:overflowPunct w:val="0"/>
        <w:adjustRightInd w:val="0"/>
        <w:snapToGrid w:val="0"/>
        <w:spacing w:line="570" w:lineRule="exact"/>
        <w:ind w:left="0" w:firstLine="64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lang w:eastAsia="zh-CN"/>
          <w14:textFill>
            <w14:solidFill>
              <w14:schemeClr w14:val="tx1"/>
            </w14:solidFill>
          </w14:textFill>
        </w:rPr>
        <w:t>医药企业选聘第三方提供相关服务，应当注意以下行为风险的识别与防范：</w:t>
      </w:r>
    </w:p>
    <w:p>
      <w:pPr>
        <w:overflowPunct w:val="0"/>
        <w:adjustRightInd w:val="0"/>
        <w:snapToGrid w:val="0"/>
        <w:spacing w:line="570" w:lineRule="exact"/>
        <w:ind w:firstLine="640" w:firstLineChars="20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（一）医药企业应关注合同约定的外包服务费用标准或者实际支付的价款是否明显偏离市场公允价格</w:t>
      </w:r>
      <w:r>
        <w:rPr>
          <w:rFonts w:hint="eastAsia" w:ascii="Times New Roman" w:hAnsi="Times New Roman" w:eastAsia="仿宋_GB2312" w:cs="仿宋_GB2312"/>
          <w:color w:val="000000" w:themeColor="text1"/>
          <w:sz w:val="32"/>
          <w:szCs w:val="32"/>
          <w:lang w:eastAsia="zh-CN"/>
          <w14:textFill>
            <w14:solidFill>
              <w14:schemeClr w14:val="tx1"/>
            </w14:solidFill>
          </w14:textFill>
        </w:rPr>
        <w:t>。</w:t>
      </w:r>
    </w:p>
    <w:p>
      <w:pPr>
        <w:overflowPunct w:val="0"/>
        <w:adjustRightInd w:val="0"/>
        <w:snapToGrid w:val="0"/>
        <w:spacing w:line="570" w:lineRule="exact"/>
        <w:ind w:firstLine="640" w:firstLineChars="20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（二）医药企业避免未经适当准入程序，直接与外包服务商签订协议并开展业务</w:t>
      </w:r>
      <w:r>
        <w:rPr>
          <w:rFonts w:hint="eastAsia" w:ascii="Times New Roman" w:hAnsi="Times New Roman" w:eastAsia="仿宋_GB2312" w:cs="仿宋_GB2312"/>
          <w:color w:val="000000" w:themeColor="text1"/>
          <w:sz w:val="32"/>
          <w:szCs w:val="32"/>
          <w:lang w:eastAsia="zh-CN"/>
          <w14:textFill>
            <w14:solidFill>
              <w14:schemeClr w14:val="tx1"/>
            </w14:solidFill>
          </w14:textFill>
        </w:rPr>
        <w:t>。</w:t>
      </w:r>
    </w:p>
    <w:p>
      <w:pPr>
        <w:overflowPunct w:val="0"/>
        <w:adjustRightInd w:val="0"/>
        <w:snapToGrid w:val="0"/>
        <w:spacing w:line="570" w:lineRule="exact"/>
        <w:ind w:firstLine="640" w:firstLineChars="20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（三）禁止医药企业通过安排员工设立公司等方式实际控制第三方及其资金</w:t>
      </w:r>
      <w:r>
        <w:rPr>
          <w:rFonts w:hint="eastAsia" w:ascii="Times New Roman" w:hAnsi="Times New Roman" w:eastAsia="仿宋_GB2312" w:cs="仿宋_GB2312"/>
          <w:color w:val="000000" w:themeColor="text1"/>
          <w:sz w:val="32"/>
          <w:szCs w:val="32"/>
          <w:lang w:eastAsia="zh-CN"/>
          <w14:textFill>
            <w14:solidFill>
              <w14:schemeClr w14:val="tx1"/>
            </w14:solidFill>
          </w14:textFill>
        </w:rPr>
        <w:t>。</w:t>
      </w:r>
    </w:p>
    <w:p>
      <w:pPr>
        <w:overflowPunct w:val="0"/>
        <w:adjustRightInd w:val="0"/>
        <w:snapToGrid w:val="0"/>
        <w:spacing w:line="570" w:lineRule="exact"/>
        <w:ind w:firstLine="640" w:firstLineChars="20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（四）禁止医药企业通过外包服务商以虚假、不实的服务套取资金</w:t>
      </w:r>
      <w:r>
        <w:rPr>
          <w:rFonts w:hint="eastAsia" w:ascii="Times New Roman" w:hAnsi="Times New Roman" w:eastAsia="仿宋_GB2312" w:cs="仿宋_GB2312"/>
          <w:color w:val="000000" w:themeColor="text1"/>
          <w:sz w:val="32"/>
          <w:szCs w:val="32"/>
          <w:lang w:eastAsia="zh-CN"/>
          <w14:textFill>
            <w14:solidFill>
              <w14:schemeClr w14:val="tx1"/>
            </w14:solidFill>
          </w14:textFill>
        </w:rPr>
        <w:t>。</w:t>
      </w:r>
    </w:p>
    <w:p>
      <w:pPr>
        <w:overflowPunct w:val="0"/>
        <w:adjustRightInd w:val="0"/>
        <w:snapToGrid w:val="0"/>
        <w:spacing w:line="570" w:lineRule="exact"/>
        <w:ind w:firstLine="640" w:firstLineChars="20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（五）</w:t>
      </w:r>
      <w:bookmarkStart w:id="10" w:name="_Hlk153979396"/>
      <w:r>
        <w:rPr>
          <w:rFonts w:hint="eastAsia" w:ascii="Times New Roman" w:hAnsi="Times New Roman" w:eastAsia="仿宋_GB2312" w:cs="仿宋_GB2312"/>
          <w:color w:val="000000" w:themeColor="text1"/>
          <w:sz w:val="32"/>
          <w:szCs w:val="32"/>
          <w14:textFill>
            <w14:solidFill>
              <w14:schemeClr w14:val="tx1"/>
            </w14:solidFill>
          </w14:textFill>
        </w:rPr>
        <w:t>禁止医药企业以明示或者暗示的方式，</w:t>
      </w:r>
      <w:r>
        <w:rPr>
          <w:rFonts w:hint="eastAsia" w:ascii="Times New Roman" w:hAnsi="Times New Roman" w:eastAsia="仿宋_GB2312" w:cs="仿宋_GB2312"/>
          <w:color w:val="000000" w:themeColor="text1"/>
          <w:sz w:val="32"/>
          <w:szCs w:val="32"/>
          <w:lang w:eastAsia="zh-CN"/>
          <w14:textFill>
            <w14:solidFill>
              <w14:schemeClr w14:val="tx1"/>
            </w14:solidFill>
          </w14:textFill>
        </w:rPr>
        <w:t>指使</w:t>
      </w:r>
      <w:r>
        <w:rPr>
          <w:rFonts w:hint="eastAsia" w:ascii="Times New Roman" w:hAnsi="Times New Roman" w:eastAsia="仿宋_GB2312" w:cs="仿宋_GB2312"/>
          <w:color w:val="000000" w:themeColor="text1"/>
          <w:sz w:val="32"/>
          <w:szCs w:val="32"/>
          <w14:textFill>
            <w14:solidFill>
              <w14:schemeClr w14:val="tx1"/>
            </w14:solidFill>
          </w14:textFill>
        </w:rPr>
        <w:t>或者默认外包服务商利用外包服务费等资金向他人行贿，换取其开具处方、推荐、宣传、采购、使用本企业医药产品的结果或者承诺，以谋求竞争优势或者交易机会。</w:t>
      </w:r>
      <w:bookmarkEnd w:id="10"/>
    </w:p>
    <w:p>
      <w:pPr>
        <w:pStyle w:val="3"/>
        <w:keepNext w:val="0"/>
        <w:keepLines w:val="0"/>
        <w:overflowPunct w:val="0"/>
        <w:adjustRightInd w:val="0"/>
        <w:snapToGrid w:val="0"/>
        <w:spacing w:before="0" w:after="0" w:line="570" w:lineRule="exact"/>
        <w:jc w:val="center"/>
        <w:outlineLvl w:val="9"/>
        <w:rPr>
          <w:rFonts w:hint="default" w:ascii="Times New Roman" w:hAnsi="Times New Roman" w:eastAsia="黑体" w:cs="黑体"/>
          <w:b w:val="0"/>
          <w:bCs w:val="0"/>
          <w:color w:val="000000" w:themeColor="text1"/>
          <w:sz w:val="32"/>
          <w:szCs w:val="32"/>
          <w14:textFill>
            <w14:solidFill>
              <w14:schemeClr w14:val="tx1"/>
            </w14:solidFill>
          </w14:textFill>
        </w:rPr>
      </w:pPr>
      <w:bookmarkStart w:id="11" w:name="_Toc153726513"/>
    </w:p>
    <w:p>
      <w:pPr>
        <w:pStyle w:val="3"/>
        <w:keepNext w:val="0"/>
        <w:keepLines w:val="0"/>
        <w:pageBreakBefore w:val="0"/>
        <w:widowControl w:val="0"/>
        <w:numPr>
          <w:ilvl w:val="0"/>
          <w:numId w:val="2"/>
        </w:numPr>
        <w:kinsoku/>
        <w:wordWrap/>
        <w:overflowPunct w:val="0"/>
        <w:topLinePunct w:val="0"/>
        <w:autoSpaceDE/>
        <w:autoSpaceDN/>
        <w:bidi w:val="0"/>
        <w:adjustRightInd w:val="0"/>
        <w:snapToGrid w:val="0"/>
        <w:spacing w:before="0" w:after="0" w:line="570" w:lineRule="exact"/>
        <w:jc w:val="center"/>
        <w:textAlignment w:val="auto"/>
        <w:outlineLvl w:val="1"/>
        <w:rPr>
          <w:rFonts w:hint="default" w:ascii="Times New Roman" w:hAnsi="Times New Roman" w:eastAsia="黑体" w:cs="黑体"/>
          <w:b w:val="0"/>
          <w:bCs w:val="0"/>
          <w:color w:val="000000" w:themeColor="text1"/>
          <w:sz w:val="32"/>
          <w:szCs w:val="32"/>
          <w14:textFill>
            <w14:solidFill>
              <w14:schemeClr w14:val="tx1"/>
            </w14:solidFill>
          </w14:textFill>
        </w:rPr>
      </w:pPr>
      <w:r>
        <w:rPr>
          <w:rFonts w:hint="default" w:ascii="Times New Roman" w:hAnsi="Times New Roman" w:eastAsia="黑体" w:cs="黑体"/>
          <w:b w:val="0"/>
          <w:bCs w:val="0"/>
          <w:color w:val="000000" w:themeColor="text1"/>
          <w:sz w:val="32"/>
          <w:szCs w:val="32"/>
          <w14:textFill>
            <w14:solidFill>
              <w14:schemeClr w14:val="tx1"/>
            </w14:solidFill>
          </w14:textFill>
        </w:rPr>
        <w:t>折扣、折让及佣金商业贿赂风险</w:t>
      </w:r>
      <w:bookmarkEnd w:id="11"/>
    </w:p>
    <w:p>
      <w:pPr>
        <w:keepNext w:val="0"/>
        <w:keepLines w:val="0"/>
        <w:numPr>
          <w:ilvl w:val="-1"/>
          <w:numId w:val="0"/>
        </w:numPr>
        <w:adjustRightInd w:val="0"/>
        <w:snapToGrid w:val="0"/>
        <w:spacing w:line="570" w:lineRule="exact"/>
        <w:jc w:val="center"/>
        <w:rPr>
          <w:rFonts w:hint="eastAsia" w:ascii="Times New Roman" w:hAnsi="Times New Roman" w:eastAsia="宋体"/>
          <w:b w:val="0"/>
          <w:bCs w:val="0"/>
          <w:color w:val="000000" w:themeColor="text1"/>
          <w14:textFill>
            <w14:solidFill>
              <w14:schemeClr w14:val="tx1"/>
            </w14:solidFill>
          </w14:textFill>
        </w:rPr>
      </w:pPr>
    </w:p>
    <w:p>
      <w:pPr>
        <w:pStyle w:val="15"/>
        <w:numPr>
          <w:ilvl w:val="0"/>
          <w:numId w:val="1"/>
        </w:numPr>
        <w:overflowPunct w:val="0"/>
        <w:adjustRightInd w:val="0"/>
        <w:snapToGrid w:val="0"/>
        <w:spacing w:line="598" w:lineRule="exact"/>
        <w:ind w:left="0" w:firstLine="64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lang w:eastAsia="zh-CN"/>
          <w14:textFill>
            <w14:solidFill>
              <w14:schemeClr w14:val="tx1"/>
            </w14:solidFill>
          </w14:textFill>
        </w:rPr>
        <w:t>本指</w:t>
      </w:r>
      <w:r>
        <w:rPr>
          <w:rFonts w:hint="eastAsia" w:ascii="Times New Roman" w:hAnsi="Times New Roman" w:eastAsia="仿宋_GB2312" w:cs="仿宋_GB2312"/>
          <w:color w:val="000000" w:themeColor="text1"/>
          <w:sz w:val="32"/>
          <w:szCs w:val="32"/>
          <w14:textFill>
            <w14:solidFill>
              <w14:schemeClr w14:val="tx1"/>
            </w14:solidFill>
          </w14:textFill>
        </w:rPr>
        <w:t>引所称的折扣、折让，是指医药企业在销售医药产品时，以明示并如实入账的方式给予对方的价格优惠，包括支付价款时对价款总额按一定比例予以即时扣除和支付价款总额后再按一定比例予以退还</w:t>
      </w:r>
      <w:r>
        <w:rPr>
          <w:rFonts w:hint="eastAsia" w:ascii="Times New Roman" w:hAnsi="Times New Roman" w:eastAsia="仿宋_GB2312" w:cs="仿宋_GB2312"/>
          <w:color w:val="000000" w:themeColor="text1"/>
          <w:sz w:val="32"/>
          <w:szCs w:val="32"/>
          <w:lang w:eastAsia="zh-CN"/>
          <w14:textFill>
            <w14:solidFill>
              <w14:schemeClr w14:val="tx1"/>
            </w14:solidFill>
          </w14:textFill>
        </w:rPr>
        <w:t>。</w:t>
      </w:r>
    </w:p>
    <w:p>
      <w:pPr>
        <w:overflowPunct w:val="0"/>
        <w:adjustRightInd w:val="0"/>
        <w:snapToGrid w:val="0"/>
        <w:spacing w:line="598" w:lineRule="exact"/>
        <w:ind w:firstLine="640" w:firstLineChars="20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本指引所称的佣金，是指在交易中给予为其提供服务的具有合法经营资格中间人的劳务报酬。</w:t>
      </w:r>
    </w:p>
    <w:p>
      <w:pPr>
        <w:pStyle w:val="15"/>
        <w:numPr>
          <w:ilvl w:val="0"/>
          <w:numId w:val="1"/>
        </w:numPr>
        <w:overflowPunct w:val="0"/>
        <w:adjustRightInd w:val="0"/>
        <w:snapToGrid w:val="0"/>
        <w:spacing w:line="598" w:lineRule="exact"/>
        <w:ind w:left="0" w:firstLine="64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lang w:eastAsia="zh-CN"/>
          <w14:textFill>
            <w14:solidFill>
              <w14:schemeClr w14:val="tx1"/>
            </w14:solidFill>
          </w14:textFill>
        </w:rPr>
        <w:t>医药企业支付折扣、折让及佣金，应当注意以下事项：</w:t>
      </w:r>
    </w:p>
    <w:p>
      <w:pPr>
        <w:overflowPunct w:val="0"/>
        <w:adjustRightInd w:val="0"/>
        <w:snapToGrid w:val="0"/>
        <w:spacing w:line="598" w:lineRule="exact"/>
        <w:ind w:firstLine="640" w:firstLineChars="20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（一）医药企业应当制定折扣、折让及佣金的政策标准，明确规定折扣、折让及佣金的适用范围、对象以及具体操作细则；医药企业支付折扣、折让的对象应限于交易相对方</w:t>
      </w:r>
      <w:r>
        <w:rPr>
          <w:rFonts w:hint="eastAsia" w:ascii="Times New Roman" w:hAnsi="Times New Roman" w:eastAsia="仿宋_GB2312" w:cs="仿宋_GB2312"/>
          <w:color w:val="000000" w:themeColor="text1"/>
          <w:sz w:val="32"/>
          <w:szCs w:val="32"/>
          <w:lang w:eastAsia="zh-CN"/>
          <w14:textFill>
            <w14:solidFill>
              <w14:schemeClr w14:val="tx1"/>
            </w14:solidFill>
          </w14:textFill>
        </w:rPr>
        <w:t>。</w:t>
      </w:r>
    </w:p>
    <w:p>
      <w:pPr>
        <w:overflowPunct w:val="0"/>
        <w:adjustRightInd w:val="0"/>
        <w:snapToGrid w:val="0"/>
        <w:spacing w:line="598" w:lineRule="exact"/>
        <w:ind w:firstLine="640" w:firstLineChars="20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（二）医药企业应当建立折扣、折让及佣金的审批制度，明确审批权限和审批流程，规定办理审批所需提交的材料和证明文件</w:t>
      </w:r>
      <w:r>
        <w:rPr>
          <w:rFonts w:hint="eastAsia" w:ascii="Times New Roman" w:hAnsi="Times New Roman" w:eastAsia="仿宋_GB2312" w:cs="仿宋_GB2312"/>
          <w:color w:val="000000" w:themeColor="text1"/>
          <w:sz w:val="32"/>
          <w:szCs w:val="32"/>
          <w:lang w:eastAsia="zh-CN"/>
          <w14:textFill>
            <w14:solidFill>
              <w14:schemeClr w14:val="tx1"/>
            </w14:solidFill>
          </w14:textFill>
        </w:rPr>
        <w:t>。</w:t>
      </w:r>
    </w:p>
    <w:p>
      <w:pPr>
        <w:overflowPunct w:val="0"/>
        <w:adjustRightInd w:val="0"/>
        <w:snapToGrid w:val="0"/>
        <w:spacing w:line="598" w:lineRule="exact"/>
        <w:ind w:firstLine="640" w:firstLineChars="20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（三）医药企业应当与交易相对方签订合同，载明给予的折扣幅度、支付方式等；医药企业应当与中</w:t>
      </w:r>
      <w:r>
        <w:rPr>
          <w:rFonts w:hint="eastAsia" w:ascii="Times New Roman" w:hAnsi="Times New Roman" w:eastAsia="仿宋_GB2312" w:cs="仿宋_GB2312"/>
          <w:color w:val="000000" w:themeColor="text1"/>
          <w:sz w:val="32"/>
          <w:szCs w:val="32"/>
          <w:lang w:eastAsia="zh-CN"/>
          <w14:textFill>
            <w14:solidFill>
              <w14:schemeClr w14:val="tx1"/>
            </w14:solidFill>
          </w14:textFill>
        </w:rPr>
        <w:t>间</w:t>
      </w:r>
      <w:r>
        <w:rPr>
          <w:rFonts w:hint="eastAsia" w:ascii="Times New Roman" w:hAnsi="Times New Roman" w:eastAsia="仿宋_GB2312" w:cs="仿宋_GB2312"/>
          <w:color w:val="000000" w:themeColor="text1"/>
          <w:sz w:val="32"/>
          <w:szCs w:val="32"/>
          <w14:textFill>
            <w14:solidFill>
              <w14:schemeClr w14:val="tx1"/>
            </w14:solidFill>
          </w14:textFill>
        </w:rPr>
        <w:t>人签订合同，载明给予的佣金比例、支付方式等</w:t>
      </w:r>
      <w:r>
        <w:rPr>
          <w:rFonts w:hint="eastAsia" w:ascii="Times New Roman" w:hAnsi="Times New Roman" w:eastAsia="仿宋_GB2312" w:cs="仿宋_GB2312"/>
          <w:color w:val="000000" w:themeColor="text1"/>
          <w:sz w:val="32"/>
          <w:szCs w:val="32"/>
          <w:lang w:eastAsia="zh-CN"/>
          <w14:textFill>
            <w14:solidFill>
              <w14:schemeClr w14:val="tx1"/>
            </w14:solidFill>
          </w14:textFill>
        </w:rPr>
        <w:t>。</w:t>
      </w:r>
    </w:p>
    <w:p>
      <w:pPr>
        <w:overflowPunct w:val="0"/>
        <w:adjustRightInd w:val="0"/>
        <w:snapToGrid w:val="0"/>
        <w:spacing w:line="598" w:lineRule="exact"/>
        <w:ind w:firstLine="640" w:firstLineChars="20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（四）接受折扣、折让或者佣金的，应当建立</w:t>
      </w:r>
      <w:r>
        <w:rPr>
          <w:rFonts w:hint="eastAsia" w:ascii="Times New Roman" w:hAnsi="Times New Roman" w:eastAsia="仿宋_GB2312" w:cs="仿宋_GB2312"/>
          <w:color w:val="000000" w:themeColor="text1"/>
          <w:spacing w:val="-6"/>
          <w:sz w:val="32"/>
          <w:szCs w:val="32"/>
          <w14:textFill>
            <w14:solidFill>
              <w14:schemeClr w14:val="tx1"/>
            </w14:solidFill>
          </w14:textFill>
        </w:rPr>
        <w:t>台账并实施合规审查，防止相关资金被用于商业贿赂等非法用途</w:t>
      </w:r>
      <w:r>
        <w:rPr>
          <w:rFonts w:hint="eastAsia" w:ascii="Times New Roman" w:hAnsi="Times New Roman" w:eastAsia="仿宋_GB2312" w:cs="仿宋_GB2312"/>
          <w:color w:val="000000" w:themeColor="text1"/>
          <w:spacing w:val="-6"/>
          <w:sz w:val="32"/>
          <w:szCs w:val="32"/>
          <w:lang w:eastAsia="zh-CN"/>
          <w14:textFill>
            <w14:solidFill>
              <w14:schemeClr w14:val="tx1"/>
            </w14:solidFill>
          </w14:textFill>
        </w:rPr>
        <w:t>。</w:t>
      </w:r>
    </w:p>
    <w:p>
      <w:pPr>
        <w:overflowPunct w:val="0"/>
        <w:adjustRightInd w:val="0"/>
        <w:snapToGrid w:val="0"/>
        <w:spacing w:line="598" w:lineRule="exact"/>
        <w:ind w:firstLine="640" w:firstLineChars="20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（五）支付及接受折扣、折让或者佣金的，应当按照财务会计制度的规定准确、及时、完整登记财务账簿。</w:t>
      </w:r>
    </w:p>
    <w:p>
      <w:pPr>
        <w:pStyle w:val="15"/>
        <w:numPr>
          <w:ilvl w:val="0"/>
          <w:numId w:val="1"/>
        </w:numPr>
        <w:overflowPunct w:val="0"/>
        <w:adjustRightInd w:val="0"/>
        <w:snapToGrid w:val="0"/>
        <w:spacing w:line="598" w:lineRule="exact"/>
        <w:ind w:left="0" w:firstLine="64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lang w:eastAsia="zh-CN"/>
          <w14:textFill>
            <w14:solidFill>
              <w14:schemeClr w14:val="tx1"/>
            </w14:solidFill>
          </w14:textFill>
        </w:rPr>
        <w:t>医药</w:t>
      </w:r>
      <w:r>
        <w:rPr>
          <w:rFonts w:hint="eastAsia" w:ascii="Times New Roman" w:hAnsi="Times New Roman" w:eastAsia="仿宋_GB2312" w:cs="仿宋_GB2312"/>
          <w:color w:val="000000" w:themeColor="text1"/>
          <w:spacing w:val="-6"/>
          <w:sz w:val="32"/>
          <w:szCs w:val="32"/>
          <w:lang w:eastAsia="zh-CN"/>
          <w14:textFill>
            <w14:solidFill>
              <w14:schemeClr w14:val="tx1"/>
            </w14:solidFill>
          </w14:textFill>
        </w:rPr>
        <w:t>企业支付折扣、折让及佣金，应当注意以下行为风险的识别与防范：</w:t>
      </w:r>
    </w:p>
    <w:p>
      <w:pPr>
        <w:overflowPunct w:val="0"/>
        <w:adjustRightInd w:val="0"/>
        <w:snapToGrid w:val="0"/>
        <w:spacing w:line="598" w:lineRule="exact"/>
        <w:ind w:firstLine="640" w:firstLineChars="20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（一）关注医药企业未经合同约定或者未按合同约定支付折扣、折让或者佣金</w:t>
      </w:r>
      <w:r>
        <w:rPr>
          <w:rFonts w:hint="eastAsia" w:ascii="Times New Roman" w:hAnsi="Times New Roman" w:eastAsia="仿宋_GB2312" w:cs="仿宋_GB2312"/>
          <w:color w:val="000000" w:themeColor="text1"/>
          <w:sz w:val="32"/>
          <w:szCs w:val="32"/>
          <w:lang w:eastAsia="zh-CN"/>
          <w14:textFill>
            <w14:solidFill>
              <w14:schemeClr w14:val="tx1"/>
            </w14:solidFill>
          </w14:textFill>
        </w:rPr>
        <w:t>。</w:t>
      </w:r>
    </w:p>
    <w:p>
      <w:pPr>
        <w:overflowPunct w:val="0"/>
        <w:adjustRightInd w:val="0"/>
        <w:snapToGrid w:val="0"/>
        <w:spacing w:line="598" w:lineRule="exact"/>
        <w:ind w:firstLine="640" w:firstLineChars="20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（二）避免医药企业内部制订折扣折让政策、审批政策</w:t>
      </w:r>
      <w:r>
        <w:rPr>
          <w:rFonts w:hint="eastAsia" w:ascii="Times New Roman" w:hAnsi="Times New Roman" w:eastAsia="仿宋_GB2312" w:cs="仿宋_GB2312"/>
          <w:color w:val="000000" w:themeColor="text1"/>
          <w:sz w:val="32"/>
          <w:szCs w:val="32"/>
          <w:lang w:eastAsia="zh-CN"/>
          <w14:textFill>
            <w14:solidFill>
              <w14:schemeClr w14:val="tx1"/>
            </w14:solidFill>
          </w14:textFill>
        </w:rPr>
        <w:t>的部门</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或</w:t>
      </w:r>
      <w:r>
        <w:rPr>
          <w:rFonts w:hint="eastAsia" w:ascii="Times New Roman" w:hAnsi="Times New Roman" w:eastAsia="仿宋_GB2312" w:cs="仿宋_GB2312"/>
          <w:color w:val="000000" w:themeColor="text1"/>
          <w:sz w:val="32"/>
          <w:szCs w:val="32"/>
          <w:lang w:eastAsia="zh-CN"/>
          <w14:textFill>
            <w14:solidFill>
              <w14:schemeClr w14:val="tx1"/>
            </w14:solidFill>
          </w14:textFill>
        </w:rPr>
        <w:t>人员与</w:t>
      </w:r>
      <w:r>
        <w:rPr>
          <w:rFonts w:hint="eastAsia" w:ascii="Times New Roman" w:hAnsi="Times New Roman" w:eastAsia="仿宋_GB2312" w:cs="仿宋_GB2312"/>
          <w:color w:val="000000" w:themeColor="text1"/>
          <w:sz w:val="32"/>
          <w:szCs w:val="32"/>
          <w14:textFill>
            <w14:solidFill>
              <w14:schemeClr w14:val="tx1"/>
            </w14:solidFill>
          </w14:textFill>
        </w:rPr>
        <w:t>具体执行</w:t>
      </w:r>
      <w:r>
        <w:rPr>
          <w:rFonts w:hint="eastAsia" w:ascii="Times New Roman" w:hAnsi="Times New Roman" w:eastAsia="仿宋_GB2312" w:cs="仿宋_GB2312"/>
          <w:color w:val="000000" w:themeColor="text1"/>
          <w:sz w:val="32"/>
          <w:szCs w:val="32"/>
          <w:lang w:eastAsia="zh-CN"/>
          <w14:textFill>
            <w14:solidFill>
              <w14:schemeClr w14:val="tx1"/>
            </w14:solidFill>
          </w14:textFill>
        </w:rPr>
        <w:t>的部门或</w:t>
      </w:r>
      <w:r>
        <w:rPr>
          <w:rFonts w:hint="eastAsia" w:ascii="Times New Roman" w:hAnsi="Times New Roman" w:eastAsia="仿宋_GB2312" w:cs="仿宋_GB2312"/>
          <w:color w:val="000000" w:themeColor="text1"/>
          <w:sz w:val="32"/>
          <w:szCs w:val="32"/>
          <w14:textFill>
            <w14:solidFill>
              <w14:schemeClr w14:val="tx1"/>
            </w14:solidFill>
          </w14:textFill>
        </w:rPr>
        <w:t>人员之间未做适当职责分离</w:t>
      </w:r>
      <w:r>
        <w:rPr>
          <w:rFonts w:hint="eastAsia" w:ascii="Times New Roman" w:hAnsi="Times New Roman" w:eastAsia="仿宋_GB2312" w:cs="仿宋_GB2312"/>
          <w:color w:val="000000" w:themeColor="text1"/>
          <w:sz w:val="32"/>
          <w:szCs w:val="32"/>
          <w:lang w:eastAsia="zh-CN"/>
          <w14:textFill>
            <w14:solidFill>
              <w14:schemeClr w14:val="tx1"/>
            </w14:solidFill>
          </w14:textFill>
        </w:rPr>
        <w:t>。</w:t>
      </w:r>
    </w:p>
    <w:p>
      <w:pPr>
        <w:overflowPunct w:val="0"/>
        <w:adjustRightInd w:val="0"/>
        <w:snapToGrid w:val="0"/>
        <w:spacing w:line="598" w:lineRule="exact"/>
        <w:ind w:firstLine="640" w:firstLineChars="20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（三）禁止医药企业未如实在财务账面上记载支付或者接受的折扣、折让或者佣金，包括附赠的现金、实物以及其他利益</w:t>
      </w:r>
      <w:r>
        <w:rPr>
          <w:rFonts w:hint="eastAsia" w:ascii="Times New Roman" w:hAnsi="Times New Roman" w:eastAsia="仿宋_GB2312" w:cs="仿宋_GB2312"/>
          <w:color w:val="000000" w:themeColor="text1"/>
          <w:sz w:val="32"/>
          <w:szCs w:val="32"/>
          <w:lang w:eastAsia="zh-CN"/>
          <w14:textFill>
            <w14:solidFill>
              <w14:schemeClr w14:val="tx1"/>
            </w14:solidFill>
          </w14:textFill>
        </w:rPr>
        <w:t>。</w:t>
      </w:r>
    </w:p>
    <w:p>
      <w:pPr>
        <w:overflowPunct w:val="0"/>
        <w:adjustRightInd w:val="0"/>
        <w:snapToGrid w:val="0"/>
        <w:spacing w:line="598" w:lineRule="exact"/>
        <w:ind w:firstLine="640" w:firstLineChars="200"/>
        <w:rPr>
          <w:rFonts w:hint="eastAsia" w:ascii="Times New Roman" w:hAnsi="Times New Roman" w:eastAsia="仿宋_GB2312" w:cs="仿宋_GB2312"/>
          <w:color w:val="000000" w:themeColor="text1"/>
          <w:sz w:val="32"/>
          <w:szCs w:val="32"/>
          <w:lang w:eastAsia="zh-CN"/>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（四）禁止医药企业以明示或者暗示的方式，</w:t>
      </w:r>
      <w:r>
        <w:rPr>
          <w:rFonts w:hint="eastAsia" w:ascii="Times New Roman" w:hAnsi="Times New Roman" w:eastAsia="仿宋_GB2312" w:cs="仿宋_GB2312"/>
          <w:color w:val="000000" w:themeColor="text1"/>
          <w:sz w:val="32"/>
          <w:szCs w:val="32"/>
          <w:lang w:eastAsia="zh-CN"/>
          <w14:textFill>
            <w14:solidFill>
              <w14:schemeClr w14:val="tx1"/>
            </w14:solidFill>
          </w14:textFill>
        </w:rPr>
        <w:t>指使</w:t>
      </w:r>
      <w:r>
        <w:rPr>
          <w:rFonts w:hint="eastAsia" w:ascii="Times New Roman" w:hAnsi="Times New Roman" w:eastAsia="仿宋_GB2312" w:cs="仿宋_GB2312"/>
          <w:color w:val="000000" w:themeColor="text1"/>
          <w:sz w:val="32"/>
          <w:szCs w:val="32"/>
          <w14:textFill>
            <w14:solidFill>
              <w14:schemeClr w14:val="tx1"/>
            </w14:solidFill>
          </w14:textFill>
        </w:rPr>
        <w:t>或者默认利用折扣、折让或者佣金向他人行贿，换取其开具处方、推荐、宣传、采购、使用本企业医药产品的结果或者承诺，以谋求竞争优势或者交易机会。</w:t>
      </w:r>
    </w:p>
    <w:p>
      <w:pPr>
        <w:pStyle w:val="3"/>
        <w:keepNext w:val="0"/>
        <w:keepLines w:val="0"/>
        <w:overflowPunct w:val="0"/>
        <w:adjustRightInd w:val="0"/>
        <w:snapToGrid w:val="0"/>
        <w:spacing w:before="0" w:after="0" w:line="598" w:lineRule="exact"/>
        <w:jc w:val="center"/>
        <w:outlineLvl w:val="9"/>
        <w:rPr>
          <w:rFonts w:hint="default" w:ascii="Times New Roman" w:hAnsi="Times New Roman" w:eastAsia="黑体" w:cs="黑体"/>
          <w:b w:val="0"/>
          <w:bCs w:val="0"/>
          <w:color w:val="000000" w:themeColor="text1"/>
          <w:sz w:val="32"/>
          <w:szCs w:val="32"/>
          <w14:textFill>
            <w14:solidFill>
              <w14:schemeClr w14:val="tx1"/>
            </w14:solidFill>
          </w14:textFill>
        </w:rPr>
      </w:pPr>
      <w:bookmarkStart w:id="12" w:name="_Toc153726514"/>
    </w:p>
    <w:p>
      <w:pPr>
        <w:pStyle w:val="3"/>
        <w:keepNext w:val="0"/>
        <w:keepLines w:val="0"/>
        <w:pageBreakBefore w:val="0"/>
        <w:widowControl w:val="0"/>
        <w:numPr>
          <w:ilvl w:val="0"/>
          <w:numId w:val="2"/>
        </w:numPr>
        <w:kinsoku/>
        <w:wordWrap/>
        <w:overflowPunct w:val="0"/>
        <w:topLinePunct w:val="0"/>
        <w:autoSpaceDE/>
        <w:autoSpaceDN/>
        <w:bidi w:val="0"/>
        <w:adjustRightInd w:val="0"/>
        <w:snapToGrid w:val="0"/>
        <w:spacing w:before="0" w:after="0" w:line="598" w:lineRule="exact"/>
        <w:jc w:val="center"/>
        <w:textAlignment w:val="auto"/>
        <w:outlineLvl w:val="1"/>
        <w:rPr>
          <w:rFonts w:hint="default" w:ascii="Times New Roman" w:hAnsi="Times New Roman" w:eastAsia="黑体" w:cs="黑体"/>
          <w:b w:val="0"/>
          <w:bCs w:val="0"/>
          <w:color w:val="000000" w:themeColor="text1"/>
          <w:sz w:val="32"/>
          <w:szCs w:val="32"/>
          <w14:textFill>
            <w14:solidFill>
              <w14:schemeClr w14:val="tx1"/>
            </w14:solidFill>
          </w14:textFill>
        </w:rPr>
      </w:pPr>
      <w:r>
        <w:rPr>
          <w:rFonts w:hint="default" w:ascii="Times New Roman" w:hAnsi="Times New Roman" w:eastAsia="黑体" w:cs="黑体"/>
          <w:b w:val="0"/>
          <w:bCs w:val="0"/>
          <w:color w:val="000000" w:themeColor="text1"/>
          <w:sz w:val="32"/>
          <w:szCs w:val="32"/>
          <w14:textFill>
            <w14:solidFill>
              <w14:schemeClr w14:val="tx1"/>
            </w14:solidFill>
          </w14:textFill>
        </w:rPr>
        <w:t>捐赠、赞助、资助商业贿赂风险</w:t>
      </w:r>
      <w:bookmarkEnd w:id="12"/>
    </w:p>
    <w:p>
      <w:pPr>
        <w:keepNext w:val="0"/>
        <w:keepLines w:val="0"/>
        <w:numPr>
          <w:ilvl w:val="-1"/>
          <w:numId w:val="0"/>
        </w:numPr>
        <w:adjustRightInd w:val="0"/>
        <w:snapToGrid w:val="0"/>
        <w:spacing w:line="598" w:lineRule="exact"/>
        <w:jc w:val="center"/>
        <w:rPr>
          <w:rFonts w:hint="eastAsia" w:ascii="Times New Roman" w:hAnsi="Times New Roman" w:eastAsia="宋体"/>
          <w:b w:val="0"/>
          <w:bCs w:val="0"/>
          <w:color w:val="000000" w:themeColor="text1"/>
          <w14:textFill>
            <w14:solidFill>
              <w14:schemeClr w14:val="tx1"/>
            </w14:solidFill>
          </w14:textFill>
        </w:rPr>
      </w:pPr>
    </w:p>
    <w:p>
      <w:pPr>
        <w:pStyle w:val="15"/>
        <w:numPr>
          <w:ilvl w:val="0"/>
          <w:numId w:val="1"/>
        </w:numPr>
        <w:overflowPunct w:val="0"/>
        <w:adjustRightInd w:val="0"/>
        <w:snapToGrid w:val="0"/>
        <w:spacing w:line="598" w:lineRule="exact"/>
        <w:ind w:left="0" w:firstLine="64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lang w:eastAsia="zh-CN"/>
          <w14:textFill>
            <w14:solidFill>
              <w14:schemeClr w14:val="tx1"/>
            </w14:solidFill>
          </w14:textFill>
        </w:rPr>
        <w:t>本</w:t>
      </w:r>
      <w:r>
        <w:rPr>
          <w:rFonts w:hint="eastAsia" w:ascii="Times New Roman" w:hAnsi="Times New Roman" w:eastAsia="仿宋_GB2312" w:cs="仿宋_GB2312"/>
          <w:color w:val="000000" w:themeColor="text1"/>
          <w:sz w:val="32"/>
          <w:szCs w:val="32"/>
          <w14:textFill>
            <w14:solidFill>
              <w14:schemeClr w14:val="tx1"/>
            </w14:solidFill>
          </w14:textFill>
        </w:rPr>
        <w:t>指引所称的捐赠，是指医药企业依据法律法规，自愿、无偿向</w:t>
      </w:r>
      <w:r>
        <w:rPr>
          <w:rFonts w:hint="eastAsia" w:ascii="Times New Roman" w:hAnsi="Times New Roman" w:eastAsia="仿宋_GB2312" w:cs="仿宋_GB2312"/>
          <w:color w:val="000000" w:themeColor="text1"/>
          <w:sz w:val="32"/>
          <w:szCs w:val="32"/>
          <w:lang w:eastAsia="zh-CN"/>
          <w14:textFill>
            <w14:solidFill>
              <w14:schemeClr w14:val="tx1"/>
            </w14:solidFill>
          </w14:textFill>
        </w:rPr>
        <w:t>受赠方</w:t>
      </w:r>
      <w:r>
        <w:rPr>
          <w:rFonts w:hint="eastAsia" w:ascii="Times New Roman" w:hAnsi="Times New Roman" w:eastAsia="仿宋_GB2312" w:cs="仿宋_GB2312"/>
          <w:color w:val="000000" w:themeColor="text1"/>
          <w:sz w:val="32"/>
          <w:szCs w:val="32"/>
          <w14:textFill>
            <w14:solidFill>
              <w14:schemeClr w14:val="tx1"/>
            </w14:solidFill>
          </w14:textFill>
        </w:rPr>
        <w:t>赠与资金、医药产品或者其他财物的行为。</w:t>
      </w:r>
    </w:p>
    <w:p>
      <w:pPr>
        <w:pStyle w:val="15"/>
        <w:numPr>
          <w:ilvl w:val="0"/>
          <w:numId w:val="1"/>
        </w:numPr>
        <w:overflowPunct w:val="0"/>
        <w:adjustRightInd w:val="0"/>
        <w:snapToGrid w:val="0"/>
        <w:spacing w:line="598" w:lineRule="exact"/>
        <w:ind w:left="0" w:firstLine="64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lang w:eastAsia="zh-CN"/>
          <w14:textFill>
            <w14:solidFill>
              <w14:schemeClr w14:val="tx1"/>
            </w14:solidFill>
          </w14:textFill>
        </w:rPr>
        <w:t>医药企业开展捐赠活动，应当注意以下事项：</w:t>
      </w:r>
    </w:p>
    <w:p>
      <w:pPr>
        <w:numPr>
          <w:ilvl w:val="0"/>
          <w:numId w:val="3"/>
        </w:numPr>
        <w:overflowPunct w:val="0"/>
        <w:adjustRightInd w:val="0"/>
        <w:snapToGrid w:val="0"/>
        <w:spacing w:line="598" w:lineRule="exact"/>
        <w:ind w:firstLine="640" w:firstLineChars="200"/>
        <w:rPr>
          <w:rFonts w:hint="eastAsia" w:ascii="Times New Roman" w:hAnsi="Times New Roman" w:eastAsia="仿宋_GB2312" w:cs="仿宋_GB2312"/>
          <w:color w:val="000000" w:themeColor="text1"/>
          <w:sz w:val="32"/>
          <w:szCs w:val="32"/>
          <w:lang w:eastAsia="zh-CN"/>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医药企业提供捐赠应当是基于合法</w:t>
      </w:r>
      <w:r>
        <w:rPr>
          <w:rFonts w:hint="eastAsia" w:ascii="Times New Roman" w:hAnsi="Times New Roman" w:eastAsia="仿宋_GB2312" w:cs="仿宋_GB2312"/>
          <w:color w:val="000000" w:themeColor="text1"/>
          <w:sz w:val="32"/>
          <w:szCs w:val="32"/>
          <w:lang w:eastAsia="zh-CN"/>
          <w14:textFill>
            <w14:solidFill>
              <w14:schemeClr w14:val="tx1"/>
            </w14:solidFill>
          </w14:textFill>
        </w:rPr>
        <w:t>及公益性</w:t>
      </w:r>
      <w:r>
        <w:rPr>
          <w:rFonts w:hint="eastAsia" w:ascii="Times New Roman" w:hAnsi="Times New Roman" w:eastAsia="仿宋_GB2312" w:cs="仿宋_GB2312"/>
          <w:color w:val="000000" w:themeColor="text1"/>
          <w:sz w:val="32"/>
          <w:szCs w:val="32"/>
          <w14:textFill>
            <w14:solidFill>
              <w14:schemeClr w14:val="tx1"/>
            </w14:solidFill>
          </w14:textFill>
        </w:rPr>
        <w:t>的目的，坚持自愿、无偿，明示并如实入账；可以根据受赠</w:t>
      </w:r>
      <w:r>
        <w:rPr>
          <w:rFonts w:hint="eastAsia" w:ascii="Times New Roman" w:hAnsi="Times New Roman" w:eastAsia="仿宋_GB2312" w:cs="仿宋_GB2312"/>
          <w:color w:val="000000" w:themeColor="text1"/>
          <w:sz w:val="32"/>
          <w:szCs w:val="32"/>
          <w:lang w:eastAsia="zh-CN"/>
          <w14:textFill>
            <w14:solidFill>
              <w14:schemeClr w14:val="tx1"/>
            </w14:solidFill>
          </w14:textFill>
        </w:rPr>
        <w:t>方</w:t>
      </w:r>
      <w:r>
        <w:rPr>
          <w:rFonts w:hint="eastAsia" w:ascii="Times New Roman" w:hAnsi="Times New Roman" w:eastAsia="仿宋_GB2312" w:cs="仿宋_GB2312"/>
          <w:color w:val="000000" w:themeColor="text1"/>
          <w:sz w:val="32"/>
          <w:szCs w:val="32"/>
          <w14:textFill>
            <w14:solidFill>
              <w14:schemeClr w14:val="tx1"/>
            </w14:solidFill>
          </w14:textFill>
        </w:rPr>
        <w:t>的需求，对捐赠方案的必要性、合理性等进行评估</w:t>
      </w:r>
      <w:r>
        <w:rPr>
          <w:rFonts w:hint="eastAsia" w:ascii="Times New Roman" w:hAnsi="Times New Roman" w:eastAsia="仿宋_GB2312" w:cs="仿宋_GB2312"/>
          <w:color w:val="000000" w:themeColor="text1"/>
          <w:sz w:val="32"/>
          <w:szCs w:val="32"/>
          <w:lang w:eastAsia="zh-CN"/>
          <w14:textFill>
            <w14:solidFill>
              <w14:schemeClr w14:val="tx1"/>
            </w14:solidFill>
          </w14:textFill>
        </w:rPr>
        <w:t>。</w:t>
      </w:r>
    </w:p>
    <w:p>
      <w:pPr>
        <w:numPr>
          <w:ilvl w:val="0"/>
          <w:numId w:val="0"/>
        </w:numPr>
        <w:overflowPunct w:val="0"/>
        <w:adjustRightInd w:val="0"/>
        <w:snapToGrid w:val="0"/>
        <w:spacing w:line="598" w:lineRule="exact"/>
        <w:ind w:firstLine="640" w:firstLineChars="20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（二）</w:t>
      </w:r>
      <w:r>
        <w:rPr>
          <w:rFonts w:hint="eastAsia" w:ascii="Times New Roman" w:hAnsi="Times New Roman" w:eastAsia="仿宋_GB2312" w:cs="仿宋_GB2312"/>
          <w:color w:val="000000" w:themeColor="text1"/>
          <w:sz w:val="32"/>
          <w:szCs w:val="32"/>
          <w:lang w:eastAsia="zh-CN"/>
          <w14:textFill>
            <w14:solidFill>
              <w14:schemeClr w14:val="tx1"/>
            </w14:solidFill>
          </w14:textFill>
        </w:rPr>
        <w:t>医药企业可以通过慈善组织捐赠，也可以直接向受赠方捐赠；</w:t>
      </w:r>
      <w:r>
        <w:rPr>
          <w:rFonts w:hint="eastAsia" w:ascii="Times New Roman" w:hAnsi="Times New Roman" w:eastAsia="仿宋_GB2312" w:cs="仿宋_GB2312"/>
          <w:color w:val="000000" w:themeColor="text1"/>
          <w:sz w:val="32"/>
          <w:szCs w:val="32"/>
          <w14:textFill>
            <w14:solidFill>
              <w14:schemeClr w14:val="tx1"/>
            </w14:solidFill>
          </w14:textFill>
        </w:rPr>
        <w:t>应对慈善</w:t>
      </w:r>
      <w:r>
        <w:rPr>
          <w:rFonts w:hint="eastAsia" w:ascii="Times New Roman" w:hAnsi="Times New Roman" w:eastAsia="仿宋_GB2312" w:cs="仿宋_GB2312"/>
          <w:color w:val="000000" w:themeColor="text1"/>
          <w:sz w:val="32"/>
          <w:szCs w:val="32"/>
          <w:lang w:eastAsia="zh-CN"/>
          <w14:textFill>
            <w14:solidFill>
              <w14:schemeClr w14:val="tx1"/>
            </w14:solidFill>
          </w14:textFill>
        </w:rPr>
        <w:t>组织</w:t>
      </w:r>
      <w:r>
        <w:rPr>
          <w:rFonts w:hint="eastAsia" w:ascii="Times New Roman" w:hAnsi="Times New Roman" w:eastAsia="仿宋_GB2312" w:cs="仿宋_GB2312"/>
          <w:color w:val="000000" w:themeColor="text1"/>
          <w:sz w:val="32"/>
          <w:szCs w:val="32"/>
          <w14:textFill>
            <w14:solidFill>
              <w14:schemeClr w14:val="tx1"/>
            </w14:solidFill>
          </w14:textFill>
        </w:rPr>
        <w:t>的背景和能力、受赠</w:t>
      </w:r>
      <w:r>
        <w:rPr>
          <w:rFonts w:hint="eastAsia" w:ascii="Times New Roman" w:hAnsi="Times New Roman" w:eastAsia="仿宋_GB2312" w:cs="仿宋_GB2312"/>
          <w:color w:val="000000" w:themeColor="text1"/>
          <w:sz w:val="32"/>
          <w:szCs w:val="32"/>
          <w:lang w:eastAsia="zh-CN"/>
          <w14:textFill>
            <w14:solidFill>
              <w14:schemeClr w14:val="tx1"/>
            </w14:solidFill>
          </w14:textFill>
        </w:rPr>
        <w:t>方</w:t>
      </w:r>
      <w:r>
        <w:rPr>
          <w:rFonts w:hint="eastAsia" w:ascii="Times New Roman" w:hAnsi="Times New Roman" w:eastAsia="仿宋_GB2312" w:cs="仿宋_GB2312"/>
          <w:color w:val="000000" w:themeColor="text1"/>
          <w:sz w:val="32"/>
          <w:szCs w:val="32"/>
          <w14:textFill>
            <w14:solidFill>
              <w14:schemeClr w14:val="tx1"/>
            </w14:solidFill>
          </w14:textFill>
        </w:rPr>
        <w:t>的选择、捐赠产品的合理性等进行评估</w:t>
      </w:r>
      <w:r>
        <w:rPr>
          <w:rFonts w:hint="eastAsia" w:ascii="Times New Roman" w:hAnsi="Times New Roman" w:eastAsia="仿宋_GB2312" w:cs="仿宋_GB2312"/>
          <w:color w:val="000000" w:themeColor="text1"/>
          <w:sz w:val="32"/>
          <w:szCs w:val="32"/>
          <w:lang w:eastAsia="zh-CN"/>
          <w14:textFill>
            <w14:solidFill>
              <w14:schemeClr w14:val="tx1"/>
            </w14:solidFill>
          </w14:textFill>
        </w:rPr>
        <w:t>。</w:t>
      </w:r>
    </w:p>
    <w:p>
      <w:pPr>
        <w:overflowPunct w:val="0"/>
        <w:adjustRightInd w:val="0"/>
        <w:snapToGrid w:val="0"/>
        <w:spacing w:line="598" w:lineRule="exact"/>
        <w:ind w:firstLine="640" w:firstLineChars="200"/>
        <w:rPr>
          <w:rFonts w:hint="eastAsia" w:ascii="Times New Roman" w:hAnsi="Times New Roman" w:eastAsia="仿宋_GB2312" w:cs="仿宋_GB2312"/>
          <w:color w:val="000000" w:themeColor="text1"/>
          <w:sz w:val="32"/>
          <w:szCs w:val="32"/>
          <w:lang w:eastAsia="zh-CN"/>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（三）医药企业</w:t>
      </w:r>
      <w:r>
        <w:rPr>
          <w:rFonts w:hint="eastAsia" w:ascii="Times New Roman" w:hAnsi="Times New Roman" w:eastAsia="仿宋_GB2312" w:cs="仿宋_GB2312"/>
          <w:color w:val="000000" w:themeColor="text1"/>
          <w:sz w:val="32"/>
          <w:szCs w:val="32"/>
          <w:lang w:eastAsia="zh-CN"/>
          <w14:textFill>
            <w14:solidFill>
              <w14:schemeClr w14:val="tx1"/>
            </w14:solidFill>
          </w14:textFill>
        </w:rPr>
        <w:t>开展的捐赠活动应当遵守相关法律规定。</w:t>
      </w:r>
      <w:r>
        <w:rPr>
          <w:rFonts w:hint="eastAsia" w:ascii="Times New Roman" w:hAnsi="Times New Roman" w:eastAsia="仿宋_GB2312" w:cs="仿宋_GB2312"/>
          <w:color w:val="000000" w:themeColor="text1"/>
          <w:sz w:val="32"/>
          <w:szCs w:val="32"/>
          <w14:textFill>
            <w14:solidFill>
              <w14:schemeClr w14:val="tx1"/>
            </w14:solidFill>
          </w14:textFill>
        </w:rPr>
        <w:t>建议医药企业通过尽职调查等方式确保捐赠项目的真实性和公益性，设置并履行捐赠内部审批制度及流程</w:t>
      </w:r>
      <w:r>
        <w:rPr>
          <w:rFonts w:hint="eastAsia" w:ascii="Times New Roman" w:hAnsi="Times New Roman" w:eastAsia="仿宋_GB2312" w:cs="仿宋_GB2312"/>
          <w:color w:val="000000" w:themeColor="text1"/>
          <w:sz w:val="32"/>
          <w:szCs w:val="32"/>
          <w:lang w:eastAsia="zh-CN"/>
          <w14:textFill>
            <w14:solidFill>
              <w14:schemeClr w14:val="tx1"/>
            </w14:solidFill>
          </w14:textFill>
        </w:rPr>
        <w:t>。</w:t>
      </w:r>
    </w:p>
    <w:p>
      <w:pPr>
        <w:overflowPunct w:val="0"/>
        <w:adjustRightInd w:val="0"/>
        <w:snapToGrid w:val="0"/>
        <w:spacing w:line="598" w:lineRule="exact"/>
        <w:ind w:firstLine="640" w:firstLineChars="20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（四）医药企业应当自愿与受赠方签订捐赠协议，并妥善保管与捐赠协议的批准、签署以及履行有关的资料，包括但不限于内部的审核以及批准意见、实际履行的证明</w:t>
      </w:r>
      <w:r>
        <w:rPr>
          <w:rFonts w:hint="eastAsia" w:ascii="Times New Roman" w:hAnsi="Times New Roman" w:eastAsia="仿宋_GB2312" w:cs="仿宋_GB2312"/>
          <w:color w:val="000000" w:themeColor="text1"/>
          <w:sz w:val="32"/>
          <w:szCs w:val="32"/>
          <w:lang w:eastAsia="zh-CN"/>
          <w14:textFill>
            <w14:solidFill>
              <w14:schemeClr w14:val="tx1"/>
            </w14:solidFill>
          </w14:textFill>
        </w:rPr>
        <w:t>。</w:t>
      </w:r>
    </w:p>
    <w:p>
      <w:pPr>
        <w:overflowPunct w:val="0"/>
        <w:adjustRightInd w:val="0"/>
        <w:snapToGrid w:val="0"/>
        <w:spacing w:line="598" w:lineRule="exact"/>
        <w:ind w:firstLine="640" w:firstLineChars="20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（五）捐赠财产为非货币性实物的，质量、资质应当符合国家标准与要求；鼓励受赠</w:t>
      </w:r>
      <w:r>
        <w:rPr>
          <w:rFonts w:hint="eastAsia" w:ascii="Times New Roman" w:hAnsi="Times New Roman" w:eastAsia="仿宋_GB2312" w:cs="仿宋_GB2312"/>
          <w:color w:val="000000" w:themeColor="text1"/>
          <w:sz w:val="32"/>
          <w:szCs w:val="32"/>
          <w:lang w:eastAsia="zh-CN"/>
          <w14:textFill>
            <w14:solidFill>
              <w14:schemeClr w14:val="tx1"/>
            </w14:solidFill>
          </w14:textFill>
        </w:rPr>
        <w:t>方</w:t>
      </w:r>
      <w:r>
        <w:rPr>
          <w:rFonts w:hint="eastAsia" w:ascii="Times New Roman" w:hAnsi="Times New Roman" w:eastAsia="仿宋_GB2312" w:cs="仿宋_GB2312"/>
          <w:color w:val="000000" w:themeColor="text1"/>
          <w:sz w:val="32"/>
          <w:szCs w:val="32"/>
          <w14:textFill>
            <w14:solidFill>
              <w14:schemeClr w14:val="tx1"/>
            </w14:solidFill>
          </w14:textFill>
        </w:rPr>
        <w:t>委托第三方评估机构对非货币性捐赠财产价值进行评估、确认或者公证；建议直接交付至受赠方的负责部门或者其正式办公场所</w:t>
      </w:r>
      <w:r>
        <w:rPr>
          <w:rFonts w:hint="eastAsia" w:ascii="Times New Roman" w:hAnsi="Times New Roman" w:eastAsia="仿宋_GB2312" w:cs="仿宋_GB2312"/>
          <w:color w:val="000000" w:themeColor="text1"/>
          <w:sz w:val="32"/>
          <w:szCs w:val="32"/>
          <w:lang w:eastAsia="zh-CN"/>
          <w14:textFill>
            <w14:solidFill>
              <w14:schemeClr w14:val="tx1"/>
            </w14:solidFill>
          </w14:textFill>
        </w:rPr>
        <w:t>。</w:t>
      </w:r>
    </w:p>
    <w:p>
      <w:pPr>
        <w:overflowPunct w:val="0"/>
        <w:adjustRightInd w:val="0"/>
        <w:snapToGrid w:val="0"/>
        <w:spacing w:line="598" w:lineRule="exact"/>
        <w:ind w:firstLine="640" w:firstLineChars="20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捐赠财产为货币的，医药企业应</w:t>
      </w:r>
      <w:r>
        <w:rPr>
          <w:rFonts w:hint="eastAsia" w:ascii="Times New Roman" w:hAnsi="Times New Roman" w:eastAsia="仿宋_GB2312" w:cs="仿宋_GB2312"/>
          <w:color w:val="000000" w:themeColor="text1"/>
          <w:sz w:val="32"/>
          <w:szCs w:val="32"/>
          <w:lang w:eastAsia="zh-CN"/>
          <w14:textFill>
            <w14:solidFill>
              <w14:schemeClr w14:val="tx1"/>
            </w14:solidFill>
          </w14:textFill>
        </w:rPr>
        <w:t>当</w:t>
      </w:r>
      <w:r>
        <w:rPr>
          <w:rFonts w:hint="eastAsia" w:ascii="Times New Roman" w:hAnsi="Times New Roman" w:eastAsia="仿宋_GB2312" w:cs="仿宋_GB2312"/>
          <w:color w:val="000000" w:themeColor="text1"/>
          <w:sz w:val="32"/>
          <w:szCs w:val="32"/>
          <w14:textFill>
            <w14:solidFill>
              <w14:schemeClr w14:val="tx1"/>
            </w14:solidFill>
          </w14:textFill>
        </w:rPr>
        <w:t>采用银行转账方式汇入受赠法人单位银行账户</w:t>
      </w:r>
      <w:r>
        <w:rPr>
          <w:rFonts w:hint="eastAsia" w:ascii="Times New Roman" w:hAnsi="Times New Roman" w:eastAsia="仿宋_GB2312" w:cs="仿宋_GB2312"/>
          <w:color w:val="000000" w:themeColor="text1"/>
          <w:sz w:val="32"/>
          <w:szCs w:val="32"/>
          <w:lang w:eastAsia="zh-CN"/>
          <w14:textFill>
            <w14:solidFill>
              <w14:schemeClr w14:val="tx1"/>
            </w14:solidFill>
          </w14:textFill>
        </w:rPr>
        <w:t>。</w:t>
      </w:r>
    </w:p>
    <w:p>
      <w:pPr>
        <w:overflowPunct w:val="0"/>
        <w:adjustRightInd w:val="0"/>
        <w:snapToGrid w:val="0"/>
        <w:spacing w:line="598" w:lineRule="exact"/>
        <w:ind w:firstLine="640" w:firstLineChars="20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（六）医药企业应当从受赠</w:t>
      </w:r>
      <w:r>
        <w:rPr>
          <w:rFonts w:hint="eastAsia" w:ascii="Times New Roman" w:hAnsi="Times New Roman" w:eastAsia="仿宋_GB2312" w:cs="仿宋_GB2312"/>
          <w:color w:val="000000" w:themeColor="text1"/>
          <w:sz w:val="32"/>
          <w:szCs w:val="32"/>
          <w:lang w:eastAsia="zh-CN"/>
          <w14:textFill>
            <w14:solidFill>
              <w14:schemeClr w14:val="tx1"/>
            </w14:solidFill>
          </w14:textFill>
        </w:rPr>
        <w:t>方</w:t>
      </w:r>
      <w:r>
        <w:rPr>
          <w:rFonts w:hint="eastAsia" w:ascii="Times New Roman" w:hAnsi="Times New Roman" w:eastAsia="仿宋_GB2312" w:cs="仿宋_GB2312"/>
          <w:color w:val="000000" w:themeColor="text1"/>
          <w:sz w:val="32"/>
          <w:szCs w:val="32"/>
          <w14:textFill>
            <w14:solidFill>
              <w14:schemeClr w14:val="tx1"/>
            </w14:solidFill>
          </w14:textFill>
        </w:rPr>
        <w:t>获取由财政部门统一印制并加盖受赠法人单位印章的且符合实际收到捐赠财产价值的公益事业捐赠票据</w:t>
      </w:r>
      <w:r>
        <w:rPr>
          <w:rFonts w:hint="eastAsia" w:ascii="Times New Roman" w:hAnsi="Times New Roman" w:eastAsia="仿宋_GB2312" w:cs="仿宋_GB2312"/>
          <w:color w:val="000000" w:themeColor="text1"/>
          <w:sz w:val="32"/>
          <w:szCs w:val="32"/>
          <w:lang w:eastAsia="zh-CN"/>
          <w14:textFill>
            <w14:solidFill>
              <w14:schemeClr w14:val="tx1"/>
            </w14:solidFill>
          </w14:textFill>
        </w:rPr>
        <w:t>。</w:t>
      </w:r>
    </w:p>
    <w:p>
      <w:pPr>
        <w:overflowPunct w:val="0"/>
        <w:adjustRightInd w:val="0"/>
        <w:snapToGrid w:val="0"/>
        <w:spacing w:line="598" w:lineRule="exact"/>
        <w:ind w:firstLine="640" w:firstLineChars="20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（七）医药企业向各级卫生健康</w:t>
      </w:r>
      <w:r>
        <w:rPr>
          <w:rFonts w:hint="eastAsia" w:ascii="Times New Roman" w:hAnsi="Times New Roman" w:eastAsia="仿宋_GB2312" w:cs="仿宋_GB2312"/>
          <w:color w:val="000000" w:themeColor="text1"/>
          <w:sz w:val="32"/>
          <w:szCs w:val="32"/>
          <w:lang w:eastAsia="zh-CN"/>
          <w14:textFill>
            <w14:solidFill>
              <w14:schemeClr w14:val="tx1"/>
            </w14:solidFill>
          </w14:textFill>
        </w:rPr>
        <w:t>行政</w:t>
      </w:r>
      <w:r>
        <w:rPr>
          <w:rFonts w:hint="eastAsia" w:ascii="Times New Roman" w:hAnsi="Times New Roman" w:eastAsia="仿宋_GB2312" w:cs="仿宋_GB2312"/>
          <w:color w:val="000000" w:themeColor="text1"/>
          <w:sz w:val="32"/>
          <w:szCs w:val="32"/>
          <w14:textFill>
            <w14:solidFill>
              <w14:schemeClr w14:val="tx1"/>
            </w14:solidFill>
          </w14:textFill>
        </w:rPr>
        <w:t>部门</w:t>
      </w:r>
      <w:r>
        <w:rPr>
          <w:rFonts w:hint="eastAsia" w:ascii="Times New Roman" w:hAnsi="Times New Roman" w:eastAsia="仿宋_GB2312" w:cs="仿宋_GB2312"/>
          <w:color w:val="000000" w:themeColor="text1"/>
          <w:sz w:val="32"/>
          <w:szCs w:val="32"/>
          <w:lang w:eastAsia="zh-CN"/>
          <w14:textFill>
            <w14:solidFill>
              <w14:schemeClr w14:val="tx1"/>
            </w14:solidFill>
          </w14:textFill>
        </w:rPr>
        <w:t>、</w:t>
      </w:r>
      <w:r>
        <w:rPr>
          <w:rFonts w:hint="eastAsia" w:ascii="Times New Roman" w:hAnsi="Times New Roman" w:eastAsia="仿宋_GB2312" w:cs="仿宋_GB2312"/>
          <w:color w:val="000000" w:themeColor="text1"/>
          <w:sz w:val="32"/>
          <w:szCs w:val="32"/>
          <w14:textFill>
            <w14:solidFill>
              <w14:schemeClr w14:val="tx1"/>
            </w14:solidFill>
          </w14:textFill>
        </w:rPr>
        <w:t>中医药</w:t>
      </w:r>
      <w:r>
        <w:rPr>
          <w:rFonts w:hint="eastAsia" w:ascii="Times New Roman" w:hAnsi="Times New Roman" w:eastAsia="仿宋_GB2312" w:cs="仿宋_GB2312"/>
          <w:color w:val="000000" w:themeColor="text1"/>
          <w:sz w:val="32"/>
          <w:szCs w:val="32"/>
          <w:lang w:eastAsia="zh-CN"/>
          <w14:textFill>
            <w14:solidFill>
              <w14:schemeClr w14:val="tx1"/>
            </w14:solidFill>
          </w14:textFill>
        </w:rPr>
        <w:t>主管</w:t>
      </w:r>
      <w:r>
        <w:rPr>
          <w:rFonts w:hint="eastAsia" w:ascii="Times New Roman" w:hAnsi="Times New Roman" w:eastAsia="仿宋_GB2312" w:cs="仿宋_GB2312"/>
          <w:color w:val="000000" w:themeColor="text1"/>
          <w:sz w:val="32"/>
          <w:szCs w:val="32"/>
          <w14:textFill>
            <w14:solidFill>
              <w14:schemeClr w14:val="tx1"/>
            </w14:solidFill>
          </w14:textFill>
        </w:rPr>
        <w:t>部门</w:t>
      </w:r>
      <w:r>
        <w:rPr>
          <w:rFonts w:hint="eastAsia" w:ascii="Times New Roman" w:hAnsi="Times New Roman" w:eastAsia="仿宋_GB2312" w:cs="仿宋_GB2312"/>
          <w:color w:val="000000" w:themeColor="text1"/>
          <w:sz w:val="32"/>
          <w:szCs w:val="32"/>
          <w:lang w:eastAsia="zh-CN"/>
          <w14:textFill>
            <w14:solidFill>
              <w14:schemeClr w14:val="tx1"/>
            </w14:solidFill>
          </w14:textFill>
        </w:rPr>
        <w:t>、疾控主管部门的事业单位和业务主管的社会组织以及其他社会组织</w:t>
      </w:r>
      <w:r>
        <w:rPr>
          <w:rFonts w:hint="eastAsia" w:ascii="Times New Roman" w:hAnsi="Times New Roman" w:eastAsia="仿宋_GB2312" w:cs="仿宋_GB2312"/>
          <w:color w:val="000000" w:themeColor="text1"/>
          <w:sz w:val="32"/>
          <w:szCs w:val="32"/>
          <w14:textFill>
            <w14:solidFill>
              <w14:schemeClr w14:val="tx1"/>
            </w14:solidFill>
          </w14:textFill>
        </w:rPr>
        <w:t>捐赠的，还应符合</w:t>
      </w:r>
      <w:r>
        <w:rPr>
          <w:rFonts w:hint="eastAsia" w:ascii="Times New Roman" w:hAnsi="Times New Roman" w:eastAsia="仿宋_GB2312" w:cs="仿宋_GB2312"/>
          <w:color w:val="000000" w:themeColor="text1"/>
          <w:sz w:val="32"/>
          <w:szCs w:val="32"/>
          <w:lang w:eastAsia="zh-CN"/>
          <w14:textFill>
            <w14:solidFill>
              <w14:schemeClr w14:val="tx1"/>
            </w14:solidFill>
          </w14:textFill>
        </w:rPr>
        <w:t>上述部门和社会工作部门、民政部门</w:t>
      </w:r>
      <w:r>
        <w:rPr>
          <w:rFonts w:hint="eastAsia" w:ascii="Times New Roman" w:hAnsi="Times New Roman" w:eastAsia="仿宋_GB2312" w:cs="仿宋_GB2312"/>
          <w:color w:val="000000" w:themeColor="text1"/>
          <w:sz w:val="32"/>
          <w:szCs w:val="32"/>
          <w14:textFill>
            <w14:solidFill>
              <w14:schemeClr w14:val="tx1"/>
            </w14:solidFill>
          </w14:textFill>
        </w:rPr>
        <w:t>的相关规定。</w:t>
      </w:r>
    </w:p>
    <w:p>
      <w:pPr>
        <w:pStyle w:val="15"/>
        <w:numPr>
          <w:ilvl w:val="0"/>
          <w:numId w:val="1"/>
        </w:numPr>
        <w:overflowPunct w:val="0"/>
        <w:adjustRightInd w:val="0"/>
        <w:snapToGrid w:val="0"/>
        <w:spacing w:line="598" w:lineRule="exact"/>
        <w:ind w:left="0" w:firstLine="64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lang w:eastAsia="zh-CN"/>
          <w14:textFill>
            <w14:solidFill>
              <w14:schemeClr w14:val="tx1"/>
            </w14:solidFill>
          </w14:textFill>
        </w:rPr>
        <w:t>医药企业开展捐赠活动，应当注意以下行为风险的识别与防范：</w:t>
      </w:r>
    </w:p>
    <w:p>
      <w:pPr>
        <w:overflowPunct w:val="0"/>
        <w:adjustRightInd w:val="0"/>
        <w:snapToGrid w:val="0"/>
        <w:spacing w:line="598" w:lineRule="exact"/>
        <w:ind w:firstLine="640" w:firstLineChars="20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（一）对用于</w:t>
      </w:r>
      <w:r>
        <w:rPr>
          <w:rFonts w:hint="eastAsia" w:ascii="Times New Roman" w:hAnsi="Times New Roman" w:eastAsia="仿宋_GB2312" w:cs="仿宋_GB2312"/>
          <w:color w:val="000000" w:themeColor="text1"/>
          <w:sz w:val="32"/>
          <w:szCs w:val="32"/>
          <w:lang w:eastAsia="zh-CN"/>
          <w14:textFill>
            <w14:solidFill>
              <w14:schemeClr w14:val="tx1"/>
            </w14:solidFill>
          </w14:textFill>
        </w:rPr>
        <w:t>医疗卫生人员</w:t>
      </w:r>
      <w:r>
        <w:rPr>
          <w:rFonts w:hint="eastAsia" w:ascii="Times New Roman" w:hAnsi="Times New Roman" w:eastAsia="仿宋_GB2312" w:cs="仿宋_GB2312"/>
          <w:color w:val="000000" w:themeColor="text1"/>
          <w:sz w:val="32"/>
          <w:szCs w:val="32"/>
          <w14:textFill>
            <w14:solidFill>
              <w14:schemeClr w14:val="tx1"/>
            </w14:solidFill>
          </w14:textFill>
        </w:rPr>
        <w:t>培训和培养、</w:t>
      </w:r>
      <w:r>
        <w:rPr>
          <w:rFonts w:hint="eastAsia" w:ascii="Times New Roman" w:hAnsi="Times New Roman" w:eastAsia="仿宋_GB2312" w:cs="仿宋_GB2312"/>
          <w:color w:val="000000" w:themeColor="text1"/>
          <w:sz w:val="32"/>
          <w:szCs w:val="32"/>
          <w:lang w:eastAsia="zh-CN"/>
          <w14:textFill>
            <w14:solidFill>
              <w14:schemeClr w14:val="tx1"/>
            </w14:solidFill>
          </w14:textFill>
        </w:rPr>
        <w:t>医疗</w:t>
      </w:r>
      <w:r>
        <w:rPr>
          <w:rFonts w:hint="eastAsia" w:ascii="Times New Roman" w:hAnsi="Times New Roman" w:eastAsia="仿宋_GB2312" w:cs="仿宋_GB2312"/>
          <w:color w:val="000000" w:themeColor="text1"/>
          <w:sz w:val="32"/>
          <w:szCs w:val="32"/>
          <w14:textFill>
            <w14:solidFill>
              <w14:schemeClr w14:val="tx1"/>
            </w14:solidFill>
          </w14:textFill>
        </w:rPr>
        <w:t>卫生领域学术活动和科学研究等方面的捐赠，禁止医药企业指定具体受益人选</w:t>
      </w:r>
      <w:r>
        <w:rPr>
          <w:rFonts w:hint="eastAsia" w:ascii="Times New Roman" w:hAnsi="Times New Roman" w:eastAsia="仿宋_GB2312" w:cs="仿宋_GB2312"/>
          <w:color w:val="000000" w:themeColor="text1"/>
          <w:sz w:val="32"/>
          <w:szCs w:val="32"/>
          <w:lang w:eastAsia="zh-CN"/>
          <w14:textFill>
            <w14:solidFill>
              <w14:schemeClr w14:val="tx1"/>
            </w14:solidFill>
          </w14:textFill>
        </w:rPr>
        <w:t>。</w:t>
      </w:r>
    </w:p>
    <w:p>
      <w:pPr>
        <w:overflowPunct w:val="0"/>
        <w:adjustRightInd w:val="0"/>
        <w:snapToGrid w:val="0"/>
        <w:spacing w:line="598" w:lineRule="exact"/>
        <w:ind w:firstLine="640" w:firstLineChars="20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（二）向</w:t>
      </w:r>
      <w:r>
        <w:rPr>
          <w:rFonts w:hint="eastAsia" w:ascii="Times New Roman" w:hAnsi="Times New Roman" w:eastAsia="仿宋_GB2312" w:cs="仿宋_GB2312"/>
          <w:color w:val="000000" w:themeColor="text1"/>
          <w:sz w:val="32"/>
          <w:szCs w:val="32"/>
          <w:lang w:eastAsia="zh-CN"/>
          <w14:textFill>
            <w14:solidFill>
              <w14:schemeClr w14:val="tx1"/>
            </w14:solidFill>
          </w14:textFill>
        </w:rPr>
        <w:t>卫生健康系统受赠单位</w:t>
      </w:r>
      <w:r>
        <w:rPr>
          <w:rFonts w:hint="eastAsia" w:ascii="Times New Roman" w:hAnsi="Times New Roman" w:eastAsia="仿宋_GB2312" w:cs="仿宋_GB2312"/>
          <w:color w:val="000000" w:themeColor="text1"/>
          <w:sz w:val="32"/>
          <w:szCs w:val="32"/>
          <w14:textFill>
            <w14:solidFill>
              <w14:schemeClr w14:val="tx1"/>
            </w14:solidFill>
          </w14:textFill>
        </w:rPr>
        <w:t>的捐赠必须由</w:t>
      </w:r>
      <w:r>
        <w:rPr>
          <w:rFonts w:hint="eastAsia" w:ascii="Times New Roman" w:hAnsi="Times New Roman" w:eastAsia="仿宋_GB2312" w:cs="仿宋_GB2312"/>
          <w:color w:val="000000" w:themeColor="text1"/>
          <w:sz w:val="32"/>
          <w:szCs w:val="32"/>
          <w:lang w:eastAsia="zh-CN"/>
          <w14:textFill>
            <w14:solidFill>
              <w14:schemeClr w14:val="tx1"/>
            </w14:solidFill>
          </w14:textFill>
        </w:rPr>
        <w:t>卫生健康系统受赠单位</w:t>
      </w:r>
      <w:r>
        <w:rPr>
          <w:rFonts w:hint="eastAsia" w:ascii="Times New Roman" w:hAnsi="Times New Roman" w:eastAsia="仿宋_GB2312" w:cs="仿宋_GB2312"/>
          <w:color w:val="000000" w:themeColor="text1"/>
          <w:sz w:val="32"/>
          <w:szCs w:val="32"/>
          <w14:textFill>
            <w14:solidFill>
              <w14:schemeClr w14:val="tx1"/>
            </w14:solidFill>
          </w14:textFill>
        </w:rPr>
        <w:t>统一接受，受赠对象不得为</w:t>
      </w:r>
      <w:r>
        <w:rPr>
          <w:rFonts w:hint="eastAsia" w:ascii="Times New Roman" w:hAnsi="Times New Roman" w:eastAsia="仿宋_GB2312" w:cs="仿宋_GB2312"/>
          <w:color w:val="000000" w:themeColor="text1"/>
          <w:sz w:val="32"/>
          <w:szCs w:val="32"/>
          <w:lang w:eastAsia="zh-CN"/>
          <w14:textFill>
            <w14:solidFill>
              <w14:schemeClr w14:val="tx1"/>
            </w14:solidFill>
          </w14:textFill>
        </w:rPr>
        <w:t>卫生健康系统受赠单位</w:t>
      </w:r>
      <w:r>
        <w:rPr>
          <w:rFonts w:hint="eastAsia" w:ascii="Times New Roman" w:hAnsi="Times New Roman" w:eastAsia="仿宋_GB2312" w:cs="仿宋_GB2312"/>
          <w:color w:val="000000" w:themeColor="text1"/>
          <w:sz w:val="32"/>
          <w:szCs w:val="32"/>
          <w14:textFill>
            <w14:solidFill>
              <w14:schemeClr w14:val="tx1"/>
            </w14:solidFill>
          </w14:textFill>
        </w:rPr>
        <w:t>的科室、其他内部职能部门、个人，或者</w:t>
      </w:r>
      <w:r>
        <w:rPr>
          <w:rFonts w:hint="eastAsia" w:ascii="Times New Roman" w:hAnsi="Times New Roman" w:eastAsia="仿宋_GB2312" w:cs="仿宋_GB2312"/>
          <w:color w:val="000000" w:themeColor="text1"/>
          <w:sz w:val="32"/>
          <w:szCs w:val="32"/>
          <w:lang w:eastAsia="zh-CN"/>
          <w14:textFill>
            <w14:solidFill>
              <w14:schemeClr w14:val="tx1"/>
            </w14:solidFill>
          </w14:textFill>
        </w:rPr>
        <w:t>卫生健康系统受赠单位</w:t>
      </w:r>
      <w:r>
        <w:rPr>
          <w:rFonts w:hint="eastAsia" w:ascii="Times New Roman" w:hAnsi="Times New Roman" w:eastAsia="仿宋_GB2312" w:cs="仿宋_GB2312"/>
          <w:color w:val="000000" w:themeColor="text1"/>
          <w:sz w:val="32"/>
          <w:szCs w:val="32"/>
          <w14:textFill>
            <w14:solidFill>
              <w14:schemeClr w14:val="tx1"/>
            </w14:solidFill>
          </w14:textFill>
        </w:rPr>
        <w:t>指定的其他单位</w:t>
      </w:r>
      <w:r>
        <w:rPr>
          <w:rFonts w:hint="eastAsia" w:ascii="Times New Roman" w:hAnsi="Times New Roman" w:eastAsia="仿宋_GB2312" w:cs="仿宋_GB2312"/>
          <w:color w:val="000000" w:themeColor="text1"/>
          <w:sz w:val="32"/>
          <w:szCs w:val="32"/>
          <w:lang w:eastAsia="zh-CN"/>
          <w14:textFill>
            <w14:solidFill>
              <w14:schemeClr w14:val="tx1"/>
            </w14:solidFill>
          </w14:textFill>
        </w:rPr>
        <w:t>。</w:t>
      </w:r>
    </w:p>
    <w:p>
      <w:pPr>
        <w:overflowPunct w:val="0"/>
        <w:adjustRightInd w:val="0"/>
        <w:snapToGrid w:val="0"/>
        <w:spacing w:line="598" w:lineRule="exact"/>
        <w:ind w:firstLine="640" w:firstLineChars="20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（三）禁止医药企业假借捐赠获取交易、服务机会、对其医药产品的处方或者使用、优惠条件或者附有与捐赠事项相关的经济利益、知识产权、科研成果、行业数据及信息等权利和主张</w:t>
      </w:r>
      <w:r>
        <w:rPr>
          <w:rFonts w:hint="eastAsia" w:ascii="Times New Roman" w:hAnsi="Times New Roman" w:eastAsia="仿宋_GB2312" w:cs="仿宋_GB2312"/>
          <w:color w:val="000000" w:themeColor="text1"/>
          <w:sz w:val="32"/>
          <w:szCs w:val="32"/>
          <w:lang w:eastAsia="zh-CN"/>
          <w14:textFill>
            <w14:solidFill>
              <w14:schemeClr w14:val="tx1"/>
            </w14:solidFill>
          </w14:textFill>
        </w:rPr>
        <w:t>。</w:t>
      </w:r>
    </w:p>
    <w:p>
      <w:pPr>
        <w:overflowPunct w:val="0"/>
        <w:adjustRightInd w:val="0"/>
        <w:snapToGrid w:val="0"/>
        <w:spacing w:line="598" w:lineRule="exact"/>
        <w:ind w:firstLine="640" w:firstLineChars="20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（四）禁止医药企业以捐赠为名规避招标流程和政府采购制度，实现相关设备的入院以达成关联产品的销售。</w:t>
      </w:r>
    </w:p>
    <w:p>
      <w:pPr>
        <w:pStyle w:val="15"/>
        <w:numPr>
          <w:ilvl w:val="0"/>
          <w:numId w:val="1"/>
        </w:numPr>
        <w:overflowPunct w:val="0"/>
        <w:adjustRightInd w:val="0"/>
        <w:snapToGrid w:val="0"/>
        <w:spacing w:line="598" w:lineRule="exact"/>
        <w:ind w:left="0" w:firstLine="64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lang w:eastAsia="zh-CN"/>
          <w14:textFill>
            <w14:solidFill>
              <w14:schemeClr w14:val="tx1"/>
            </w14:solidFill>
          </w14:textFill>
        </w:rPr>
        <w:t>本</w:t>
      </w:r>
      <w:r>
        <w:rPr>
          <w:rFonts w:hint="eastAsia" w:ascii="Times New Roman" w:hAnsi="Times New Roman" w:eastAsia="仿宋_GB2312" w:cs="仿宋_GB2312"/>
          <w:color w:val="000000" w:themeColor="text1"/>
          <w:sz w:val="32"/>
          <w:szCs w:val="32"/>
          <w14:textFill>
            <w14:solidFill>
              <w14:schemeClr w14:val="tx1"/>
            </w14:solidFill>
          </w14:textFill>
        </w:rPr>
        <w:t>指引所称的赞助，是指医药企业向被赞助方提供财物或者服务等形式的支持，以获得推广公司形象、品牌或者产品</w:t>
      </w:r>
      <w:r>
        <w:rPr>
          <w:rFonts w:hint="eastAsia" w:ascii="Times New Roman" w:hAnsi="Times New Roman" w:eastAsia="仿宋_GB2312" w:cs="仿宋_GB2312"/>
          <w:color w:val="000000" w:themeColor="text1"/>
          <w:sz w:val="32"/>
          <w:szCs w:val="32"/>
          <w:lang w:eastAsia="zh-CN"/>
          <w14:textFill>
            <w14:solidFill>
              <w14:schemeClr w14:val="tx1"/>
            </w14:solidFill>
          </w14:textFill>
        </w:rPr>
        <w:t>的机会。</w:t>
      </w:r>
    </w:p>
    <w:p>
      <w:pPr>
        <w:pStyle w:val="15"/>
        <w:numPr>
          <w:ilvl w:val="0"/>
          <w:numId w:val="1"/>
        </w:numPr>
        <w:overflowPunct w:val="0"/>
        <w:adjustRightInd w:val="0"/>
        <w:snapToGrid w:val="0"/>
        <w:spacing w:line="598" w:lineRule="exact"/>
        <w:ind w:left="0" w:firstLine="64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lang w:eastAsia="zh-CN"/>
          <w14:textFill>
            <w14:solidFill>
              <w14:schemeClr w14:val="tx1"/>
            </w14:solidFill>
          </w14:textFill>
        </w:rPr>
        <w:t>医药企业提供赞助，应当注意以下事项：</w:t>
      </w:r>
    </w:p>
    <w:p>
      <w:pPr>
        <w:numPr>
          <w:ilvl w:val="0"/>
          <w:numId w:val="4"/>
        </w:numPr>
        <w:overflowPunct w:val="0"/>
        <w:adjustRightInd w:val="0"/>
        <w:snapToGrid w:val="0"/>
        <w:spacing w:line="598" w:lineRule="exact"/>
        <w:ind w:firstLine="640" w:firstLineChars="20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医药企业</w:t>
      </w:r>
      <w:r>
        <w:rPr>
          <w:rFonts w:hint="eastAsia" w:ascii="Times New Roman" w:hAnsi="Times New Roman" w:eastAsia="仿宋_GB2312" w:cs="仿宋_GB2312"/>
          <w:color w:val="000000" w:themeColor="text1"/>
          <w:sz w:val="32"/>
          <w:szCs w:val="32"/>
          <w:lang w:eastAsia="zh-CN"/>
          <w14:textFill>
            <w14:solidFill>
              <w14:schemeClr w14:val="tx1"/>
            </w14:solidFill>
          </w14:textFill>
        </w:rPr>
        <w:t>提供的赞助应当坚持依法、</w:t>
      </w:r>
      <w:r>
        <w:rPr>
          <w:rFonts w:hint="eastAsia" w:ascii="Times New Roman" w:hAnsi="Times New Roman" w:eastAsia="仿宋_GB2312" w:cs="仿宋_GB2312"/>
          <w:color w:val="000000" w:themeColor="text1"/>
          <w:sz w:val="32"/>
          <w:szCs w:val="32"/>
          <w14:textFill>
            <w14:solidFill>
              <w14:schemeClr w14:val="tx1"/>
            </w14:solidFill>
          </w14:textFill>
        </w:rPr>
        <w:t>公开</w:t>
      </w:r>
      <w:r>
        <w:rPr>
          <w:rFonts w:hint="eastAsia" w:ascii="Times New Roman" w:hAnsi="Times New Roman" w:eastAsia="仿宋_GB2312" w:cs="仿宋_GB2312"/>
          <w:color w:val="000000" w:themeColor="text1"/>
          <w:sz w:val="32"/>
          <w:szCs w:val="32"/>
          <w:lang w:eastAsia="zh-CN"/>
          <w14:textFill>
            <w14:solidFill>
              <w14:schemeClr w14:val="tx1"/>
            </w14:solidFill>
          </w14:textFill>
        </w:rPr>
        <w:t>、</w:t>
      </w:r>
      <w:r>
        <w:rPr>
          <w:rFonts w:hint="eastAsia" w:ascii="Times New Roman" w:hAnsi="Times New Roman" w:eastAsia="仿宋_GB2312" w:cs="仿宋_GB2312"/>
          <w:color w:val="000000" w:themeColor="text1"/>
          <w:sz w:val="32"/>
          <w:szCs w:val="32"/>
          <w14:textFill>
            <w14:solidFill>
              <w14:schemeClr w14:val="tx1"/>
            </w14:solidFill>
          </w14:textFill>
        </w:rPr>
        <w:t>透明，可以基于公开的商业邀请函或招商函</w:t>
      </w:r>
      <w:r>
        <w:rPr>
          <w:rFonts w:hint="eastAsia" w:ascii="Times New Roman" w:hAnsi="Times New Roman" w:eastAsia="仿宋_GB2312" w:cs="仿宋_GB2312"/>
          <w:color w:val="000000" w:themeColor="text1"/>
          <w:sz w:val="32"/>
          <w:szCs w:val="32"/>
          <w:lang w:eastAsia="zh-CN"/>
          <w14:textFill>
            <w14:solidFill>
              <w14:schemeClr w14:val="tx1"/>
            </w14:solidFill>
          </w14:textFill>
        </w:rPr>
        <w:t>。</w:t>
      </w:r>
    </w:p>
    <w:p>
      <w:pPr>
        <w:numPr>
          <w:ilvl w:val="0"/>
          <w:numId w:val="4"/>
        </w:numPr>
        <w:overflowPunct w:val="0"/>
        <w:adjustRightInd w:val="0"/>
        <w:snapToGrid w:val="0"/>
        <w:spacing w:line="598" w:lineRule="exact"/>
        <w:ind w:firstLine="640" w:firstLineChars="20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医药企业向第三方商业活动提供赞助时，应当签订商业赞助协议，明确企业可获得冠名授权、广告展位等回报。</w:t>
      </w:r>
    </w:p>
    <w:p>
      <w:pPr>
        <w:pStyle w:val="15"/>
        <w:numPr>
          <w:ilvl w:val="0"/>
          <w:numId w:val="1"/>
        </w:numPr>
        <w:overflowPunct w:val="0"/>
        <w:adjustRightInd w:val="0"/>
        <w:snapToGrid w:val="0"/>
        <w:spacing w:line="598" w:lineRule="exact"/>
        <w:ind w:left="0" w:firstLine="64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lang w:eastAsia="zh-CN"/>
          <w14:textFill>
            <w14:solidFill>
              <w14:schemeClr w14:val="tx1"/>
            </w14:solidFill>
          </w14:textFill>
        </w:rPr>
        <w:t>医药企业提供赞助，应当注意以下行为风险的识别与防范：</w:t>
      </w:r>
    </w:p>
    <w:p>
      <w:pPr>
        <w:overflowPunct w:val="0"/>
        <w:adjustRightInd w:val="0"/>
        <w:snapToGrid w:val="0"/>
        <w:spacing w:line="598" w:lineRule="exact"/>
        <w:ind w:firstLine="640" w:firstLineChars="20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w:t>
      </w:r>
      <w:r>
        <w:rPr>
          <w:rFonts w:hint="eastAsia" w:ascii="Times New Roman" w:hAnsi="Times New Roman" w:eastAsia="仿宋_GB2312" w:cs="仿宋_GB2312"/>
          <w:color w:val="000000" w:themeColor="text1"/>
          <w:sz w:val="32"/>
          <w:szCs w:val="32"/>
          <w:lang w:eastAsia="zh-CN"/>
          <w14:textFill>
            <w14:solidFill>
              <w14:schemeClr w14:val="tx1"/>
            </w14:solidFill>
          </w14:textFill>
        </w:rPr>
        <w:t>一</w:t>
      </w:r>
      <w:r>
        <w:rPr>
          <w:rFonts w:hint="eastAsia" w:ascii="Times New Roman" w:hAnsi="Times New Roman" w:eastAsia="仿宋_GB2312" w:cs="仿宋_GB2312"/>
          <w:color w:val="000000" w:themeColor="text1"/>
          <w:sz w:val="32"/>
          <w:szCs w:val="32"/>
          <w14:textFill>
            <w14:solidFill>
              <w14:schemeClr w14:val="tx1"/>
            </w14:solidFill>
          </w14:textFill>
        </w:rPr>
        <w:t>）医药企业避免直接向医疗卫生机构或医疗卫生机构</w:t>
      </w:r>
      <w:r>
        <w:rPr>
          <w:rFonts w:hint="eastAsia" w:ascii="Times New Roman" w:hAnsi="Times New Roman" w:eastAsia="仿宋_GB2312" w:cs="仿宋_GB2312"/>
          <w:color w:val="000000" w:themeColor="text1"/>
          <w:sz w:val="32"/>
          <w:szCs w:val="32"/>
          <w:lang w:eastAsia="zh-CN"/>
          <w14:textFill>
            <w14:solidFill>
              <w14:schemeClr w14:val="tx1"/>
            </w14:solidFill>
          </w14:textFill>
        </w:rPr>
        <w:t>内设部门、医疗卫生人员</w:t>
      </w:r>
      <w:r>
        <w:rPr>
          <w:rFonts w:hint="eastAsia" w:ascii="Times New Roman" w:hAnsi="Times New Roman" w:eastAsia="仿宋_GB2312" w:cs="仿宋_GB2312"/>
          <w:color w:val="000000" w:themeColor="text1"/>
          <w:sz w:val="32"/>
          <w:szCs w:val="32"/>
          <w14:textFill>
            <w14:solidFill>
              <w14:schemeClr w14:val="tx1"/>
            </w14:solidFill>
          </w14:textFill>
        </w:rPr>
        <w:t>个人提供赞助，或者通过第三方指定被赞助方</w:t>
      </w:r>
      <w:r>
        <w:rPr>
          <w:rFonts w:hint="eastAsia" w:ascii="Times New Roman" w:hAnsi="Times New Roman" w:eastAsia="仿宋_GB2312" w:cs="仿宋_GB2312"/>
          <w:color w:val="000000" w:themeColor="text1"/>
          <w:sz w:val="32"/>
          <w:szCs w:val="32"/>
          <w:lang w:eastAsia="zh-CN"/>
          <w14:textFill>
            <w14:solidFill>
              <w14:schemeClr w14:val="tx1"/>
            </w14:solidFill>
          </w14:textFill>
        </w:rPr>
        <w:t>。</w:t>
      </w:r>
    </w:p>
    <w:p>
      <w:pPr>
        <w:overflowPunct w:val="0"/>
        <w:adjustRightInd w:val="0"/>
        <w:snapToGrid w:val="0"/>
        <w:spacing w:line="598" w:lineRule="exact"/>
        <w:ind w:firstLine="640" w:firstLineChars="20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w:t>
      </w:r>
      <w:r>
        <w:rPr>
          <w:rFonts w:hint="eastAsia" w:ascii="Times New Roman" w:hAnsi="Times New Roman" w:eastAsia="仿宋_GB2312" w:cs="仿宋_GB2312"/>
          <w:color w:val="000000" w:themeColor="text1"/>
          <w:sz w:val="32"/>
          <w:szCs w:val="32"/>
          <w:lang w:eastAsia="zh-CN"/>
          <w14:textFill>
            <w14:solidFill>
              <w14:schemeClr w14:val="tx1"/>
            </w14:solidFill>
          </w14:textFill>
        </w:rPr>
        <w:t>二</w:t>
      </w:r>
      <w:r>
        <w:rPr>
          <w:rFonts w:hint="eastAsia" w:ascii="Times New Roman" w:hAnsi="Times New Roman" w:eastAsia="仿宋_GB2312" w:cs="仿宋_GB2312"/>
          <w:color w:val="000000" w:themeColor="text1"/>
          <w:sz w:val="32"/>
          <w:szCs w:val="32"/>
          <w14:textFill>
            <w14:solidFill>
              <w14:schemeClr w14:val="tx1"/>
            </w14:solidFill>
          </w14:textFill>
        </w:rPr>
        <w:t>）禁止医药企业假借赞助名义影响</w:t>
      </w:r>
      <w:r>
        <w:rPr>
          <w:rFonts w:hint="eastAsia" w:ascii="Times New Roman" w:hAnsi="Times New Roman" w:eastAsia="仿宋_GB2312" w:cs="仿宋_GB2312"/>
          <w:color w:val="000000" w:themeColor="text1"/>
          <w:sz w:val="32"/>
          <w:szCs w:val="32"/>
          <w:lang w:eastAsia="zh-CN"/>
          <w14:textFill>
            <w14:solidFill>
              <w14:schemeClr w14:val="tx1"/>
            </w14:solidFill>
          </w14:textFill>
        </w:rPr>
        <w:t>医疗卫生人员</w:t>
      </w:r>
      <w:r>
        <w:rPr>
          <w:rFonts w:hint="eastAsia" w:ascii="Times New Roman" w:hAnsi="Times New Roman" w:eastAsia="仿宋_GB2312" w:cs="仿宋_GB2312"/>
          <w:color w:val="000000" w:themeColor="text1"/>
          <w:sz w:val="32"/>
          <w:szCs w:val="32"/>
          <w14:textFill>
            <w14:solidFill>
              <w14:schemeClr w14:val="tx1"/>
            </w14:solidFill>
          </w14:textFill>
        </w:rPr>
        <w:t>开具</w:t>
      </w:r>
      <w:r>
        <w:rPr>
          <w:rFonts w:hint="eastAsia" w:ascii="Times New Roman" w:hAnsi="Times New Roman" w:eastAsia="仿宋_GB2312" w:cs="仿宋_GB2312"/>
          <w:color w:val="000000" w:themeColor="text1"/>
          <w:sz w:val="32"/>
          <w:szCs w:val="32"/>
          <w:lang w:eastAsia="zh-CN"/>
          <w14:textFill>
            <w14:solidFill>
              <w14:schemeClr w14:val="tx1"/>
            </w14:solidFill>
          </w14:textFill>
        </w:rPr>
        <w:t>医药产品处方</w:t>
      </w:r>
      <w:r>
        <w:rPr>
          <w:rFonts w:hint="eastAsia" w:ascii="Times New Roman" w:hAnsi="Times New Roman" w:eastAsia="仿宋_GB2312" w:cs="仿宋_GB2312"/>
          <w:color w:val="000000" w:themeColor="text1"/>
          <w:sz w:val="32"/>
          <w:szCs w:val="32"/>
          <w14:textFill>
            <w14:solidFill>
              <w14:schemeClr w14:val="tx1"/>
            </w14:solidFill>
          </w14:textFill>
        </w:rPr>
        <w:t>或者为推荐、宣传、采购、使用本企业医药产品提供便利，以谋求竞争优势或者交易机会。</w:t>
      </w:r>
    </w:p>
    <w:p>
      <w:pPr>
        <w:pStyle w:val="15"/>
        <w:numPr>
          <w:ilvl w:val="0"/>
          <w:numId w:val="1"/>
        </w:numPr>
        <w:overflowPunct w:val="0"/>
        <w:adjustRightInd w:val="0"/>
        <w:snapToGrid w:val="0"/>
        <w:spacing w:line="598" w:lineRule="exact"/>
        <w:ind w:left="0" w:firstLine="64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lang w:eastAsia="zh-CN"/>
          <w14:textFill>
            <w14:solidFill>
              <w14:schemeClr w14:val="tx1"/>
            </w14:solidFill>
          </w14:textFill>
        </w:rPr>
        <w:t>本</w:t>
      </w:r>
      <w:r>
        <w:rPr>
          <w:rFonts w:hint="eastAsia" w:ascii="Times New Roman" w:hAnsi="Times New Roman" w:eastAsia="仿宋_GB2312" w:cs="仿宋_GB2312"/>
          <w:color w:val="000000" w:themeColor="text1"/>
          <w:sz w:val="32"/>
          <w:szCs w:val="32"/>
          <w14:textFill>
            <w14:solidFill>
              <w14:schemeClr w14:val="tx1"/>
            </w14:solidFill>
          </w14:textFill>
        </w:rPr>
        <w:t>指引所称的资助，是指医药企业向</w:t>
      </w:r>
      <w:r>
        <w:rPr>
          <w:rFonts w:hint="eastAsia" w:ascii="Times New Roman" w:hAnsi="Times New Roman" w:eastAsia="仿宋_GB2312" w:cs="仿宋_GB2312"/>
          <w:color w:val="000000" w:themeColor="text1"/>
          <w:sz w:val="32"/>
          <w:szCs w:val="32"/>
          <w:lang w:eastAsia="zh-CN"/>
          <w14:textFill>
            <w14:solidFill>
              <w14:schemeClr w14:val="tx1"/>
            </w14:solidFill>
          </w14:textFill>
        </w:rPr>
        <w:t>医疗卫生机构</w:t>
      </w:r>
      <w:r>
        <w:rPr>
          <w:rFonts w:hint="eastAsia" w:ascii="Times New Roman" w:hAnsi="Times New Roman" w:eastAsia="仿宋_GB2312" w:cs="仿宋_GB2312"/>
          <w:color w:val="000000" w:themeColor="text1"/>
          <w:sz w:val="32"/>
          <w:szCs w:val="32"/>
          <w14:textFill>
            <w14:solidFill>
              <w14:schemeClr w14:val="tx1"/>
            </w14:solidFill>
          </w14:textFill>
        </w:rPr>
        <w:t>无偿提供财务资助以帮助其提升医疗</w:t>
      </w:r>
      <w:r>
        <w:rPr>
          <w:rFonts w:hint="eastAsia" w:ascii="Times New Roman" w:hAnsi="Times New Roman" w:eastAsia="仿宋_GB2312" w:cs="仿宋_GB2312"/>
          <w:color w:val="000000" w:themeColor="text1"/>
          <w:sz w:val="32"/>
          <w:szCs w:val="32"/>
          <w:lang w:eastAsia="zh-CN"/>
          <w14:textFill>
            <w14:solidFill>
              <w14:schemeClr w14:val="tx1"/>
            </w14:solidFill>
          </w14:textFill>
        </w:rPr>
        <w:t>卫生</w:t>
      </w:r>
      <w:r>
        <w:rPr>
          <w:rFonts w:hint="eastAsia" w:ascii="Times New Roman" w:hAnsi="Times New Roman" w:eastAsia="仿宋_GB2312" w:cs="仿宋_GB2312"/>
          <w:color w:val="000000" w:themeColor="text1"/>
          <w:sz w:val="32"/>
          <w:szCs w:val="32"/>
          <w14:textFill>
            <w14:solidFill>
              <w14:schemeClr w14:val="tx1"/>
            </w14:solidFill>
          </w14:textFill>
        </w:rPr>
        <w:t>服务水平，包括对医学或科学研究、医疗设施改善等。</w:t>
      </w:r>
    </w:p>
    <w:p>
      <w:pPr>
        <w:pStyle w:val="15"/>
        <w:numPr>
          <w:ilvl w:val="0"/>
          <w:numId w:val="1"/>
        </w:numPr>
        <w:overflowPunct w:val="0"/>
        <w:adjustRightInd w:val="0"/>
        <w:snapToGrid w:val="0"/>
        <w:spacing w:line="598" w:lineRule="exact"/>
        <w:ind w:left="0" w:firstLine="64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lang w:eastAsia="zh-CN"/>
          <w14:textFill>
            <w14:solidFill>
              <w14:schemeClr w14:val="tx1"/>
            </w14:solidFill>
          </w14:textFill>
        </w:rPr>
        <w:t>医药企业提供资助，应当注意以下事项：</w:t>
      </w:r>
    </w:p>
    <w:p>
      <w:pPr>
        <w:overflowPunct w:val="0"/>
        <w:adjustRightInd w:val="0"/>
        <w:snapToGrid w:val="0"/>
        <w:spacing w:line="598" w:lineRule="exact"/>
        <w:ind w:firstLine="640" w:firstLineChars="20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（一）医药企业提供资助前，建议对被资助对象进行适当的尽职调查，了解被资助的项目及其管理措施，并保留相关记录</w:t>
      </w:r>
      <w:r>
        <w:rPr>
          <w:rFonts w:hint="eastAsia" w:ascii="Times New Roman" w:hAnsi="Times New Roman" w:eastAsia="仿宋_GB2312" w:cs="仿宋_GB2312"/>
          <w:color w:val="000000" w:themeColor="text1"/>
          <w:sz w:val="32"/>
          <w:szCs w:val="32"/>
          <w:lang w:eastAsia="zh-CN"/>
          <w14:textFill>
            <w14:solidFill>
              <w14:schemeClr w14:val="tx1"/>
            </w14:solidFill>
          </w14:textFill>
        </w:rPr>
        <w:t>。</w:t>
      </w:r>
    </w:p>
    <w:p>
      <w:pPr>
        <w:overflowPunct w:val="0"/>
        <w:adjustRightInd w:val="0"/>
        <w:snapToGrid w:val="0"/>
        <w:spacing w:line="598" w:lineRule="exact"/>
        <w:ind w:firstLine="640" w:firstLineChars="200"/>
        <w:rPr>
          <w:rFonts w:hint="eastAsia" w:ascii="Times New Roman" w:hAnsi="Times New Roman" w:eastAsia="仿宋_GB2312" w:cs="仿宋_GB2312"/>
          <w:color w:val="000000" w:themeColor="text1"/>
          <w:sz w:val="32"/>
          <w:szCs w:val="32"/>
          <w:lang w:eastAsia="zh-CN"/>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（二）医药企业</w:t>
      </w:r>
      <w:r>
        <w:rPr>
          <w:rFonts w:hint="eastAsia" w:ascii="Times New Roman" w:hAnsi="Times New Roman" w:eastAsia="仿宋_GB2312" w:cs="仿宋_GB2312"/>
          <w:color w:val="000000" w:themeColor="text1"/>
          <w:sz w:val="32"/>
          <w:szCs w:val="32"/>
          <w:lang w:eastAsia="zh-CN"/>
          <w14:textFill>
            <w14:solidFill>
              <w14:schemeClr w14:val="tx1"/>
            </w14:solidFill>
          </w14:textFill>
        </w:rPr>
        <w:t>提供资助，应当遵守相关法律法规规定，</w:t>
      </w:r>
      <w:r>
        <w:rPr>
          <w:rFonts w:hint="eastAsia" w:ascii="Times New Roman" w:hAnsi="Times New Roman" w:eastAsia="仿宋_GB2312" w:cs="仿宋_GB2312"/>
          <w:color w:val="000000" w:themeColor="text1"/>
          <w:sz w:val="32"/>
          <w:szCs w:val="32"/>
          <w14:textFill>
            <w14:solidFill>
              <w14:schemeClr w14:val="tx1"/>
            </w14:solidFill>
          </w14:textFill>
        </w:rPr>
        <w:t>采取必要且适当的审批程序，确保资助不会被用作非法利诱的目的</w:t>
      </w:r>
      <w:r>
        <w:rPr>
          <w:rFonts w:hint="eastAsia" w:ascii="Times New Roman" w:hAnsi="Times New Roman" w:eastAsia="仿宋_GB2312" w:cs="仿宋_GB2312"/>
          <w:color w:val="000000" w:themeColor="text1"/>
          <w:sz w:val="32"/>
          <w:szCs w:val="32"/>
          <w:lang w:eastAsia="zh-CN"/>
          <w14:textFill>
            <w14:solidFill>
              <w14:schemeClr w14:val="tx1"/>
            </w14:solidFill>
          </w14:textFill>
        </w:rPr>
        <w:t>。</w:t>
      </w:r>
    </w:p>
    <w:p>
      <w:pPr>
        <w:overflowPunct w:val="0"/>
        <w:adjustRightInd w:val="0"/>
        <w:snapToGrid w:val="0"/>
        <w:spacing w:line="598" w:lineRule="exact"/>
        <w:ind w:firstLine="640" w:firstLineChars="20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（三）医药企业应当与被资助方签订合同，明确资助用途。</w:t>
      </w:r>
    </w:p>
    <w:p>
      <w:pPr>
        <w:pStyle w:val="15"/>
        <w:numPr>
          <w:ilvl w:val="0"/>
          <w:numId w:val="1"/>
        </w:numPr>
        <w:overflowPunct w:val="0"/>
        <w:adjustRightInd w:val="0"/>
        <w:snapToGrid w:val="0"/>
        <w:spacing w:line="598" w:lineRule="exact"/>
        <w:ind w:left="0" w:firstLine="64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lang w:eastAsia="zh-CN"/>
          <w14:textFill>
            <w14:solidFill>
              <w14:schemeClr w14:val="tx1"/>
            </w14:solidFill>
          </w14:textFill>
        </w:rPr>
        <w:t>医药企业提供资助，应当注意以下行为风险的识别与防范：</w:t>
      </w:r>
    </w:p>
    <w:p>
      <w:pPr>
        <w:overflowPunct w:val="0"/>
        <w:adjustRightInd w:val="0"/>
        <w:snapToGrid w:val="0"/>
        <w:spacing w:line="598" w:lineRule="exact"/>
        <w:ind w:firstLine="640" w:firstLineChars="20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（一）医药企业</w:t>
      </w:r>
      <w:r>
        <w:rPr>
          <w:rFonts w:hint="eastAsia" w:ascii="Times New Roman" w:hAnsi="Times New Roman" w:eastAsia="仿宋_GB2312" w:cs="仿宋_GB2312"/>
          <w:color w:val="000000" w:themeColor="text1"/>
          <w:sz w:val="32"/>
          <w:szCs w:val="32"/>
          <w:lang w:eastAsia="zh-CN"/>
          <w14:textFill>
            <w14:solidFill>
              <w14:schemeClr w14:val="tx1"/>
            </w14:solidFill>
          </w14:textFill>
        </w:rPr>
        <w:t>禁止</w:t>
      </w:r>
      <w:r>
        <w:rPr>
          <w:rFonts w:hint="eastAsia" w:ascii="Times New Roman" w:hAnsi="Times New Roman" w:eastAsia="仿宋_GB2312" w:cs="仿宋_GB2312"/>
          <w:color w:val="000000" w:themeColor="text1"/>
          <w:sz w:val="32"/>
          <w:szCs w:val="32"/>
          <w14:textFill>
            <w14:solidFill>
              <w14:schemeClr w14:val="tx1"/>
            </w14:solidFill>
          </w14:textFill>
        </w:rPr>
        <w:t>直接向被资助方内设部门或个人支付资助款</w:t>
      </w:r>
      <w:r>
        <w:rPr>
          <w:rFonts w:hint="eastAsia" w:ascii="Times New Roman" w:hAnsi="Times New Roman" w:eastAsia="仿宋_GB2312" w:cs="仿宋_GB2312"/>
          <w:color w:val="000000" w:themeColor="text1"/>
          <w:sz w:val="32"/>
          <w:szCs w:val="32"/>
          <w:lang w:eastAsia="zh-CN"/>
          <w14:textFill>
            <w14:solidFill>
              <w14:schemeClr w14:val="tx1"/>
            </w14:solidFill>
          </w14:textFill>
        </w:rPr>
        <w:t>。</w:t>
      </w:r>
    </w:p>
    <w:p>
      <w:pPr>
        <w:overflowPunct w:val="0"/>
        <w:adjustRightInd w:val="0"/>
        <w:snapToGrid w:val="0"/>
        <w:spacing w:line="598" w:lineRule="exact"/>
        <w:ind w:firstLine="640" w:firstLineChars="20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（二）医药企业</w:t>
      </w:r>
      <w:r>
        <w:rPr>
          <w:rFonts w:hint="eastAsia" w:ascii="Times New Roman" w:hAnsi="Times New Roman" w:eastAsia="仿宋_GB2312" w:cs="仿宋_GB2312"/>
          <w:color w:val="000000" w:themeColor="text1"/>
          <w:sz w:val="32"/>
          <w:szCs w:val="32"/>
          <w:lang w:eastAsia="zh-CN"/>
          <w14:textFill>
            <w14:solidFill>
              <w14:schemeClr w14:val="tx1"/>
            </w14:solidFill>
          </w14:textFill>
        </w:rPr>
        <w:t>禁止</w:t>
      </w:r>
      <w:r>
        <w:rPr>
          <w:rFonts w:hint="eastAsia" w:ascii="Times New Roman" w:hAnsi="Times New Roman" w:eastAsia="仿宋_GB2312" w:cs="仿宋_GB2312"/>
          <w:color w:val="000000" w:themeColor="text1"/>
          <w:sz w:val="32"/>
          <w:szCs w:val="32"/>
          <w14:textFill>
            <w14:solidFill>
              <w14:schemeClr w14:val="tx1"/>
            </w14:solidFill>
          </w14:textFill>
        </w:rPr>
        <w:t>向特定</w:t>
      </w:r>
      <w:r>
        <w:rPr>
          <w:rFonts w:hint="eastAsia" w:ascii="Times New Roman" w:hAnsi="Times New Roman" w:eastAsia="仿宋_GB2312" w:cs="仿宋_GB2312"/>
          <w:color w:val="000000" w:themeColor="text1"/>
          <w:sz w:val="32"/>
          <w:szCs w:val="32"/>
          <w:lang w:eastAsia="zh-CN"/>
          <w14:textFill>
            <w14:solidFill>
              <w14:schemeClr w14:val="tx1"/>
            </w14:solidFill>
          </w14:textFill>
        </w:rPr>
        <w:t>医疗卫生人员</w:t>
      </w:r>
      <w:r>
        <w:rPr>
          <w:rFonts w:hint="eastAsia" w:ascii="Times New Roman" w:hAnsi="Times New Roman" w:eastAsia="仿宋_GB2312" w:cs="仿宋_GB2312"/>
          <w:color w:val="000000" w:themeColor="text1"/>
          <w:sz w:val="32"/>
          <w:szCs w:val="32"/>
          <w14:textFill>
            <w14:solidFill>
              <w14:schemeClr w14:val="tx1"/>
            </w14:solidFill>
          </w14:textFill>
        </w:rPr>
        <w:t>提供资助</w:t>
      </w:r>
      <w:r>
        <w:rPr>
          <w:rFonts w:hint="eastAsia" w:ascii="Times New Roman" w:hAnsi="Times New Roman" w:eastAsia="仿宋_GB2312" w:cs="仿宋_GB2312"/>
          <w:color w:val="000000" w:themeColor="text1"/>
          <w:sz w:val="32"/>
          <w:szCs w:val="32"/>
          <w:lang w:eastAsia="zh-CN"/>
          <w14:textFill>
            <w14:solidFill>
              <w14:schemeClr w14:val="tx1"/>
            </w14:solidFill>
          </w14:textFill>
        </w:rPr>
        <w:t>。</w:t>
      </w:r>
    </w:p>
    <w:p>
      <w:pPr>
        <w:overflowPunct w:val="0"/>
        <w:adjustRightInd w:val="0"/>
        <w:snapToGrid w:val="0"/>
        <w:spacing w:line="598" w:lineRule="exact"/>
        <w:ind w:firstLine="640" w:firstLineChars="20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（三）禁止医药企业通过资助方式</w:t>
      </w:r>
      <w:bookmarkStart w:id="13" w:name="_Hlk153979858"/>
      <w:r>
        <w:rPr>
          <w:rFonts w:hint="eastAsia" w:ascii="Times New Roman" w:hAnsi="Times New Roman" w:eastAsia="仿宋_GB2312" w:cs="仿宋_GB2312"/>
          <w:color w:val="000000" w:themeColor="text1"/>
          <w:sz w:val="32"/>
          <w:szCs w:val="32"/>
          <w14:textFill>
            <w14:solidFill>
              <w14:schemeClr w14:val="tx1"/>
            </w14:solidFill>
          </w14:textFill>
        </w:rPr>
        <w:t>换取被资助方开具处方、推荐、宣传、采购、使用本企业医药产品的结果或者承诺，以谋求竞争优势或者交易机会。</w:t>
      </w:r>
      <w:bookmarkEnd w:id="13"/>
    </w:p>
    <w:p>
      <w:pPr>
        <w:pStyle w:val="3"/>
        <w:keepNext w:val="0"/>
        <w:keepLines w:val="0"/>
        <w:overflowPunct w:val="0"/>
        <w:adjustRightInd w:val="0"/>
        <w:snapToGrid w:val="0"/>
        <w:spacing w:before="0" w:after="0" w:line="598" w:lineRule="exact"/>
        <w:jc w:val="center"/>
        <w:outlineLvl w:val="9"/>
        <w:rPr>
          <w:rFonts w:hint="default" w:ascii="Times New Roman" w:hAnsi="Times New Roman" w:eastAsia="黑体" w:cs="黑体"/>
          <w:b w:val="0"/>
          <w:bCs w:val="0"/>
          <w:color w:val="000000" w:themeColor="text1"/>
          <w:sz w:val="32"/>
          <w:szCs w:val="32"/>
          <w14:textFill>
            <w14:solidFill>
              <w14:schemeClr w14:val="tx1"/>
            </w14:solidFill>
          </w14:textFill>
        </w:rPr>
      </w:pPr>
      <w:bookmarkStart w:id="14" w:name="_Toc153726515"/>
    </w:p>
    <w:p>
      <w:pPr>
        <w:pStyle w:val="3"/>
        <w:keepNext w:val="0"/>
        <w:keepLines w:val="0"/>
        <w:overflowPunct w:val="0"/>
        <w:adjustRightInd w:val="0"/>
        <w:snapToGrid w:val="0"/>
        <w:spacing w:before="0" w:after="0" w:line="598" w:lineRule="exact"/>
        <w:jc w:val="center"/>
        <w:outlineLvl w:val="1"/>
        <w:rPr>
          <w:rFonts w:hint="default" w:ascii="Times New Roman" w:hAnsi="Times New Roman" w:eastAsia="黑体" w:cs="黑体"/>
          <w:b w:val="0"/>
          <w:bCs w:val="0"/>
          <w:color w:val="000000" w:themeColor="text1"/>
          <w:sz w:val="32"/>
          <w:szCs w:val="32"/>
          <w14:textFill>
            <w14:solidFill>
              <w14:schemeClr w14:val="tx1"/>
            </w14:solidFill>
          </w14:textFill>
        </w:rPr>
      </w:pPr>
      <w:r>
        <w:rPr>
          <w:rFonts w:hint="default" w:ascii="Times New Roman" w:hAnsi="Times New Roman" w:eastAsia="黑体" w:cs="黑体"/>
          <w:b w:val="0"/>
          <w:bCs w:val="0"/>
          <w:color w:val="000000" w:themeColor="text1"/>
          <w:sz w:val="32"/>
          <w:szCs w:val="32"/>
          <w14:textFill>
            <w14:solidFill>
              <w14:schemeClr w14:val="tx1"/>
            </w14:solidFill>
          </w14:textFill>
        </w:rPr>
        <w:t>第</w:t>
      </w:r>
      <w:r>
        <w:rPr>
          <w:rFonts w:hint="eastAsia" w:ascii="Times New Roman" w:hAnsi="Times New Roman" w:eastAsia="黑体" w:cs="黑体"/>
          <w:b w:val="0"/>
          <w:bCs w:val="0"/>
          <w:color w:val="000000" w:themeColor="text1"/>
          <w:sz w:val="32"/>
          <w:szCs w:val="32"/>
          <w:lang w:eastAsia="zh-CN"/>
          <w14:textFill>
            <w14:solidFill>
              <w14:schemeClr w14:val="tx1"/>
            </w14:solidFill>
          </w14:textFill>
        </w:rPr>
        <w:t>七</w:t>
      </w:r>
      <w:r>
        <w:rPr>
          <w:rFonts w:hint="default" w:ascii="Times New Roman" w:hAnsi="Times New Roman" w:eastAsia="黑体" w:cs="黑体"/>
          <w:b w:val="0"/>
          <w:bCs w:val="0"/>
          <w:color w:val="000000" w:themeColor="text1"/>
          <w:sz w:val="32"/>
          <w:szCs w:val="32"/>
          <w14:textFill>
            <w14:solidFill>
              <w14:schemeClr w14:val="tx1"/>
            </w14:solidFill>
          </w14:textFill>
        </w:rPr>
        <w:t>节</w:t>
      </w:r>
      <w:r>
        <w:rPr>
          <w:rFonts w:hint="eastAsia" w:ascii="Times New Roman" w:hAnsi="Times New Roman" w:eastAsia="黑体" w:cs="黑体"/>
          <w:b w:val="0"/>
          <w:bCs w:val="0"/>
          <w:color w:val="000000" w:themeColor="text1"/>
          <w:sz w:val="32"/>
          <w:szCs w:val="32"/>
          <w14:textFill>
            <w14:solidFill>
              <w14:schemeClr w14:val="tx1"/>
            </w14:solidFill>
          </w14:textFill>
        </w:rPr>
        <w:t xml:space="preserve"> 医疗设备无偿投放商业贿赂风险</w:t>
      </w:r>
      <w:bookmarkEnd w:id="14"/>
    </w:p>
    <w:p>
      <w:pPr>
        <w:pStyle w:val="3"/>
        <w:keepNext w:val="0"/>
        <w:keepLines w:val="0"/>
        <w:overflowPunct w:val="0"/>
        <w:adjustRightInd w:val="0"/>
        <w:snapToGrid w:val="0"/>
        <w:spacing w:before="0" w:after="0" w:line="598" w:lineRule="exact"/>
        <w:jc w:val="center"/>
        <w:outlineLvl w:val="9"/>
        <w:rPr>
          <w:rFonts w:hint="eastAsia" w:ascii="Times New Roman" w:hAnsi="Times New Roman" w:eastAsia="黑体" w:cs="黑体"/>
          <w:b w:val="0"/>
          <w:bCs w:val="0"/>
          <w:color w:val="000000" w:themeColor="text1"/>
          <w:sz w:val="32"/>
          <w:szCs w:val="32"/>
          <w14:textFill>
            <w14:solidFill>
              <w14:schemeClr w14:val="tx1"/>
            </w14:solidFill>
          </w14:textFill>
        </w:rPr>
      </w:pPr>
    </w:p>
    <w:p>
      <w:pPr>
        <w:pStyle w:val="15"/>
        <w:numPr>
          <w:ilvl w:val="0"/>
          <w:numId w:val="1"/>
        </w:numPr>
        <w:overflowPunct w:val="0"/>
        <w:adjustRightInd w:val="0"/>
        <w:snapToGrid w:val="0"/>
        <w:spacing w:line="598" w:lineRule="exact"/>
        <w:ind w:left="0" w:firstLine="64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lang w:eastAsia="zh-CN"/>
          <w14:textFill>
            <w14:solidFill>
              <w14:schemeClr w14:val="tx1"/>
            </w14:solidFill>
          </w14:textFill>
        </w:rPr>
        <w:t>本</w:t>
      </w:r>
      <w:r>
        <w:rPr>
          <w:rFonts w:hint="eastAsia" w:ascii="Times New Roman" w:hAnsi="Times New Roman" w:eastAsia="仿宋_GB2312" w:cs="仿宋_GB2312"/>
          <w:color w:val="000000" w:themeColor="text1"/>
          <w:sz w:val="32"/>
          <w:szCs w:val="32"/>
          <w14:textFill>
            <w14:solidFill>
              <w14:schemeClr w14:val="tx1"/>
            </w14:solidFill>
          </w14:textFill>
        </w:rPr>
        <w:t>指引所称的医疗设备无偿投放，是指医药企业在公平竞争的前提下，基于有助于促进产品的正确、安全</w:t>
      </w:r>
      <w:r>
        <w:rPr>
          <w:rFonts w:hint="eastAsia" w:ascii="Times New Roman" w:hAnsi="Times New Roman" w:eastAsia="仿宋_GB2312" w:cs="仿宋_GB2312"/>
          <w:color w:val="000000" w:themeColor="text1"/>
          <w:sz w:val="32"/>
          <w:szCs w:val="32"/>
          <w:lang w:eastAsia="zh-CN"/>
          <w14:textFill>
            <w14:solidFill>
              <w14:schemeClr w14:val="tx1"/>
            </w14:solidFill>
          </w14:textFill>
        </w:rPr>
        <w:t>、</w:t>
      </w:r>
      <w:r>
        <w:rPr>
          <w:rFonts w:hint="eastAsia" w:ascii="Times New Roman" w:hAnsi="Times New Roman" w:eastAsia="仿宋_GB2312" w:cs="仿宋_GB2312"/>
          <w:color w:val="000000" w:themeColor="text1"/>
          <w:sz w:val="32"/>
          <w:szCs w:val="32"/>
          <w14:textFill>
            <w14:solidFill>
              <w14:schemeClr w14:val="tx1"/>
            </w14:solidFill>
          </w14:textFill>
        </w:rPr>
        <w:t>有效使用</w:t>
      </w:r>
      <w:r>
        <w:rPr>
          <w:rFonts w:hint="eastAsia" w:ascii="Times New Roman" w:hAnsi="Times New Roman" w:eastAsia="仿宋_GB2312" w:cs="仿宋_GB2312"/>
          <w:color w:val="000000" w:themeColor="text1"/>
          <w:sz w:val="32"/>
          <w:szCs w:val="32"/>
          <w:lang w:eastAsia="zh-CN"/>
          <w14:textFill>
            <w14:solidFill>
              <w14:schemeClr w14:val="tx1"/>
            </w14:solidFill>
          </w14:textFill>
        </w:rPr>
        <w:t>和上市前临床试验</w:t>
      </w:r>
      <w:r>
        <w:rPr>
          <w:rFonts w:hint="eastAsia" w:ascii="Times New Roman" w:hAnsi="Times New Roman" w:eastAsia="仿宋_GB2312" w:cs="仿宋_GB2312"/>
          <w:color w:val="000000" w:themeColor="text1"/>
          <w:sz w:val="32"/>
          <w:szCs w:val="32"/>
          <w14:textFill>
            <w14:solidFill>
              <w14:schemeClr w14:val="tx1"/>
            </w14:solidFill>
          </w14:textFill>
        </w:rPr>
        <w:t>的合理理由，无偿为</w:t>
      </w:r>
      <w:r>
        <w:rPr>
          <w:rFonts w:hint="eastAsia" w:ascii="Times New Roman" w:hAnsi="Times New Roman" w:eastAsia="仿宋_GB2312" w:cs="仿宋_GB2312"/>
          <w:color w:val="000000" w:themeColor="text1"/>
          <w:sz w:val="32"/>
          <w:szCs w:val="32"/>
          <w:lang w:eastAsia="zh-CN"/>
          <w14:textFill>
            <w14:solidFill>
              <w14:schemeClr w14:val="tx1"/>
            </w14:solidFill>
          </w14:textFill>
        </w:rPr>
        <w:t>医疗卫生机构</w:t>
      </w:r>
      <w:r>
        <w:rPr>
          <w:rFonts w:hint="eastAsia" w:ascii="Times New Roman" w:hAnsi="Times New Roman" w:eastAsia="仿宋_GB2312" w:cs="仿宋_GB2312"/>
          <w:color w:val="000000" w:themeColor="text1"/>
          <w:sz w:val="32"/>
          <w:szCs w:val="32"/>
          <w14:textFill>
            <w14:solidFill>
              <w14:schemeClr w14:val="tx1"/>
            </w14:solidFill>
          </w14:textFill>
        </w:rPr>
        <w:t>提供医疗设备</w:t>
      </w:r>
      <w:r>
        <w:rPr>
          <w:rFonts w:hint="eastAsia" w:ascii="Times New Roman" w:hAnsi="Times New Roman" w:eastAsia="仿宋_GB2312" w:cs="仿宋_GB2312"/>
          <w:color w:val="000000" w:themeColor="text1"/>
          <w:sz w:val="32"/>
          <w:szCs w:val="32"/>
          <w:lang w:eastAsia="zh-CN"/>
          <w14:textFill>
            <w14:solidFill>
              <w14:schemeClr w14:val="tx1"/>
            </w14:solidFill>
          </w14:textFill>
        </w:rPr>
        <w:t>（含相关耗材、附件等）</w:t>
      </w:r>
      <w:r>
        <w:rPr>
          <w:rFonts w:hint="eastAsia" w:ascii="Times New Roman" w:hAnsi="Times New Roman" w:eastAsia="仿宋_GB2312" w:cs="仿宋_GB2312"/>
          <w:color w:val="000000" w:themeColor="text1"/>
          <w:sz w:val="32"/>
          <w:szCs w:val="32"/>
          <w14:textFill>
            <w14:solidFill>
              <w14:schemeClr w14:val="tx1"/>
            </w14:solidFill>
          </w14:textFill>
        </w:rPr>
        <w:t>的行为。</w:t>
      </w:r>
    </w:p>
    <w:p>
      <w:pPr>
        <w:pStyle w:val="15"/>
        <w:numPr>
          <w:ilvl w:val="0"/>
          <w:numId w:val="1"/>
        </w:numPr>
        <w:overflowPunct w:val="0"/>
        <w:adjustRightInd w:val="0"/>
        <w:snapToGrid w:val="0"/>
        <w:spacing w:line="598" w:lineRule="exact"/>
        <w:ind w:left="0" w:firstLine="64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lang w:eastAsia="zh-CN"/>
          <w14:textFill>
            <w14:solidFill>
              <w14:schemeClr w14:val="tx1"/>
            </w14:solidFill>
          </w14:textFill>
        </w:rPr>
        <w:t>医药企业无偿投放医疗设备，应当注意以下事项：</w:t>
      </w:r>
    </w:p>
    <w:p>
      <w:pPr>
        <w:numPr>
          <w:ilvl w:val="0"/>
          <w:numId w:val="5"/>
        </w:numPr>
        <w:overflowPunct w:val="0"/>
        <w:adjustRightInd w:val="0"/>
        <w:snapToGrid w:val="0"/>
        <w:spacing w:line="598" w:lineRule="exact"/>
        <w:ind w:firstLine="640" w:firstLineChars="20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医药企业向</w:t>
      </w:r>
      <w:r>
        <w:rPr>
          <w:rFonts w:hint="eastAsia" w:ascii="Times New Roman" w:hAnsi="Times New Roman" w:eastAsia="仿宋_GB2312" w:cs="仿宋_GB2312"/>
          <w:color w:val="000000" w:themeColor="text1"/>
          <w:sz w:val="32"/>
          <w:szCs w:val="32"/>
          <w:lang w:eastAsia="zh-CN"/>
          <w14:textFill>
            <w14:solidFill>
              <w14:schemeClr w14:val="tx1"/>
            </w14:solidFill>
          </w14:textFill>
        </w:rPr>
        <w:t>医疗卫生机构</w:t>
      </w:r>
      <w:r>
        <w:rPr>
          <w:rFonts w:hint="eastAsia" w:ascii="Times New Roman" w:hAnsi="Times New Roman" w:eastAsia="仿宋_GB2312" w:cs="仿宋_GB2312"/>
          <w:color w:val="000000" w:themeColor="text1"/>
          <w:sz w:val="32"/>
          <w:szCs w:val="32"/>
          <w14:textFill>
            <w14:solidFill>
              <w14:schemeClr w14:val="tx1"/>
            </w14:solidFill>
          </w14:textFill>
        </w:rPr>
        <w:t>无偿投放医疗设备的，</w:t>
      </w:r>
      <w:r>
        <w:rPr>
          <w:rFonts w:hint="eastAsia" w:ascii="Times New Roman" w:hAnsi="Times New Roman" w:eastAsia="仿宋_GB2312" w:cs="仿宋_GB2312"/>
          <w:color w:val="000000" w:themeColor="text1"/>
          <w:sz w:val="32"/>
          <w:szCs w:val="32"/>
          <w:lang w:eastAsia="zh-CN"/>
          <w14:textFill>
            <w14:solidFill>
              <w14:schemeClr w14:val="tx1"/>
            </w14:solidFill>
          </w14:textFill>
        </w:rPr>
        <w:t>应当基于合理用途，</w:t>
      </w:r>
      <w:r>
        <w:rPr>
          <w:rFonts w:hint="eastAsia" w:ascii="Times New Roman" w:hAnsi="Times New Roman" w:eastAsia="仿宋_GB2312" w:cs="仿宋_GB2312"/>
          <w:color w:val="000000" w:themeColor="text1"/>
          <w:sz w:val="32"/>
          <w:szCs w:val="32"/>
          <w14:textFill>
            <w14:solidFill>
              <w14:schemeClr w14:val="tx1"/>
            </w14:solidFill>
          </w14:textFill>
        </w:rPr>
        <w:t>包括为研发和改进产品收集反馈意见、方便</w:t>
      </w:r>
      <w:r>
        <w:rPr>
          <w:rFonts w:hint="eastAsia" w:ascii="Times New Roman" w:hAnsi="Times New Roman" w:eastAsia="仿宋_GB2312" w:cs="仿宋_GB2312"/>
          <w:color w:val="000000" w:themeColor="text1"/>
          <w:sz w:val="32"/>
          <w:szCs w:val="32"/>
          <w:lang w:eastAsia="zh-CN"/>
          <w14:textFill>
            <w14:solidFill>
              <w14:schemeClr w14:val="tx1"/>
            </w14:solidFill>
          </w14:textFill>
        </w:rPr>
        <w:t>医疗卫生机构</w:t>
      </w:r>
      <w:r>
        <w:rPr>
          <w:rFonts w:hint="eastAsia" w:ascii="Times New Roman" w:hAnsi="Times New Roman" w:eastAsia="仿宋_GB2312" w:cs="仿宋_GB2312"/>
          <w:color w:val="000000" w:themeColor="text1"/>
          <w:sz w:val="32"/>
          <w:szCs w:val="32"/>
          <w14:textFill>
            <w14:solidFill>
              <w14:schemeClr w14:val="tx1"/>
            </w14:solidFill>
          </w14:textFill>
        </w:rPr>
        <w:t>开展产品性能评估、帮助</w:t>
      </w:r>
      <w:r>
        <w:rPr>
          <w:rFonts w:hint="eastAsia" w:ascii="Times New Roman" w:hAnsi="Times New Roman" w:eastAsia="仿宋_GB2312" w:cs="仿宋_GB2312"/>
          <w:color w:val="000000" w:themeColor="text1"/>
          <w:sz w:val="32"/>
          <w:szCs w:val="32"/>
          <w:lang w:eastAsia="zh-CN"/>
          <w14:textFill>
            <w14:solidFill>
              <w14:schemeClr w14:val="tx1"/>
            </w14:solidFill>
          </w14:textFill>
        </w:rPr>
        <w:t>医疗卫生人员</w:t>
      </w:r>
      <w:r>
        <w:rPr>
          <w:rFonts w:hint="eastAsia" w:ascii="Times New Roman" w:hAnsi="Times New Roman" w:eastAsia="仿宋_GB2312" w:cs="仿宋_GB2312"/>
          <w:color w:val="000000" w:themeColor="text1"/>
          <w:sz w:val="32"/>
          <w:szCs w:val="32"/>
          <w14:textFill>
            <w14:solidFill>
              <w14:schemeClr w14:val="tx1"/>
            </w14:solidFill>
          </w14:textFill>
        </w:rPr>
        <w:t>提升产品使用效率及开展患者教育</w:t>
      </w:r>
      <w:r>
        <w:rPr>
          <w:rFonts w:hint="eastAsia" w:ascii="Times New Roman" w:hAnsi="Times New Roman" w:eastAsia="仿宋_GB2312" w:cs="仿宋_GB2312"/>
          <w:color w:val="000000" w:themeColor="text1"/>
          <w:sz w:val="32"/>
          <w:szCs w:val="32"/>
          <w:lang w:eastAsia="zh-CN"/>
          <w14:textFill>
            <w14:solidFill>
              <w14:schemeClr w14:val="tx1"/>
            </w14:solidFill>
          </w14:textFill>
        </w:rPr>
        <w:t>。</w:t>
      </w:r>
    </w:p>
    <w:p>
      <w:pPr>
        <w:numPr>
          <w:ilvl w:val="0"/>
          <w:numId w:val="5"/>
        </w:numPr>
        <w:overflowPunct w:val="0"/>
        <w:adjustRightInd w:val="0"/>
        <w:snapToGrid w:val="0"/>
        <w:spacing w:line="598" w:lineRule="exact"/>
        <w:ind w:firstLine="640" w:firstLineChars="20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医药企业可以在不转移所有权的情况下向</w:t>
      </w:r>
      <w:r>
        <w:rPr>
          <w:rFonts w:hint="eastAsia" w:ascii="Times New Roman" w:hAnsi="Times New Roman" w:eastAsia="仿宋_GB2312" w:cs="仿宋_GB2312"/>
          <w:color w:val="000000" w:themeColor="text1"/>
          <w:sz w:val="32"/>
          <w:szCs w:val="32"/>
          <w:lang w:eastAsia="zh-CN"/>
          <w14:textFill>
            <w14:solidFill>
              <w14:schemeClr w14:val="tx1"/>
            </w14:solidFill>
          </w14:textFill>
        </w:rPr>
        <w:t>医疗卫生机构</w:t>
      </w:r>
      <w:r>
        <w:rPr>
          <w:rFonts w:hint="eastAsia" w:ascii="Times New Roman" w:hAnsi="Times New Roman" w:eastAsia="仿宋_GB2312" w:cs="仿宋_GB2312"/>
          <w:color w:val="000000" w:themeColor="text1"/>
          <w:sz w:val="32"/>
          <w:szCs w:val="32"/>
          <w14:textFill>
            <w14:solidFill>
              <w14:schemeClr w14:val="tx1"/>
            </w14:solidFill>
          </w14:textFill>
        </w:rPr>
        <w:t>无偿提供医疗设备，但应当以合同形式明确约定被投放设备的权属情况</w:t>
      </w:r>
      <w:r>
        <w:rPr>
          <w:rFonts w:hint="eastAsia" w:ascii="Times New Roman" w:hAnsi="Times New Roman" w:eastAsia="仿宋_GB2312" w:cs="仿宋_GB2312"/>
          <w:color w:val="000000" w:themeColor="text1"/>
          <w:sz w:val="32"/>
          <w:szCs w:val="32"/>
          <w:lang w:eastAsia="zh-CN"/>
          <w14:textFill>
            <w14:solidFill>
              <w14:schemeClr w14:val="tx1"/>
            </w14:solidFill>
          </w14:textFill>
        </w:rPr>
        <w:t>。</w:t>
      </w:r>
    </w:p>
    <w:p>
      <w:pPr>
        <w:overflowPunct w:val="0"/>
        <w:adjustRightInd w:val="0"/>
        <w:snapToGrid w:val="0"/>
        <w:spacing w:line="598" w:lineRule="exact"/>
        <w:ind w:firstLine="640" w:firstLineChars="20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（三）医药企业应当对医疗设备无偿投放项目进行审慎审核，制定并有效执行相关追踪程序和要求，留存相关证明文件备查，确保被投放产品用途的正当性</w:t>
      </w:r>
      <w:r>
        <w:rPr>
          <w:rFonts w:hint="eastAsia" w:ascii="Times New Roman" w:hAnsi="Times New Roman" w:eastAsia="仿宋_GB2312" w:cs="仿宋_GB2312"/>
          <w:color w:val="000000" w:themeColor="text1"/>
          <w:sz w:val="32"/>
          <w:szCs w:val="32"/>
          <w:lang w:eastAsia="zh-CN"/>
          <w14:textFill>
            <w14:solidFill>
              <w14:schemeClr w14:val="tx1"/>
            </w14:solidFill>
          </w14:textFill>
        </w:rPr>
        <w:t>。</w:t>
      </w:r>
    </w:p>
    <w:p>
      <w:pPr>
        <w:overflowPunct w:val="0"/>
        <w:adjustRightInd w:val="0"/>
        <w:snapToGrid w:val="0"/>
        <w:spacing w:line="598" w:lineRule="exact"/>
        <w:ind w:firstLine="640" w:firstLineChars="20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（四）医药企业以医疗设备无偿投放方式帮助</w:t>
      </w:r>
      <w:r>
        <w:rPr>
          <w:rFonts w:hint="eastAsia" w:ascii="Times New Roman" w:hAnsi="Times New Roman" w:eastAsia="仿宋_GB2312" w:cs="仿宋_GB2312"/>
          <w:color w:val="000000" w:themeColor="text1"/>
          <w:sz w:val="32"/>
          <w:szCs w:val="32"/>
          <w:lang w:eastAsia="zh-CN"/>
          <w14:textFill>
            <w14:solidFill>
              <w14:schemeClr w14:val="tx1"/>
            </w14:solidFill>
          </w14:textFill>
        </w:rPr>
        <w:t>医疗卫生机构</w:t>
      </w:r>
      <w:r>
        <w:rPr>
          <w:rFonts w:hint="eastAsia" w:ascii="Times New Roman" w:hAnsi="Times New Roman" w:eastAsia="仿宋_GB2312" w:cs="仿宋_GB2312"/>
          <w:color w:val="000000" w:themeColor="text1"/>
          <w:sz w:val="32"/>
          <w:szCs w:val="32"/>
          <w14:textFill>
            <w14:solidFill>
              <w14:schemeClr w14:val="tx1"/>
            </w14:solidFill>
          </w14:textFill>
        </w:rPr>
        <w:t>对其产品开展性能评估的，应当遵循必要性原则，结合产品特点及评估需求合理制定产品投放期限和数量范围</w:t>
      </w:r>
      <w:r>
        <w:rPr>
          <w:rFonts w:hint="eastAsia" w:ascii="Times New Roman" w:hAnsi="Times New Roman" w:eastAsia="仿宋_GB2312" w:cs="仿宋_GB2312"/>
          <w:color w:val="000000" w:themeColor="text1"/>
          <w:sz w:val="32"/>
          <w:szCs w:val="32"/>
          <w:lang w:eastAsia="zh-CN"/>
          <w14:textFill>
            <w14:solidFill>
              <w14:schemeClr w14:val="tx1"/>
            </w14:solidFill>
          </w14:textFill>
        </w:rPr>
        <w:t>。</w:t>
      </w:r>
    </w:p>
    <w:p>
      <w:pPr>
        <w:overflowPunct w:val="0"/>
        <w:adjustRightInd w:val="0"/>
        <w:snapToGrid w:val="0"/>
        <w:spacing w:line="598" w:lineRule="exact"/>
        <w:ind w:firstLine="640" w:firstLineChars="20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（五）医药企业应当如实收集、记录</w:t>
      </w:r>
      <w:r>
        <w:rPr>
          <w:rFonts w:hint="eastAsia" w:ascii="Times New Roman" w:hAnsi="Times New Roman" w:eastAsia="仿宋_GB2312" w:cs="仿宋_GB2312"/>
          <w:color w:val="000000" w:themeColor="text1"/>
          <w:sz w:val="32"/>
          <w:szCs w:val="32"/>
          <w:lang w:eastAsia="zh-CN"/>
          <w14:textFill>
            <w14:solidFill>
              <w14:schemeClr w14:val="tx1"/>
            </w14:solidFill>
          </w14:textFill>
        </w:rPr>
        <w:t>医疗卫生机构</w:t>
      </w:r>
      <w:r>
        <w:rPr>
          <w:rFonts w:hint="eastAsia" w:ascii="Times New Roman" w:hAnsi="Times New Roman" w:eastAsia="仿宋_GB2312" w:cs="仿宋_GB2312"/>
          <w:color w:val="000000" w:themeColor="text1"/>
          <w:sz w:val="32"/>
          <w:szCs w:val="32"/>
          <w14:textFill>
            <w14:solidFill>
              <w14:schemeClr w14:val="tx1"/>
            </w14:solidFill>
          </w14:textFill>
        </w:rPr>
        <w:t>相关投放设备的使用情况、反馈意见等，妥善做好投放后的处置。</w:t>
      </w:r>
    </w:p>
    <w:p>
      <w:pPr>
        <w:pStyle w:val="15"/>
        <w:numPr>
          <w:ilvl w:val="0"/>
          <w:numId w:val="1"/>
        </w:numPr>
        <w:overflowPunct w:val="0"/>
        <w:adjustRightInd w:val="0"/>
        <w:snapToGrid w:val="0"/>
        <w:spacing w:line="598" w:lineRule="exact"/>
        <w:ind w:left="0" w:firstLine="64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lang w:eastAsia="zh-CN"/>
          <w14:textFill>
            <w14:solidFill>
              <w14:schemeClr w14:val="tx1"/>
            </w14:solidFill>
          </w14:textFill>
        </w:rPr>
        <w:t>医药企业无偿投放医疗设备，应当注意以下行为风险的识别与防范：</w:t>
      </w:r>
    </w:p>
    <w:p>
      <w:pPr>
        <w:overflowPunct w:val="0"/>
        <w:adjustRightInd w:val="0"/>
        <w:snapToGrid w:val="0"/>
        <w:spacing w:line="598" w:lineRule="exact"/>
        <w:ind w:firstLine="640" w:firstLineChars="20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（一）禁止医药企业</w:t>
      </w:r>
      <w:r>
        <w:rPr>
          <w:rFonts w:hint="eastAsia" w:ascii="Times New Roman" w:hAnsi="Times New Roman" w:eastAsia="仿宋_GB2312" w:cs="仿宋_GB2312"/>
          <w:color w:val="000000" w:themeColor="text1"/>
          <w:sz w:val="32"/>
          <w:szCs w:val="32"/>
          <w:lang w:eastAsia="zh-CN"/>
          <w14:textFill>
            <w14:solidFill>
              <w14:schemeClr w14:val="tx1"/>
            </w14:solidFill>
          </w14:textFill>
        </w:rPr>
        <w:t>通过</w:t>
      </w:r>
      <w:r>
        <w:rPr>
          <w:rFonts w:hint="eastAsia" w:ascii="Times New Roman" w:hAnsi="Times New Roman" w:eastAsia="仿宋_GB2312" w:cs="仿宋_GB2312"/>
          <w:color w:val="000000" w:themeColor="text1"/>
          <w:sz w:val="32"/>
          <w:szCs w:val="32"/>
          <w14:textFill>
            <w14:solidFill>
              <w14:schemeClr w14:val="tx1"/>
            </w14:solidFill>
          </w14:textFill>
        </w:rPr>
        <w:t>无偿投放医疗设备，与</w:t>
      </w:r>
      <w:r>
        <w:rPr>
          <w:rFonts w:hint="eastAsia" w:ascii="Times New Roman" w:hAnsi="Times New Roman" w:eastAsia="仿宋_GB2312" w:cs="仿宋_GB2312"/>
          <w:color w:val="000000" w:themeColor="text1"/>
          <w:sz w:val="32"/>
          <w:szCs w:val="32"/>
          <w:lang w:eastAsia="zh-CN"/>
          <w14:textFill>
            <w14:solidFill>
              <w14:schemeClr w14:val="tx1"/>
            </w14:solidFill>
          </w14:textFill>
        </w:rPr>
        <w:t>医疗卫生机构</w:t>
      </w:r>
      <w:r>
        <w:rPr>
          <w:rFonts w:hint="eastAsia" w:ascii="Times New Roman" w:hAnsi="Times New Roman" w:eastAsia="仿宋_GB2312" w:cs="仿宋_GB2312"/>
          <w:color w:val="000000" w:themeColor="text1"/>
          <w:sz w:val="32"/>
          <w:szCs w:val="32"/>
          <w14:textFill>
            <w14:solidFill>
              <w14:schemeClr w14:val="tx1"/>
            </w14:solidFill>
          </w14:textFill>
        </w:rPr>
        <w:t>约定采购耗材、配套设备、药品和服务等的最低数量或者金额，</w:t>
      </w:r>
      <w:r>
        <w:rPr>
          <w:rFonts w:hint="eastAsia" w:ascii="Times New Roman" w:hAnsi="Times New Roman" w:eastAsia="仿宋_GB2312" w:cs="仿宋_GB2312"/>
          <w:color w:val="000000" w:themeColor="text1"/>
          <w:sz w:val="32"/>
          <w:szCs w:val="32"/>
          <w:lang w:eastAsia="zh-CN"/>
          <w14:textFill>
            <w14:solidFill>
              <w14:schemeClr w14:val="tx1"/>
            </w14:solidFill>
          </w14:textFill>
        </w:rPr>
        <w:t>或者约定采购价格明显高于市场价格，</w:t>
      </w:r>
      <w:r>
        <w:rPr>
          <w:rFonts w:hint="eastAsia" w:ascii="Times New Roman" w:hAnsi="Times New Roman" w:eastAsia="仿宋_GB2312" w:cs="仿宋_GB2312"/>
          <w:color w:val="000000" w:themeColor="text1"/>
          <w:sz w:val="32"/>
          <w:szCs w:val="32"/>
          <w14:textFill>
            <w14:solidFill>
              <w14:schemeClr w14:val="tx1"/>
            </w14:solidFill>
          </w14:textFill>
        </w:rPr>
        <w:t>不当获取交易机会及竞争优势</w:t>
      </w:r>
      <w:r>
        <w:rPr>
          <w:rFonts w:hint="eastAsia" w:ascii="Times New Roman" w:hAnsi="Times New Roman" w:eastAsia="仿宋_GB2312" w:cs="仿宋_GB2312"/>
          <w:color w:val="000000" w:themeColor="text1"/>
          <w:sz w:val="32"/>
          <w:szCs w:val="32"/>
          <w:lang w:eastAsia="zh-CN"/>
          <w14:textFill>
            <w14:solidFill>
              <w14:schemeClr w14:val="tx1"/>
            </w14:solidFill>
          </w14:textFill>
        </w:rPr>
        <w:t>。</w:t>
      </w:r>
    </w:p>
    <w:p>
      <w:pPr>
        <w:overflowPunct w:val="0"/>
        <w:adjustRightInd w:val="0"/>
        <w:snapToGrid w:val="0"/>
        <w:spacing w:line="626" w:lineRule="exact"/>
        <w:ind w:firstLine="640" w:firstLineChars="20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（二）禁止医药企业假借无偿投放</w:t>
      </w:r>
      <w:r>
        <w:rPr>
          <w:rFonts w:hint="eastAsia" w:ascii="Times New Roman" w:hAnsi="Times New Roman" w:eastAsia="仿宋_GB2312" w:cs="仿宋_GB2312"/>
          <w:color w:val="000000" w:themeColor="text1"/>
          <w:sz w:val="32"/>
          <w:szCs w:val="32"/>
          <w:lang w:eastAsia="zh-CN"/>
          <w14:textFill>
            <w14:solidFill>
              <w14:schemeClr w14:val="tx1"/>
            </w14:solidFill>
          </w14:textFill>
        </w:rPr>
        <w:t>医疗</w:t>
      </w:r>
      <w:r>
        <w:rPr>
          <w:rFonts w:hint="eastAsia" w:ascii="Times New Roman" w:hAnsi="Times New Roman" w:eastAsia="仿宋_GB2312" w:cs="仿宋_GB2312"/>
          <w:color w:val="000000" w:themeColor="text1"/>
          <w:sz w:val="32"/>
          <w:szCs w:val="32"/>
          <w14:textFill>
            <w14:solidFill>
              <w14:schemeClr w14:val="tx1"/>
            </w14:solidFill>
          </w14:textFill>
        </w:rPr>
        <w:t>设备名义，规避、干预</w:t>
      </w:r>
      <w:r>
        <w:rPr>
          <w:rFonts w:hint="eastAsia" w:ascii="Times New Roman" w:hAnsi="Times New Roman" w:eastAsia="仿宋_GB2312" w:cs="仿宋_GB2312"/>
          <w:color w:val="000000" w:themeColor="text1"/>
          <w:sz w:val="32"/>
          <w:szCs w:val="32"/>
          <w:lang w:eastAsia="zh-CN"/>
          <w14:textFill>
            <w14:solidFill>
              <w14:schemeClr w14:val="tx1"/>
            </w14:solidFill>
          </w14:textFill>
        </w:rPr>
        <w:t>医疗卫生机构</w:t>
      </w:r>
      <w:r>
        <w:rPr>
          <w:rFonts w:hint="eastAsia" w:ascii="Times New Roman" w:hAnsi="Times New Roman" w:eastAsia="仿宋_GB2312" w:cs="仿宋_GB2312"/>
          <w:color w:val="000000" w:themeColor="text1"/>
          <w:sz w:val="32"/>
          <w:szCs w:val="32"/>
          <w14:textFill>
            <w14:solidFill>
              <w14:schemeClr w14:val="tx1"/>
            </w14:solidFill>
          </w14:textFill>
        </w:rPr>
        <w:t>对</w:t>
      </w:r>
      <w:r>
        <w:rPr>
          <w:rFonts w:hint="eastAsia" w:ascii="Times New Roman" w:hAnsi="Times New Roman" w:eastAsia="仿宋_GB2312" w:cs="仿宋_GB2312"/>
          <w:color w:val="000000" w:themeColor="text1"/>
          <w:sz w:val="32"/>
          <w:szCs w:val="32"/>
          <w:lang w:eastAsia="zh-CN"/>
          <w14:textFill>
            <w14:solidFill>
              <w14:schemeClr w14:val="tx1"/>
            </w14:solidFill>
          </w14:textFill>
        </w:rPr>
        <w:t>医疗</w:t>
      </w:r>
      <w:r>
        <w:rPr>
          <w:rFonts w:hint="eastAsia" w:ascii="Times New Roman" w:hAnsi="Times New Roman" w:eastAsia="仿宋_GB2312" w:cs="仿宋_GB2312"/>
          <w:color w:val="000000" w:themeColor="text1"/>
          <w:sz w:val="32"/>
          <w:szCs w:val="32"/>
          <w14:textFill>
            <w14:solidFill>
              <w14:schemeClr w14:val="tx1"/>
            </w14:solidFill>
          </w14:textFill>
        </w:rPr>
        <w:t>设备依法依规开展的公开招标</w:t>
      </w:r>
      <w:r>
        <w:rPr>
          <w:rFonts w:hint="eastAsia" w:ascii="Times New Roman" w:hAnsi="Times New Roman" w:eastAsia="仿宋_GB2312" w:cs="仿宋_GB2312"/>
          <w:color w:val="000000" w:themeColor="text1"/>
          <w:sz w:val="32"/>
          <w:szCs w:val="32"/>
          <w:lang w:eastAsia="zh-CN"/>
          <w14:textFill>
            <w14:solidFill>
              <w14:schemeClr w14:val="tx1"/>
            </w14:solidFill>
          </w14:textFill>
        </w:rPr>
        <w:t>采购</w:t>
      </w:r>
      <w:r>
        <w:rPr>
          <w:rFonts w:hint="eastAsia" w:ascii="Times New Roman" w:hAnsi="Times New Roman" w:eastAsia="仿宋_GB2312" w:cs="仿宋_GB2312"/>
          <w:color w:val="000000" w:themeColor="text1"/>
          <w:sz w:val="32"/>
          <w:szCs w:val="32"/>
          <w14:textFill>
            <w14:solidFill>
              <w14:schemeClr w14:val="tx1"/>
            </w14:solidFill>
          </w14:textFill>
        </w:rPr>
        <w:t>程序，影响招标</w:t>
      </w:r>
      <w:r>
        <w:rPr>
          <w:rFonts w:hint="eastAsia" w:ascii="Times New Roman" w:hAnsi="Times New Roman" w:eastAsia="仿宋_GB2312" w:cs="仿宋_GB2312"/>
          <w:color w:val="000000" w:themeColor="text1"/>
          <w:sz w:val="32"/>
          <w:szCs w:val="32"/>
          <w:lang w:eastAsia="zh-CN"/>
          <w14:textFill>
            <w14:solidFill>
              <w14:schemeClr w14:val="tx1"/>
            </w14:solidFill>
          </w14:textFill>
        </w:rPr>
        <w:t>采购</w:t>
      </w:r>
      <w:r>
        <w:rPr>
          <w:rFonts w:hint="eastAsia" w:ascii="Times New Roman" w:hAnsi="Times New Roman" w:eastAsia="仿宋_GB2312" w:cs="仿宋_GB2312"/>
          <w:color w:val="000000" w:themeColor="text1"/>
          <w:sz w:val="32"/>
          <w:szCs w:val="32"/>
          <w14:textFill>
            <w14:solidFill>
              <w14:schemeClr w14:val="tx1"/>
            </w14:solidFill>
          </w14:textFill>
        </w:rPr>
        <w:t>结果</w:t>
      </w:r>
      <w:r>
        <w:rPr>
          <w:rFonts w:hint="eastAsia" w:ascii="Times New Roman" w:hAnsi="Times New Roman" w:eastAsia="仿宋_GB2312" w:cs="仿宋_GB2312"/>
          <w:color w:val="000000" w:themeColor="text1"/>
          <w:sz w:val="32"/>
          <w:szCs w:val="32"/>
          <w:lang w:eastAsia="zh-CN"/>
          <w14:textFill>
            <w14:solidFill>
              <w14:schemeClr w14:val="tx1"/>
            </w14:solidFill>
          </w14:textFill>
        </w:rPr>
        <w:t>。</w:t>
      </w:r>
    </w:p>
    <w:p>
      <w:pPr>
        <w:overflowPunct w:val="0"/>
        <w:adjustRightInd w:val="0"/>
        <w:snapToGrid w:val="0"/>
        <w:spacing w:line="626" w:lineRule="exact"/>
        <w:ind w:firstLine="640" w:firstLineChars="20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（三）禁止医药企业假借无偿投放</w:t>
      </w:r>
      <w:r>
        <w:rPr>
          <w:rFonts w:hint="eastAsia" w:ascii="Times New Roman" w:hAnsi="Times New Roman" w:eastAsia="仿宋_GB2312" w:cs="仿宋_GB2312"/>
          <w:color w:val="000000" w:themeColor="text1"/>
          <w:sz w:val="32"/>
          <w:szCs w:val="32"/>
          <w:lang w:eastAsia="zh-CN"/>
          <w14:textFill>
            <w14:solidFill>
              <w14:schemeClr w14:val="tx1"/>
            </w14:solidFill>
          </w14:textFill>
        </w:rPr>
        <w:t>医疗</w:t>
      </w:r>
      <w:r>
        <w:rPr>
          <w:rFonts w:hint="eastAsia" w:ascii="Times New Roman" w:hAnsi="Times New Roman" w:eastAsia="仿宋_GB2312" w:cs="仿宋_GB2312"/>
          <w:color w:val="000000" w:themeColor="text1"/>
          <w:sz w:val="32"/>
          <w:szCs w:val="32"/>
          <w14:textFill>
            <w14:solidFill>
              <w14:schemeClr w14:val="tx1"/>
            </w14:solidFill>
          </w14:textFill>
        </w:rPr>
        <w:t>设备名义，向</w:t>
      </w:r>
      <w:r>
        <w:rPr>
          <w:rFonts w:hint="eastAsia" w:ascii="Times New Roman" w:hAnsi="Times New Roman" w:eastAsia="仿宋_GB2312" w:cs="仿宋_GB2312"/>
          <w:color w:val="000000" w:themeColor="text1"/>
          <w:sz w:val="32"/>
          <w:szCs w:val="32"/>
          <w:lang w:eastAsia="zh-CN"/>
          <w14:textFill>
            <w14:solidFill>
              <w14:schemeClr w14:val="tx1"/>
            </w14:solidFill>
          </w14:textFill>
        </w:rPr>
        <w:t>医疗卫生机构进行非法利益输送。</w:t>
      </w:r>
      <w:r>
        <w:rPr>
          <w:rFonts w:hint="eastAsia" w:ascii="Times New Roman" w:hAnsi="Times New Roman" w:eastAsia="仿宋_GB2312" w:cs="仿宋_GB2312"/>
          <w:color w:val="000000" w:themeColor="text1"/>
          <w:sz w:val="32"/>
          <w:szCs w:val="32"/>
          <w14:textFill>
            <w14:solidFill>
              <w14:schemeClr w14:val="tx1"/>
            </w14:solidFill>
          </w14:textFill>
        </w:rPr>
        <w:t>禁止为</w:t>
      </w:r>
      <w:r>
        <w:rPr>
          <w:rFonts w:hint="eastAsia" w:ascii="Times New Roman" w:hAnsi="Times New Roman" w:eastAsia="仿宋_GB2312" w:cs="仿宋_GB2312"/>
          <w:color w:val="000000" w:themeColor="text1"/>
          <w:sz w:val="32"/>
          <w:szCs w:val="32"/>
          <w:lang w:eastAsia="zh-CN"/>
          <w14:textFill>
            <w14:solidFill>
              <w14:schemeClr w14:val="tx1"/>
            </w14:solidFill>
          </w14:textFill>
        </w:rPr>
        <w:t>医疗卫生机构</w:t>
      </w:r>
      <w:r>
        <w:rPr>
          <w:rFonts w:hint="eastAsia" w:ascii="Times New Roman" w:hAnsi="Times New Roman" w:eastAsia="仿宋_GB2312" w:cs="仿宋_GB2312"/>
          <w:color w:val="000000" w:themeColor="text1"/>
          <w:sz w:val="32"/>
          <w:szCs w:val="32"/>
          <w14:textFill>
            <w14:solidFill>
              <w14:schemeClr w14:val="tx1"/>
            </w14:solidFill>
          </w14:textFill>
        </w:rPr>
        <w:t>或者</w:t>
      </w:r>
      <w:r>
        <w:rPr>
          <w:rFonts w:hint="eastAsia" w:ascii="Times New Roman" w:hAnsi="Times New Roman" w:eastAsia="仿宋_GB2312" w:cs="仿宋_GB2312"/>
          <w:color w:val="000000" w:themeColor="text1"/>
          <w:sz w:val="32"/>
          <w:szCs w:val="32"/>
          <w:lang w:eastAsia="zh-CN"/>
          <w14:textFill>
            <w14:solidFill>
              <w14:schemeClr w14:val="tx1"/>
            </w14:solidFill>
          </w14:textFill>
        </w:rPr>
        <w:t>医疗卫生</w:t>
      </w:r>
      <w:r>
        <w:rPr>
          <w:rFonts w:hint="eastAsia" w:ascii="Times New Roman" w:hAnsi="Times New Roman" w:eastAsia="仿宋_GB2312" w:cs="仿宋_GB2312"/>
          <w:color w:val="000000" w:themeColor="text1"/>
          <w:sz w:val="32"/>
          <w:szCs w:val="32"/>
          <w14:textFill>
            <w14:solidFill>
              <w14:schemeClr w14:val="tx1"/>
            </w14:solidFill>
          </w14:textFill>
        </w:rPr>
        <w:t>人员利用</w:t>
      </w:r>
      <w:r>
        <w:rPr>
          <w:rFonts w:hint="eastAsia" w:ascii="Times New Roman" w:hAnsi="Times New Roman" w:eastAsia="仿宋_GB2312" w:cs="仿宋_GB2312"/>
          <w:color w:val="000000" w:themeColor="text1"/>
          <w:sz w:val="32"/>
          <w:szCs w:val="32"/>
          <w:lang w:eastAsia="zh-CN"/>
          <w14:textFill>
            <w14:solidFill>
              <w14:schemeClr w14:val="tx1"/>
            </w14:solidFill>
          </w14:textFill>
        </w:rPr>
        <w:t>无偿投放的医疗设备违法</w:t>
      </w:r>
      <w:r>
        <w:rPr>
          <w:rFonts w:hint="eastAsia" w:ascii="Times New Roman" w:hAnsi="Times New Roman" w:eastAsia="仿宋_GB2312" w:cs="仿宋_GB2312"/>
          <w:color w:val="000000" w:themeColor="text1"/>
          <w:sz w:val="32"/>
          <w:szCs w:val="32"/>
          <w14:textFill>
            <w14:solidFill>
              <w14:schemeClr w14:val="tx1"/>
            </w14:solidFill>
          </w14:textFill>
        </w:rPr>
        <w:t>牟利提供便利条件</w:t>
      </w:r>
      <w:r>
        <w:rPr>
          <w:rFonts w:hint="eastAsia" w:ascii="Times New Roman" w:hAnsi="Times New Roman" w:eastAsia="仿宋_GB2312" w:cs="仿宋_GB2312"/>
          <w:color w:val="000000" w:themeColor="text1"/>
          <w:sz w:val="32"/>
          <w:szCs w:val="32"/>
          <w:lang w:eastAsia="zh-CN"/>
          <w14:textFill>
            <w14:solidFill>
              <w14:schemeClr w14:val="tx1"/>
            </w14:solidFill>
          </w14:textFill>
        </w:rPr>
        <w:t>。</w:t>
      </w:r>
    </w:p>
    <w:p>
      <w:pPr>
        <w:pStyle w:val="3"/>
        <w:keepNext w:val="0"/>
        <w:keepLines w:val="0"/>
        <w:overflowPunct w:val="0"/>
        <w:adjustRightInd w:val="0"/>
        <w:snapToGrid w:val="0"/>
        <w:spacing w:before="0" w:after="0" w:line="626" w:lineRule="exact"/>
        <w:jc w:val="center"/>
        <w:outlineLvl w:val="9"/>
        <w:rPr>
          <w:rFonts w:hint="default" w:ascii="Times New Roman" w:hAnsi="Times New Roman" w:eastAsia="黑体" w:cs="黑体"/>
          <w:b w:val="0"/>
          <w:bCs w:val="0"/>
          <w:color w:val="000000" w:themeColor="text1"/>
          <w:sz w:val="32"/>
          <w:szCs w:val="32"/>
          <w14:textFill>
            <w14:solidFill>
              <w14:schemeClr w14:val="tx1"/>
            </w14:solidFill>
          </w14:textFill>
        </w:rPr>
      </w:pPr>
      <w:bookmarkStart w:id="15" w:name="_Toc153726516"/>
    </w:p>
    <w:p>
      <w:pPr>
        <w:pStyle w:val="3"/>
        <w:keepNext w:val="0"/>
        <w:keepLines w:val="0"/>
        <w:overflowPunct w:val="0"/>
        <w:adjustRightInd w:val="0"/>
        <w:snapToGrid w:val="0"/>
        <w:spacing w:before="0" w:after="0" w:line="626" w:lineRule="exact"/>
        <w:jc w:val="center"/>
        <w:outlineLvl w:val="1"/>
        <w:rPr>
          <w:rFonts w:hint="default" w:ascii="Times New Roman" w:hAnsi="Times New Roman" w:eastAsia="黑体" w:cs="黑体"/>
          <w:b w:val="0"/>
          <w:bCs w:val="0"/>
          <w:color w:val="000000" w:themeColor="text1"/>
          <w:sz w:val="32"/>
          <w:szCs w:val="32"/>
          <w14:textFill>
            <w14:solidFill>
              <w14:schemeClr w14:val="tx1"/>
            </w14:solidFill>
          </w14:textFill>
        </w:rPr>
      </w:pPr>
      <w:r>
        <w:rPr>
          <w:rFonts w:hint="default" w:ascii="Times New Roman" w:hAnsi="Times New Roman" w:eastAsia="黑体" w:cs="黑体"/>
          <w:b w:val="0"/>
          <w:bCs w:val="0"/>
          <w:color w:val="000000" w:themeColor="text1"/>
          <w:sz w:val="32"/>
          <w:szCs w:val="32"/>
          <w14:textFill>
            <w14:solidFill>
              <w14:schemeClr w14:val="tx1"/>
            </w14:solidFill>
          </w14:textFill>
        </w:rPr>
        <w:t>第</w:t>
      </w:r>
      <w:r>
        <w:rPr>
          <w:rFonts w:hint="eastAsia" w:ascii="Times New Roman" w:hAnsi="Times New Roman" w:eastAsia="黑体" w:cs="黑体"/>
          <w:b w:val="0"/>
          <w:bCs w:val="0"/>
          <w:color w:val="000000" w:themeColor="text1"/>
          <w:sz w:val="32"/>
          <w:szCs w:val="32"/>
          <w:lang w:eastAsia="zh-CN"/>
          <w14:textFill>
            <w14:solidFill>
              <w14:schemeClr w14:val="tx1"/>
            </w14:solidFill>
          </w14:textFill>
        </w:rPr>
        <w:t>八</w:t>
      </w:r>
      <w:r>
        <w:rPr>
          <w:rFonts w:hint="default" w:ascii="Times New Roman" w:hAnsi="Times New Roman" w:eastAsia="黑体" w:cs="黑体"/>
          <w:b w:val="0"/>
          <w:bCs w:val="0"/>
          <w:color w:val="000000" w:themeColor="text1"/>
          <w:sz w:val="32"/>
          <w:szCs w:val="32"/>
          <w14:textFill>
            <w14:solidFill>
              <w14:schemeClr w14:val="tx1"/>
            </w14:solidFill>
          </w14:textFill>
        </w:rPr>
        <w:t>节</w:t>
      </w:r>
      <w:r>
        <w:rPr>
          <w:rFonts w:hint="eastAsia" w:ascii="Times New Roman" w:hAnsi="Times New Roman" w:eastAsia="黑体" w:cs="黑体"/>
          <w:b w:val="0"/>
          <w:bCs w:val="0"/>
          <w:color w:val="000000" w:themeColor="text1"/>
          <w:sz w:val="32"/>
          <w:szCs w:val="32"/>
          <w14:textFill>
            <w14:solidFill>
              <w14:schemeClr w14:val="tx1"/>
            </w14:solidFill>
          </w14:textFill>
        </w:rPr>
        <w:t xml:space="preserve"> </w:t>
      </w:r>
      <w:r>
        <w:rPr>
          <w:rFonts w:hint="default" w:ascii="Times New Roman" w:hAnsi="Times New Roman" w:eastAsia="黑体" w:cs="黑体"/>
          <w:b w:val="0"/>
          <w:bCs w:val="0"/>
          <w:color w:val="000000" w:themeColor="text1"/>
          <w:sz w:val="32"/>
          <w:szCs w:val="32"/>
          <w14:textFill>
            <w14:solidFill>
              <w14:schemeClr w14:val="tx1"/>
            </w14:solidFill>
          </w14:textFill>
        </w:rPr>
        <w:t>临床研究商业贿赂风险</w:t>
      </w:r>
      <w:bookmarkEnd w:id="15"/>
    </w:p>
    <w:p>
      <w:pPr>
        <w:pStyle w:val="3"/>
        <w:keepNext w:val="0"/>
        <w:keepLines w:val="0"/>
        <w:overflowPunct w:val="0"/>
        <w:adjustRightInd w:val="0"/>
        <w:snapToGrid w:val="0"/>
        <w:spacing w:before="0" w:after="0" w:line="626" w:lineRule="exact"/>
        <w:jc w:val="center"/>
        <w:outlineLvl w:val="9"/>
        <w:rPr>
          <w:rFonts w:hint="eastAsia" w:ascii="Times New Roman" w:hAnsi="Times New Roman" w:eastAsia="黑体" w:cs="黑体"/>
          <w:b w:val="0"/>
          <w:bCs w:val="0"/>
          <w:color w:val="000000" w:themeColor="text1"/>
          <w:sz w:val="32"/>
          <w:szCs w:val="32"/>
          <w14:textFill>
            <w14:solidFill>
              <w14:schemeClr w14:val="tx1"/>
            </w14:solidFill>
          </w14:textFill>
        </w:rPr>
      </w:pPr>
    </w:p>
    <w:p>
      <w:pPr>
        <w:pStyle w:val="15"/>
        <w:numPr>
          <w:ilvl w:val="0"/>
          <w:numId w:val="1"/>
        </w:numPr>
        <w:overflowPunct w:val="0"/>
        <w:adjustRightInd w:val="0"/>
        <w:snapToGrid w:val="0"/>
        <w:spacing w:line="626" w:lineRule="exact"/>
        <w:ind w:left="0" w:firstLine="64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lang w:eastAsia="zh-CN"/>
          <w14:textFill>
            <w14:solidFill>
              <w14:schemeClr w14:val="tx1"/>
            </w14:solidFill>
          </w14:textFill>
        </w:rPr>
        <w:t>本</w:t>
      </w:r>
      <w:r>
        <w:rPr>
          <w:rFonts w:hint="eastAsia" w:ascii="Times New Roman" w:hAnsi="Times New Roman" w:eastAsia="仿宋_GB2312" w:cs="仿宋_GB2312"/>
          <w:color w:val="000000" w:themeColor="text1"/>
          <w:sz w:val="32"/>
          <w:szCs w:val="32"/>
          <w14:textFill>
            <w14:solidFill>
              <w14:schemeClr w14:val="tx1"/>
            </w14:solidFill>
          </w14:textFill>
        </w:rPr>
        <w:t>指引所称的临床研究，是指由医药企业发起、参与或者委托第三方开展的，与医药产品相关的临床试验、上市后研究、不良反应监测等研究活动</w:t>
      </w:r>
      <w:r>
        <w:rPr>
          <w:rFonts w:hint="eastAsia" w:ascii="Times New Roman" w:hAnsi="Times New Roman" w:eastAsia="仿宋_GB2312" w:cs="仿宋_GB2312"/>
          <w:color w:val="000000" w:themeColor="text1"/>
          <w:sz w:val="32"/>
          <w:szCs w:val="32"/>
          <w:lang w:eastAsia="zh-CN"/>
          <w14:textFill>
            <w14:solidFill>
              <w14:schemeClr w14:val="tx1"/>
            </w14:solidFill>
          </w14:textFill>
        </w:rPr>
        <w:t>，以及医药企业直接或委托第三方资助，由医疗卫生机构研究者发起的临床研究（相关定义参考《医疗卫生机构开展研究者发起的临床研究管理办法》）。</w:t>
      </w:r>
    </w:p>
    <w:p>
      <w:pPr>
        <w:pStyle w:val="15"/>
        <w:numPr>
          <w:ilvl w:val="0"/>
          <w:numId w:val="1"/>
        </w:numPr>
        <w:overflowPunct w:val="0"/>
        <w:adjustRightInd w:val="0"/>
        <w:snapToGrid w:val="0"/>
        <w:spacing w:line="626" w:lineRule="exact"/>
        <w:ind w:left="0" w:firstLine="64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lang w:eastAsia="zh-CN"/>
          <w14:textFill>
            <w14:solidFill>
              <w14:schemeClr w14:val="tx1"/>
            </w14:solidFill>
          </w14:textFill>
        </w:rPr>
        <w:t>医药企业开展临床研究，应当注意以下事项：</w:t>
      </w:r>
    </w:p>
    <w:p>
      <w:pPr>
        <w:overflowPunct w:val="0"/>
        <w:adjustRightInd w:val="0"/>
        <w:snapToGrid w:val="0"/>
        <w:spacing w:line="626" w:lineRule="exact"/>
        <w:ind w:firstLine="640" w:firstLineChars="20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（一）医药企业应当与研究者、临床试验（临床研究）机构等参与方就临床研究项目开展签订合同，明确各方职责，包括费用明细、支付节点和技术要求等；临床试验应当遵守医药监管部门对于临床试验</w:t>
      </w:r>
      <w:r>
        <w:rPr>
          <w:rFonts w:hint="eastAsia" w:ascii="Times New Roman" w:hAnsi="Times New Roman" w:eastAsia="仿宋_GB2312" w:cs="仿宋_GB2312"/>
          <w:color w:val="000000" w:themeColor="text1"/>
          <w:sz w:val="32"/>
          <w:szCs w:val="32"/>
          <w:lang w:eastAsia="zh-CN"/>
          <w14:textFill>
            <w14:solidFill>
              <w14:schemeClr w14:val="tx1"/>
            </w14:solidFill>
          </w14:textFill>
        </w:rPr>
        <w:t>的</w:t>
      </w:r>
      <w:r>
        <w:rPr>
          <w:rFonts w:hint="eastAsia" w:ascii="Times New Roman" w:hAnsi="Times New Roman" w:eastAsia="仿宋_GB2312" w:cs="仿宋_GB2312"/>
          <w:color w:val="000000" w:themeColor="text1"/>
          <w:sz w:val="32"/>
          <w:szCs w:val="32"/>
          <w14:textFill>
            <w14:solidFill>
              <w14:schemeClr w14:val="tx1"/>
            </w14:solidFill>
          </w14:textFill>
        </w:rPr>
        <w:t>质量管理规范</w:t>
      </w:r>
      <w:r>
        <w:rPr>
          <w:rFonts w:hint="eastAsia" w:ascii="Times New Roman" w:hAnsi="Times New Roman" w:eastAsia="仿宋_GB2312" w:cs="仿宋_GB2312"/>
          <w:color w:val="000000" w:themeColor="text1"/>
          <w:sz w:val="32"/>
          <w:szCs w:val="32"/>
          <w:lang w:eastAsia="zh-CN"/>
          <w14:textFill>
            <w14:solidFill>
              <w14:schemeClr w14:val="tx1"/>
            </w14:solidFill>
          </w14:textFill>
        </w:rPr>
        <w:t>，临床研究应当遵守卫生健康部门对于临床研究的管理要求。</w:t>
      </w:r>
    </w:p>
    <w:p>
      <w:pPr>
        <w:overflowPunct w:val="0"/>
        <w:adjustRightInd w:val="0"/>
        <w:snapToGrid w:val="0"/>
        <w:spacing w:line="626" w:lineRule="exact"/>
        <w:ind w:firstLine="640" w:firstLineChars="20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（二）医药企业应当核实临床研究项目登记（备案）情况以保证真实性</w:t>
      </w:r>
      <w:r>
        <w:rPr>
          <w:rFonts w:hint="eastAsia" w:ascii="Times New Roman" w:hAnsi="Times New Roman" w:eastAsia="仿宋_GB2312" w:cs="仿宋_GB2312"/>
          <w:color w:val="000000" w:themeColor="text1"/>
          <w:sz w:val="32"/>
          <w:szCs w:val="32"/>
          <w:lang w:eastAsia="zh-CN"/>
          <w14:textFill>
            <w14:solidFill>
              <w14:schemeClr w14:val="tx1"/>
            </w14:solidFill>
          </w14:textFill>
        </w:rPr>
        <w:t>。</w:t>
      </w:r>
    </w:p>
    <w:p>
      <w:pPr>
        <w:overflowPunct w:val="0"/>
        <w:adjustRightInd w:val="0"/>
        <w:snapToGrid w:val="0"/>
        <w:spacing w:line="626" w:lineRule="exact"/>
        <w:ind w:firstLine="640" w:firstLineChars="20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三）医药企业完全或者部分委托第三方开展临床研究的，应当在合同中载明服务内容、服务成果、费用标准、服务期限以及反商业贿赂条款等；如存在需要医药企业报销的费用，应当在支付前审慎核查费用发生的真实性和合理性；倡导医药企业在支付第三方服务费前，取得临床试验机构和研究者对于服务时间、服务内容的确认；第三方管理可参照本章第</w:t>
      </w:r>
      <w:r>
        <w:rPr>
          <w:rFonts w:hint="eastAsia" w:ascii="Times New Roman" w:hAnsi="Times New Roman" w:eastAsia="仿宋_GB2312" w:cs="仿宋_GB2312"/>
          <w:color w:val="000000" w:themeColor="text1"/>
          <w:sz w:val="32"/>
          <w:szCs w:val="32"/>
          <w:lang w:eastAsia="zh-CN"/>
          <w14:textFill>
            <w14:solidFill>
              <w14:schemeClr w14:val="tx1"/>
            </w14:solidFill>
          </w14:textFill>
        </w:rPr>
        <w:t>四</w:t>
      </w:r>
      <w:r>
        <w:rPr>
          <w:rFonts w:hint="eastAsia" w:ascii="Times New Roman" w:hAnsi="Times New Roman" w:eastAsia="仿宋_GB2312" w:cs="仿宋_GB2312"/>
          <w:color w:val="000000" w:themeColor="text1"/>
          <w:sz w:val="32"/>
          <w:szCs w:val="32"/>
          <w14:textFill>
            <w14:solidFill>
              <w14:schemeClr w14:val="tx1"/>
            </w14:solidFill>
          </w14:textFill>
        </w:rPr>
        <w:t>节外包服务的相关规定</w:t>
      </w:r>
      <w:r>
        <w:rPr>
          <w:rFonts w:hint="eastAsia" w:ascii="Times New Roman" w:hAnsi="Times New Roman" w:eastAsia="仿宋_GB2312" w:cs="仿宋_GB2312"/>
          <w:color w:val="000000" w:themeColor="text1"/>
          <w:sz w:val="32"/>
          <w:szCs w:val="32"/>
          <w:lang w:eastAsia="zh-CN"/>
          <w14:textFill>
            <w14:solidFill>
              <w14:schemeClr w14:val="tx1"/>
            </w14:solidFill>
          </w14:textFill>
        </w:rPr>
        <w:t>。</w:t>
      </w:r>
    </w:p>
    <w:p>
      <w:pPr>
        <w:overflowPunct w:val="0"/>
        <w:adjustRightInd w:val="0"/>
        <w:snapToGrid w:val="0"/>
        <w:spacing w:line="626" w:lineRule="exact"/>
        <w:ind w:firstLine="640" w:firstLineChars="20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（四）医药企业应当根据合同约定及参与临床研究的范围、程度，妥善留存研究资料及成果。</w:t>
      </w:r>
    </w:p>
    <w:p>
      <w:pPr>
        <w:pStyle w:val="15"/>
        <w:numPr>
          <w:ilvl w:val="0"/>
          <w:numId w:val="1"/>
        </w:numPr>
        <w:overflowPunct w:val="0"/>
        <w:adjustRightInd w:val="0"/>
        <w:snapToGrid w:val="0"/>
        <w:spacing w:line="626" w:lineRule="exact"/>
        <w:ind w:left="0" w:firstLine="64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lang w:eastAsia="zh-CN"/>
          <w14:textFill>
            <w14:solidFill>
              <w14:schemeClr w14:val="tx1"/>
            </w14:solidFill>
          </w14:textFill>
        </w:rPr>
        <w:t>医药企业开展临床研究，应当注意以下行为风险的识别与防范：</w:t>
      </w:r>
    </w:p>
    <w:p>
      <w:pPr>
        <w:overflowPunct w:val="0"/>
        <w:adjustRightInd w:val="0"/>
        <w:snapToGrid w:val="0"/>
        <w:spacing w:line="626" w:lineRule="exact"/>
        <w:ind w:firstLine="640" w:firstLineChars="20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（一）禁止医药企业通过设立虚假项目或者假借临床研究名义，向临床试验机构及研究者输送不当利益，以换取在医药产品入院、推广或者销售等方面的竞争优势或者交易机会</w:t>
      </w:r>
      <w:r>
        <w:rPr>
          <w:rFonts w:hint="eastAsia" w:ascii="Times New Roman" w:hAnsi="Times New Roman" w:eastAsia="仿宋_GB2312" w:cs="仿宋_GB2312"/>
          <w:color w:val="000000" w:themeColor="text1"/>
          <w:sz w:val="32"/>
          <w:szCs w:val="32"/>
          <w:lang w:eastAsia="zh-CN"/>
          <w14:textFill>
            <w14:solidFill>
              <w14:schemeClr w14:val="tx1"/>
            </w14:solidFill>
          </w14:textFill>
        </w:rPr>
        <w:t>。</w:t>
      </w:r>
    </w:p>
    <w:p>
      <w:pPr>
        <w:overflowPunct w:val="0"/>
        <w:adjustRightInd w:val="0"/>
        <w:snapToGrid w:val="0"/>
        <w:spacing w:line="626" w:lineRule="exact"/>
        <w:ind w:firstLine="640" w:firstLineChars="20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（二）禁止医药企业直接或者通过第三方服务机构向临床试验机构或者研究者个人输送不当利益，以换取加快、推进临床研究或者操纵临床研究数据，使临床研究结果有利于本医药企业产品。</w:t>
      </w:r>
    </w:p>
    <w:p>
      <w:pPr>
        <w:pStyle w:val="2"/>
        <w:outlineLvl w:val="9"/>
        <w:rPr>
          <w:rFonts w:hint="eastAsia"/>
          <w:sz w:val="32"/>
          <w:szCs w:val="32"/>
        </w:rPr>
      </w:pPr>
    </w:p>
    <w:p>
      <w:pPr>
        <w:pStyle w:val="3"/>
        <w:keepNext w:val="0"/>
        <w:keepLines w:val="0"/>
        <w:overflowPunct w:val="0"/>
        <w:adjustRightInd w:val="0"/>
        <w:snapToGrid w:val="0"/>
        <w:spacing w:before="0" w:after="0" w:line="626" w:lineRule="exact"/>
        <w:jc w:val="center"/>
        <w:outlineLvl w:val="1"/>
        <w:rPr>
          <w:rFonts w:hint="default" w:ascii="Times New Roman" w:hAnsi="Times New Roman" w:eastAsia="黑体" w:cs="黑体"/>
          <w:b w:val="0"/>
          <w:bCs w:val="0"/>
          <w:color w:val="000000" w:themeColor="text1"/>
          <w:sz w:val="32"/>
          <w:szCs w:val="32"/>
          <w14:textFill>
            <w14:solidFill>
              <w14:schemeClr w14:val="tx1"/>
            </w14:solidFill>
          </w14:textFill>
        </w:rPr>
      </w:pPr>
      <w:bookmarkStart w:id="16" w:name="_Toc153726517"/>
      <w:r>
        <w:rPr>
          <w:rFonts w:hint="default" w:ascii="Times New Roman" w:hAnsi="Times New Roman" w:eastAsia="黑体" w:cs="黑体"/>
          <w:b w:val="0"/>
          <w:bCs w:val="0"/>
          <w:color w:val="000000" w:themeColor="text1"/>
          <w:sz w:val="32"/>
          <w:szCs w:val="32"/>
          <w14:textFill>
            <w14:solidFill>
              <w14:schemeClr w14:val="tx1"/>
            </w14:solidFill>
          </w14:textFill>
        </w:rPr>
        <w:t>第</w:t>
      </w:r>
      <w:r>
        <w:rPr>
          <w:rFonts w:hint="eastAsia" w:ascii="Times New Roman" w:hAnsi="Times New Roman" w:eastAsia="黑体" w:cs="黑体"/>
          <w:b w:val="0"/>
          <w:bCs w:val="0"/>
          <w:color w:val="000000" w:themeColor="text1"/>
          <w:sz w:val="32"/>
          <w:szCs w:val="32"/>
          <w:lang w:eastAsia="zh-CN"/>
          <w14:textFill>
            <w14:solidFill>
              <w14:schemeClr w14:val="tx1"/>
            </w14:solidFill>
          </w14:textFill>
        </w:rPr>
        <w:t>九</w:t>
      </w:r>
      <w:r>
        <w:rPr>
          <w:rFonts w:hint="default" w:ascii="Times New Roman" w:hAnsi="Times New Roman" w:eastAsia="黑体" w:cs="黑体"/>
          <w:b w:val="0"/>
          <w:bCs w:val="0"/>
          <w:color w:val="000000" w:themeColor="text1"/>
          <w:sz w:val="32"/>
          <w:szCs w:val="32"/>
          <w14:textFill>
            <w14:solidFill>
              <w14:schemeClr w14:val="tx1"/>
            </w14:solidFill>
          </w14:textFill>
        </w:rPr>
        <w:t>节</w:t>
      </w:r>
      <w:r>
        <w:rPr>
          <w:rFonts w:hint="eastAsia" w:ascii="Times New Roman" w:hAnsi="Times New Roman" w:eastAsia="黑体" w:cs="黑体"/>
          <w:b w:val="0"/>
          <w:bCs w:val="0"/>
          <w:color w:val="000000" w:themeColor="text1"/>
          <w:sz w:val="32"/>
          <w:szCs w:val="32"/>
          <w14:textFill>
            <w14:solidFill>
              <w14:schemeClr w14:val="tx1"/>
            </w14:solidFill>
          </w14:textFill>
        </w:rPr>
        <w:t xml:space="preserve"> </w:t>
      </w:r>
      <w:r>
        <w:rPr>
          <w:rFonts w:hint="default" w:ascii="Times New Roman" w:hAnsi="Times New Roman" w:eastAsia="黑体" w:cs="黑体"/>
          <w:b w:val="0"/>
          <w:bCs w:val="0"/>
          <w:color w:val="000000" w:themeColor="text1"/>
          <w:sz w:val="32"/>
          <w:szCs w:val="32"/>
          <w14:textFill>
            <w14:solidFill>
              <w14:schemeClr w14:val="tx1"/>
            </w14:solidFill>
          </w14:textFill>
        </w:rPr>
        <w:t>零售终端销售商业贿赂风险</w:t>
      </w:r>
      <w:bookmarkEnd w:id="16"/>
    </w:p>
    <w:p>
      <w:pPr>
        <w:pStyle w:val="3"/>
        <w:keepNext w:val="0"/>
        <w:keepLines w:val="0"/>
        <w:overflowPunct w:val="0"/>
        <w:adjustRightInd w:val="0"/>
        <w:snapToGrid w:val="0"/>
        <w:spacing w:before="0" w:after="0" w:line="598" w:lineRule="exact"/>
        <w:jc w:val="center"/>
        <w:outlineLvl w:val="9"/>
        <w:rPr>
          <w:rFonts w:hint="eastAsia" w:ascii="Times New Roman" w:hAnsi="Times New Roman" w:eastAsia="黑体" w:cs="黑体"/>
          <w:b w:val="0"/>
          <w:bCs w:val="0"/>
          <w:color w:val="000000" w:themeColor="text1"/>
          <w:sz w:val="32"/>
          <w:szCs w:val="32"/>
          <w14:textFill>
            <w14:solidFill>
              <w14:schemeClr w14:val="tx1"/>
            </w14:solidFill>
          </w14:textFill>
        </w:rPr>
      </w:pPr>
    </w:p>
    <w:p>
      <w:pPr>
        <w:pStyle w:val="15"/>
        <w:numPr>
          <w:ilvl w:val="0"/>
          <w:numId w:val="1"/>
        </w:numPr>
        <w:overflowPunct w:val="0"/>
        <w:adjustRightInd w:val="0"/>
        <w:snapToGrid w:val="0"/>
        <w:spacing w:line="598" w:lineRule="exact"/>
        <w:ind w:left="0" w:firstLine="64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本指引所称的零售终端销售，是指医药企业依托零售药店（含药品网络销售企业）所开展的医药产品销售和推广宣传活动</w:t>
      </w:r>
      <w:r>
        <w:rPr>
          <w:rFonts w:hint="eastAsia" w:ascii="Times New Roman" w:hAnsi="Times New Roman" w:eastAsia="仿宋_GB2312" w:cs="仿宋_GB2312"/>
          <w:color w:val="000000" w:themeColor="text1"/>
          <w:sz w:val="32"/>
          <w:szCs w:val="32"/>
          <w:lang w:eastAsia="zh-CN"/>
          <w14:textFill>
            <w14:solidFill>
              <w14:schemeClr w14:val="tx1"/>
            </w14:solidFill>
          </w14:textFill>
        </w:rPr>
        <w:t>。</w:t>
      </w:r>
    </w:p>
    <w:p>
      <w:pPr>
        <w:pStyle w:val="15"/>
        <w:numPr>
          <w:ilvl w:val="0"/>
          <w:numId w:val="1"/>
        </w:numPr>
        <w:overflowPunct w:val="0"/>
        <w:adjustRightInd w:val="0"/>
        <w:snapToGrid w:val="0"/>
        <w:spacing w:line="598" w:lineRule="exact"/>
        <w:ind w:left="0" w:firstLine="64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lang w:eastAsia="zh-CN"/>
          <w14:textFill>
            <w14:solidFill>
              <w14:schemeClr w14:val="tx1"/>
            </w14:solidFill>
          </w14:textFill>
        </w:rPr>
        <w:t>医药企业开展零售终端销售，应当注意以下事项：</w:t>
      </w:r>
    </w:p>
    <w:p>
      <w:pPr>
        <w:overflowPunct w:val="0"/>
        <w:adjustRightInd w:val="0"/>
        <w:snapToGrid w:val="0"/>
        <w:spacing w:line="598" w:lineRule="exact"/>
        <w:ind w:firstLine="640" w:firstLineChars="20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（一）医药企业可以通过拜访</w:t>
      </w:r>
      <w:r>
        <w:rPr>
          <w:rFonts w:hint="eastAsia" w:ascii="Times New Roman" w:hAnsi="Times New Roman" w:eastAsia="仿宋_GB2312" w:cs="仿宋_GB2312"/>
          <w:color w:val="000000" w:themeColor="text1"/>
          <w:sz w:val="32"/>
          <w:szCs w:val="32"/>
          <w:lang w:eastAsia="zh-CN"/>
          <w14:textFill>
            <w14:solidFill>
              <w14:schemeClr w14:val="tx1"/>
            </w14:solidFill>
          </w14:textFill>
        </w:rPr>
        <w:t>向零售终端</w:t>
      </w:r>
      <w:r>
        <w:rPr>
          <w:rFonts w:hint="eastAsia" w:ascii="Times New Roman" w:hAnsi="Times New Roman" w:eastAsia="仿宋_GB2312" w:cs="仿宋_GB2312"/>
          <w:color w:val="000000" w:themeColor="text1"/>
          <w:sz w:val="32"/>
          <w:szCs w:val="32"/>
          <w14:textFill>
            <w14:solidFill>
              <w14:schemeClr w14:val="tx1"/>
            </w14:solidFill>
          </w14:textFill>
        </w:rPr>
        <w:t>传递合理用药信息、创新研究成果和拓展的治疗领域，收集季节性药物需求以及药品不良反应等信息</w:t>
      </w:r>
      <w:r>
        <w:rPr>
          <w:rFonts w:hint="eastAsia" w:ascii="Times New Roman" w:hAnsi="Times New Roman" w:eastAsia="仿宋_GB2312" w:cs="仿宋_GB2312"/>
          <w:color w:val="000000" w:themeColor="text1"/>
          <w:sz w:val="32"/>
          <w:szCs w:val="32"/>
          <w:lang w:eastAsia="zh-CN"/>
          <w14:textFill>
            <w14:solidFill>
              <w14:schemeClr w14:val="tx1"/>
            </w14:solidFill>
          </w14:textFill>
        </w:rPr>
        <w:t>。</w:t>
      </w:r>
    </w:p>
    <w:p>
      <w:pPr>
        <w:overflowPunct w:val="0"/>
        <w:adjustRightInd w:val="0"/>
        <w:snapToGrid w:val="0"/>
        <w:spacing w:line="598" w:lineRule="exact"/>
        <w:ind w:firstLine="640" w:firstLineChars="20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（二）医药企业应当与零售终端签订推广协议，并确保此类活动符合法律法规、监管规则，双方必须以明示的方式准确记录各自账目</w:t>
      </w:r>
      <w:r>
        <w:rPr>
          <w:rFonts w:hint="eastAsia" w:ascii="Times New Roman" w:hAnsi="Times New Roman" w:eastAsia="仿宋_GB2312" w:cs="仿宋_GB2312"/>
          <w:color w:val="000000" w:themeColor="text1"/>
          <w:sz w:val="32"/>
          <w:szCs w:val="32"/>
          <w:lang w:eastAsia="zh-CN"/>
          <w14:textFill>
            <w14:solidFill>
              <w14:schemeClr w14:val="tx1"/>
            </w14:solidFill>
          </w14:textFill>
        </w:rPr>
        <w:t>。</w:t>
      </w:r>
    </w:p>
    <w:p>
      <w:pPr>
        <w:overflowPunct w:val="0"/>
        <w:adjustRightInd w:val="0"/>
        <w:snapToGrid w:val="0"/>
        <w:spacing w:line="598" w:lineRule="exact"/>
        <w:ind w:firstLine="640" w:firstLineChars="200"/>
        <w:rPr>
          <w:rFonts w:hint="eastAsia" w:ascii="Times New Roman" w:hAnsi="Times New Roman" w:eastAsia="仿宋_GB2312" w:cs="仿宋_GB2312"/>
          <w:color w:val="000000" w:themeColor="text1"/>
          <w:sz w:val="32"/>
          <w:szCs w:val="32"/>
          <w:lang w:eastAsia="zh-CN"/>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（三）建议医药企业与零售终端签订廉洁合规协议，明确守法经营相关要求，促进零售终端的合法经营</w:t>
      </w:r>
      <w:r>
        <w:rPr>
          <w:rFonts w:hint="eastAsia" w:ascii="Times New Roman" w:hAnsi="Times New Roman" w:eastAsia="仿宋_GB2312" w:cs="仿宋_GB2312"/>
          <w:color w:val="000000" w:themeColor="text1"/>
          <w:sz w:val="32"/>
          <w:szCs w:val="32"/>
          <w:lang w:eastAsia="zh-CN"/>
          <w14:textFill>
            <w14:solidFill>
              <w14:schemeClr w14:val="tx1"/>
            </w14:solidFill>
          </w14:textFill>
        </w:rPr>
        <w:t>。</w:t>
      </w:r>
    </w:p>
    <w:p>
      <w:pPr>
        <w:overflowPunct w:val="0"/>
        <w:adjustRightInd w:val="0"/>
        <w:snapToGrid w:val="0"/>
        <w:spacing w:line="598" w:lineRule="exact"/>
        <w:ind w:firstLine="640" w:firstLineChars="20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（四）医药企业聘请零售终端员工提供演讲、调研、咨询等形式的服务，应当参照本章第</w:t>
      </w:r>
      <w:r>
        <w:rPr>
          <w:rFonts w:hint="eastAsia" w:ascii="Times New Roman" w:hAnsi="Times New Roman" w:eastAsia="仿宋_GB2312" w:cs="仿宋_GB2312"/>
          <w:color w:val="000000" w:themeColor="text1"/>
          <w:sz w:val="32"/>
          <w:szCs w:val="32"/>
          <w:lang w:eastAsia="zh-CN"/>
          <w14:textFill>
            <w14:solidFill>
              <w14:schemeClr w14:val="tx1"/>
            </w14:solidFill>
          </w14:textFill>
        </w:rPr>
        <w:t>三</w:t>
      </w:r>
      <w:r>
        <w:rPr>
          <w:rFonts w:hint="eastAsia" w:ascii="Times New Roman" w:hAnsi="Times New Roman" w:eastAsia="仿宋_GB2312" w:cs="仿宋_GB2312"/>
          <w:color w:val="000000" w:themeColor="text1"/>
          <w:sz w:val="32"/>
          <w:szCs w:val="32"/>
          <w14:textFill>
            <w14:solidFill>
              <w14:schemeClr w14:val="tx1"/>
            </w14:solidFill>
          </w14:textFill>
        </w:rPr>
        <w:t>节咨询服务的相关规定</w:t>
      </w:r>
      <w:r>
        <w:rPr>
          <w:rFonts w:hint="eastAsia" w:ascii="Times New Roman" w:hAnsi="Times New Roman" w:eastAsia="仿宋_GB2312" w:cs="仿宋_GB2312"/>
          <w:color w:val="000000" w:themeColor="text1"/>
          <w:sz w:val="32"/>
          <w:szCs w:val="32"/>
          <w:lang w:eastAsia="zh-CN"/>
          <w14:textFill>
            <w14:solidFill>
              <w14:schemeClr w14:val="tx1"/>
            </w14:solidFill>
          </w14:textFill>
        </w:rPr>
        <w:t>。</w:t>
      </w:r>
    </w:p>
    <w:p>
      <w:pPr>
        <w:overflowPunct w:val="0"/>
        <w:adjustRightInd w:val="0"/>
        <w:snapToGrid w:val="0"/>
        <w:spacing w:line="598" w:lineRule="exact"/>
        <w:ind w:firstLine="640" w:firstLineChars="20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（五）医药企业应当按照协议约定向零售终端支付折扣，具体可参照第</w:t>
      </w:r>
      <w:r>
        <w:rPr>
          <w:rFonts w:hint="eastAsia" w:ascii="Times New Roman" w:hAnsi="Times New Roman" w:eastAsia="仿宋_GB2312" w:cs="仿宋_GB2312"/>
          <w:color w:val="000000" w:themeColor="text1"/>
          <w:sz w:val="32"/>
          <w:szCs w:val="32"/>
          <w:lang w:eastAsia="zh-CN"/>
          <w14:textFill>
            <w14:solidFill>
              <w14:schemeClr w14:val="tx1"/>
            </w14:solidFill>
          </w14:textFill>
        </w:rPr>
        <w:t>五</w:t>
      </w:r>
      <w:r>
        <w:rPr>
          <w:rFonts w:hint="eastAsia" w:ascii="Times New Roman" w:hAnsi="Times New Roman" w:eastAsia="仿宋_GB2312" w:cs="仿宋_GB2312"/>
          <w:color w:val="000000" w:themeColor="text1"/>
          <w:sz w:val="32"/>
          <w:szCs w:val="32"/>
          <w14:textFill>
            <w14:solidFill>
              <w14:schemeClr w14:val="tx1"/>
            </w14:solidFill>
          </w14:textFill>
        </w:rPr>
        <w:t>节折扣、折让及佣金的相关规定。</w:t>
      </w:r>
    </w:p>
    <w:p>
      <w:pPr>
        <w:pStyle w:val="15"/>
        <w:numPr>
          <w:ilvl w:val="0"/>
          <w:numId w:val="1"/>
        </w:numPr>
        <w:overflowPunct w:val="0"/>
        <w:adjustRightInd w:val="0"/>
        <w:snapToGrid w:val="0"/>
        <w:spacing w:line="598" w:lineRule="exact"/>
        <w:ind w:left="0" w:firstLine="64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lang w:eastAsia="zh-CN"/>
          <w14:textFill>
            <w14:solidFill>
              <w14:schemeClr w14:val="tx1"/>
            </w14:solidFill>
          </w14:textFill>
        </w:rPr>
        <w:t>医药企业开展零售终端销售，应当注意以下行为风险的识别与防范：</w:t>
      </w:r>
    </w:p>
    <w:p>
      <w:pPr>
        <w:overflowPunct w:val="0"/>
        <w:adjustRightInd w:val="0"/>
        <w:snapToGrid w:val="0"/>
        <w:spacing w:line="598" w:lineRule="exact"/>
        <w:ind w:firstLine="640" w:firstLineChars="20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一</w:t>
      </w:r>
      <w:r>
        <w:rPr>
          <w:rFonts w:hint="eastAsia" w:ascii="Times New Roman" w:hAnsi="Times New Roman" w:eastAsia="仿宋_GB2312" w:cs="仿宋_GB2312"/>
          <w:color w:val="000000" w:themeColor="text1"/>
          <w:sz w:val="32"/>
          <w:szCs w:val="32"/>
          <w14:textFill>
            <w14:solidFill>
              <w14:schemeClr w14:val="tx1"/>
            </w14:solidFill>
          </w14:textFill>
        </w:rPr>
        <w:t>）禁止医药企业通过给予现金回扣等利益，诱导零售终端在</w:t>
      </w:r>
      <w:r>
        <w:rPr>
          <w:rFonts w:hint="eastAsia" w:ascii="Times New Roman" w:hAnsi="Times New Roman" w:eastAsia="仿宋_GB2312" w:cs="仿宋_GB2312"/>
          <w:color w:val="000000" w:themeColor="text1"/>
          <w:sz w:val="32"/>
          <w:szCs w:val="32"/>
          <w:lang w:eastAsia="zh-CN"/>
          <w14:textFill>
            <w14:solidFill>
              <w14:schemeClr w14:val="tx1"/>
            </w14:solidFill>
          </w14:textFill>
        </w:rPr>
        <w:t>医药产品</w:t>
      </w:r>
      <w:r>
        <w:rPr>
          <w:rFonts w:hint="eastAsia" w:ascii="Times New Roman" w:hAnsi="Times New Roman" w:eastAsia="仿宋_GB2312" w:cs="仿宋_GB2312"/>
          <w:color w:val="000000" w:themeColor="text1"/>
          <w:sz w:val="32"/>
          <w:szCs w:val="32"/>
          <w14:textFill>
            <w14:solidFill>
              <w14:schemeClr w14:val="tx1"/>
            </w14:solidFill>
          </w14:textFill>
        </w:rPr>
        <w:t>采购、进场陈列、推销产品等方面为其提供便利或者获得不公平的交易机会</w:t>
      </w:r>
      <w:r>
        <w:rPr>
          <w:rFonts w:hint="eastAsia" w:ascii="Times New Roman" w:hAnsi="Times New Roman" w:eastAsia="仿宋_GB2312" w:cs="仿宋_GB2312"/>
          <w:color w:val="000000" w:themeColor="text1"/>
          <w:sz w:val="32"/>
          <w:szCs w:val="32"/>
          <w:lang w:eastAsia="zh-CN"/>
          <w14:textFill>
            <w14:solidFill>
              <w14:schemeClr w14:val="tx1"/>
            </w14:solidFill>
          </w14:textFill>
        </w:rPr>
        <w:t>。</w:t>
      </w:r>
    </w:p>
    <w:p>
      <w:pPr>
        <w:overflowPunct w:val="0"/>
        <w:adjustRightInd w:val="0"/>
        <w:snapToGrid w:val="0"/>
        <w:spacing w:line="598" w:lineRule="exact"/>
        <w:ind w:firstLine="640" w:firstLineChars="20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w:t>
      </w:r>
      <w:r>
        <w:rPr>
          <w:rFonts w:hint="eastAsia" w:ascii="Times New Roman" w:hAnsi="Times New Roman" w:eastAsia="仿宋_GB2312" w:cs="仿宋_GB2312"/>
          <w:color w:val="000000" w:themeColor="text1"/>
          <w:sz w:val="32"/>
          <w:szCs w:val="32"/>
          <w:lang w:eastAsia="zh-CN"/>
          <w14:textFill>
            <w14:solidFill>
              <w14:schemeClr w14:val="tx1"/>
            </w14:solidFill>
          </w14:textFill>
        </w:rPr>
        <w:t>二</w:t>
      </w:r>
      <w:r>
        <w:rPr>
          <w:rFonts w:hint="eastAsia" w:ascii="Times New Roman" w:hAnsi="Times New Roman" w:eastAsia="仿宋_GB2312" w:cs="仿宋_GB2312"/>
          <w:color w:val="000000" w:themeColor="text1"/>
          <w:sz w:val="32"/>
          <w:szCs w:val="32"/>
          <w14:textFill>
            <w14:solidFill>
              <w14:schemeClr w14:val="tx1"/>
            </w14:solidFill>
          </w14:textFill>
        </w:rPr>
        <w:t>）禁止医药企业与零售终端串通，通过向</w:t>
      </w:r>
      <w:r>
        <w:rPr>
          <w:rFonts w:hint="eastAsia" w:ascii="Times New Roman" w:hAnsi="Times New Roman" w:eastAsia="仿宋_GB2312" w:cs="仿宋_GB2312"/>
          <w:color w:val="000000" w:themeColor="text1"/>
          <w:sz w:val="32"/>
          <w:szCs w:val="32"/>
          <w:lang w:eastAsia="zh-CN"/>
          <w14:textFill>
            <w14:solidFill>
              <w14:schemeClr w14:val="tx1"/>
            </w14:solidFill>
          </w14:textFill>
        </w:rPr>
        <w:t>医疗卫生人员</w:t>
      </w:r>
      <w:r>
        <w:rPr>
          <w:rFonts w:hint="eastAsia" w:ascii="Times New Roman" w:hAnsi="Times New Roman" w:eastAsia="仿宋_GB2312" w:cs="仿宋_GB2312"/>
          <w:color w:val="000000" w:themeColor="text1"/>
          <w:sz w:val="32"/>
          <w:szCs w:val="32"/>
          <w14:textFill>
            <w14:solidFill>
              <w14:schemeClr w14:val="tx1"/>
            </w14:solidFill>
          </w14:textFill>
        </w:rPr>
        <w:t>输送利益</w:t>
      </w:r>
      <w:r>
        <w:rPr>
          <w:rFonts w:hint="eastAsia" w:ascii="Times New Roman" w:hAnsi="Times New Roman" w:eastAsia="仿宋_GB2312" w:cs="仿宋_GB2312"/>
          <w:color w:val="000000" w:themeColor="text1"/>
          <w:sz w:val="32"/>
          <w:szCs w:val="32"/>
          <w:lang w:eastAsia="zh-CN"/>
          <w14:textFill>
            <w14:solidFill>
              <w14:schemeClr w14:val="tx1"/>
            </w14:solidFill>
          </w14:textFill>
        </w:rPr>
        <w:t>获取处方信息</w:t>
      </w:r>
      <w:r>
        <w:rPr>
          <w:rFonts w:hint="eastAsia" w:ascii="Times New Roman" w:hAnsi="Times New Roman" w:eastAsia="仿宋_GB2312" w:cs="仿宋_GB2312"/>
          <w:color w:val="000000" w:themeColor="text1"/>
          <w:sz w:val="32"/>
          <w:szCs w:val="32"/>
          <w14:textFill>
            <w14:solidFill>
              <w14:schemeClr w14:val="tx1"/>
            </w14:solidFill>
          </w14:textFill>
        </w:rPr>
        <w:t>；禁止医药企业通过零售终端统计处方量，并向</w:t>
      </w:r>
      <w:r>
        <w:rPr>
          <w:rFonts w:hint="eastAsia" w:ascii="Times New Roman" w:hAnsi="Times New Roman" w:eastAsia="仿宋_GB2312" w:cs="仿宋_GB2312"/>
          <w:color w:val="000000" w:themeColor="text1"/>
          <w:sz w:val="32"/>
          <w:szCs w:val="32"/>
          <w:lang w:eastAsia="zh-CN"/>
          <w14:textFill>
            <w14:solidFill>
              <w14:schemeClr w14:val="tx1"/>
            </w14:solidFill>
          </w14:textFill>
        </w:rPr>
        <w:t>医疗卫生机构</w:t>
      </w:r>
      <w:r>
        <w:rPr>
          <w:rFonts w:hint="eastAsia" w:ascii="Times New Roman" w:hAnsi="Times New Roman" w:eastAsia="仿宋_GB2312" w:cs="仿宋_GB2312"/>
          <w:color w:val="000000" w:themeColor="text1"/>
          <w:sz w:val="32"/>
          <w:szCs w:val="32"/>
          <w14:textFill>
            <w14:solidFill>
              <w14:schemeClr w14:val="tx1"/>
            </w14:solidFill>
          </w14:textFill>
        </w:rPr>
        <w:t>或者</w:t>
      </w:r>
      <w:r>
        <w:rPr>
          <w:rFonts w:hint="eastAsia" w:ascii="Times New Roman" w:hAnsi="Times New Roman" w:eastAsia="仿宋_GB2312" w:cs="仿宋_GB2312"/>
          <w:color w:val="000000" w:themeColor="text1"/>
          <w:sz w:val="32"/>
          <w:szCs w:val="32"/>
          <w:lang w:eastAsia="zh-CN"/>
          <w14:textFill>
            <w14:solidFill>
              <w14:schemeClr w14:val="tx1"/>
            </w14:solidFill>
          </w14:textFill>
        </w:rPr>
        <w:t>医疗卫生人员</w:t>
      </w:r>
      <w:r>
        <w:rPr>
          <w:rFonts w:hint="eastAsia" w:ascii="Times New Roman" w:hAnsi="Times New Roman" w:eastAsia="仿宋_GB2312" w:cs="仿宋_GB2312"/>
          <w:color w:val="000000" w:themeColor="text1"/>
          <w:sz w:val="32"/>
          <w:szCs w:val="32"/>
          <w14:textFill>
            <w14:solidFill>
              <w14:schemeClr w14:val="tx1"/>
            </w14:solidFill>
          </w14:textFill>
        </w:rPr>
        <w:t>输送利益</w:t>
      </w:r>
      <w:r>
        <w:rPr>
          <w:rFonts w:hint="eastAsia" w:ascii="Times New Roman" w:hAnsi="Times New Roman" w:eastAsia="仿宋_GB2312" w:cs="仿宋_GB2312"/>
          <w:color w:val="000000" w:themeColor="text1"/>
          <w:sz w:val="32"/>
          <w:szCs w:val="32"/>
          <w:lang w:eastAsia="zh-CN"/>
          <w14:textFill>
            <w14:solidFill>
              <w14:schemeClr w14:val="tx1"/>
            </w14:solidFill>
          </w14:textFill>
        </w:rPr>
        <w:t>。</w:t>
      </w:r>
    </w:p>
    <w:p>
      <w:pPr>
        <w:overflowPunct w:val="0"/>
        <w:adjustRightInd w:val="0"/>
        <w:snapToGrid w:val="0"/>
        <w:spacing w:line="598" w:lineRule="exact"/>
        <w:ind w:firstLine="640" w:firstLineChars="20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w:t>
      </w:r>
      <w:r>
        <w:rPr>
          <w:rFonts w:hint="eastAsia" w:ascii="Times New Roman" w:hAnsi="Times New Roman" w:eastAsia="仿宋_GB2312" w:cs="仿宋_GB2312"/>
          <w:color w:val="000000" w:themeColor="text1"/>
          <w:sz w:val="32"/>
          <w:szCs w:val="32"/>
          <w:lang w:eastAsia="zh-CN"/>
          <w14:textFill>
            <w14:solidFill>
              <w14:schemeClr w14:val="tx1"/>
            </w14:solidFill>
          </w14:textFill>
        </w:rPr>
        <w:t>三</w:t>
      </w:r>
      <w:r>
        <w:rPr>
          <w:rFonts w:hint="eastAsia" w:ascii="Times New Roman" w:hAnsi="Times New Roman" w:eastAsia="仿宋_GB2312" w:cs="仿宋_GB2312"/>
          <w:color w:val="000000" w:themeColor="text1"/>
          <w:sz w:val="32"/>
          <w:szCs w:val="32"/>
          <w14:textFill>
            <w14:solidFill>
              <w14:schemeClr w14:val="tx1"/>
            </w14:solidFill>
          </w14:textFill>
        </w:rPr>
        <w:t>）禁止医药企业以输送不当利益的方式影响网络零售企业员工调配本企业医药产品、不按处方严格审核</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医药产品</w:t>
      </w:r>
      <w:r>
        <w:rPr>
          <w:rFonts w:hint="eastAsia" w:ascii="Times New Roman" w:hAnsi="Times New Roman" w:eastAsia="仿宋_GB2312" w:cs="仿宋_GB2312"/>
          <w:color w:val="000000" w:themeColor="text1"/>
          <w:sz w:val="32"/>
          <w:szCs w:val="32"/>
          <w14:textFill>
            <w14:solidFill>
              <w14:schemeClr w14:val="tx1"/>
            </w14:solidFill>
          </w14:textFill>
        </w:rPr>
        <w:t>或者将处方重复使用。</w:t>
      </w:r>
    </w:p>
    <w:p>
      <w:pPr>
        <w:pStyle w:val="3"/>
        <w:keepNext w:val="0"/>
        <w:keepLines w:val="0"/>
        <w:overflowPunct w:val="0"/>
        <w:adjustRightInd w:val="0"/>
        <w:snapToGrid w:val="0"/>
        <w:spacing w:before="0" w:after="0" w:line="598" w:lineRule="exact"/>
        <w:jc w:val="center"/>
        <w:outlineLvl w:val="9"/>
        <w:rPr>
          <w:rFonts w:hint="default" w:ascii="Times New Roman" w:hAnsi="Times New Roman" w:eastAsia="黑体" w:cs="黑体"/>
          <w:b w:val="0"/>
          <w:bCs w:val="0"/>
          <w:color w:val="000000" w:themeColor="text1"/>
          <w:sz w:val="32"/>
          <w:szCs w:val="32"/>
          <w14:textFill>
            <w14:solidFill>
              <w14:schemeClr w14:val="tx1"/>
            </w14:solidFill>
          </w14:textFill>
        </w:rPr>
      </w:pPr>
      <w:bookmarkStart w:id="17" w:name="_Toc153618336"/>
      <w:bookmarkStart w:id="18" w:name="_Toc153726518"/>
    </w:p>
    <w:p>
      <w:pPr>
        <w:pStyle w:val="3"/>
        <w:keepNext w:val="0"/>
        <w:keepLines w:val="0"/>
        <w:overflowPunct w:val="0"/>
        <w:adjustRightInd w:val="0"/>
        <w:snapToGrid w:val="0"/>
        <w:spacing w:before="0" w:after="0" w:line="598" w:lineRule="exact"/>
        <w:jc w:val="center"/>
        <w:outlineLvl w:val="0"/>
        <w:rPr>
          <w:rFonts w:hint="eastAsia" w:ascii="Times New Roman" w:hAnsi="Times New Roman" w:eastAsia="黑体" w:cs="黑体"/>
          <w:b w:val="0"/>
          <w:bCs w:val="0"/>
          <w:color w:val="000000" w:themeColor="text1"/>
          <w:sz w:val="32"/>
          <w:szCs w:val="32"/>
          <w14:textFill>
            <w14:solidFill>
              <w14:schemeClr w14:val="tx1"/>
            </w14:solidFill>
          </w14:textFill>
        </w:rPr>
      </w:pPr>
      <w:r>
        <w:rPr>
          <w:rFonts w:hint="default" w:ascii="Times New Roman" w:hAnsi="Times New Roman" w:eastAsia="黑体" w:cs="黑体"/>
          <w:b w:val="0"/>
          <w:bCs w:val="0"/>
          <w:color w:val="000000" w:themeColor="text1"/>
          <w:sz w:val="32"/>
          <w:szCs w:val="32"/>
          <w14:textFill>
            <w14:solidFill>
              <w14:schemeClr w14:val="tx1"/>
            </w14:solidFill>
          </w14:textFill>
        </w:rPr>
        <w:t>第四章 医药企业商业贿赂风险处置</w:t>
      </w:r>
      <w:bookmarkEnd w:id="17"/>
      <w:bookmarkEnd w:id="18"/>
    </w:p>
    <w:p>
      <w:pPr>
        <w:pStyle w:val="3"/>
        <w:keepNext w:val="0"/>
        <w:keepLines w:val="0"/>
        <w:overflowPunct w:val="0"/>
        <w:adjustRightInd w:val="0"/>
        <w:snapToGrid w:val="0"/>
        <w:spacing w:before="0" w:after="0" w:line="598" w:lineRule="exact"/>
        <w:jc w:val="center"/>
        <w:outlineLvl w:val="1"/>
        <w:rPr>
          <w:rFonts w:hint="default" w:ascii="Times New Roman" w:hAnsi="Times New Roman" w:eastAsia="黑体" w:cs="黑体"/>
          <w:b w:val="0"/>
          <w:bCs w:val="0"/>
          <w:color w:val="000000" w:themeColor="text1"/>
          <w:sz w:val="32"/>
          <w:szCs w:val="32"/>
          <w14:textFill>
            <w14:solidFill>
              <w14:schemeClr w14:val="tx1"/>
            </w14:solidFill>
          </w14:textFill>
        </w:rPr>
      </w:pPr>
      <w:bookmarkStart w:id="19" w:name="_Toc153726519"/>
      <w:bookmarkStart w:id="20" w:name="_Toc153618337"/>
      <w:r>
        <w:rPr>
          <w:rFonts w:hint="default" w:ascii="Times New Roman" w:hAnsi="Times New Roman" w:eastAsia="黑体" w:cs="黑体"/>
          <w:b w:val="0"/>
          <w:bCs w:val="0"/>
          <w:color w:val="000000" w:themeColor="text1"/>
          <w:sz w:val="32"/>
          <w:szCs w:val="32"/>
          <w14:textFill>
            <w14:solidFill>
              <w14:schemeClr w14:val="tx1"/>
            </w14:solidFill>
          </w14:textFill>
        </w:rPr>
        <w:t>第一节 风险内部处置</w:t>
      </w:r>
      <w:bookmarkEnd w:id="19"/>
      <w:bookmarkEnd w:id="20"/>
    </w:p>
    <w:p>
      <w:pPr>
        <w:spacing w:line="598" w:lineRule="exact"/>
        <w:jc w:val="center"/>
        <w:rPr>
          <w:rFonts w:hint="eastAsia" w:ascii="Times New Roman" w:hAnsi="Times New Roman" w:eastAsia="宋体"/>
          <w:color w:val="000000" w:themeColor="text1"/>
          <w14:textFill>
            <w14:solidFill>
              <w14:schemeClr w14:val="tx1"/>
            </w14:solidFill>
          </w14:textFill>
        </w:rPr>
      </w:pPr>
    </w:p>
    <w:p>
      <w:pPr>
        <w:pStyle w:val="15"/>
        <w:numPr>
          <w:ilvl w:val="0"/>
          <w:numId w:val="1"/>
        </w:numPr>
        <w:overflowPunct w:val="0"/>
        <w:adjustRightInd w:val="0"/>
        <w:snapToGrid w:val="0"/>
        <w:spacing w:line="598" w:lineRule="exact"/>
        <w:ind w:left="0" w:firstLine="64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医药企业发现经营行为存在商业贿赂风险的，应当立即停止风险行为，并采取以下措施</w:t>
      </w:r>
      <w:r>
        <w:rPr>
          <w:rFonts w:hint="eastAsia" w:ascii="Times New Roman" w:hAnsi="Times New Roman" w:eastAsia="仿宋_GB2312" w:cs="仿宋_GB2312"/>
          <w:color w:val="000000" w:themeColor="text1"/>
          <w:sz w:val="32"/>
          <w:szCs w:val="32"/>
          <w:lang w:eastAsia="zh-CN"/>
          <w14:textFill>
            <w14:solidFill>
              <w14:schemeClr w14:val="tx1"/>
            </w14:solidFill>
          </w14:textFill>
        </w:rPr>
        <w:t>：</w:t>
      </w:r>
    </w:p>
    <w:p>
      <w:pPr>
        <w:overflowPunct w:val="0"/>
        <w:adjustRightInd w:val="0"/>
        <w:snapToGrid w:val="0"/>
        <w:spacing w:line="598" w:lineRule="exact"/>
        <w:ind w:firstLine="640" w:firstLineChars="200"/>
        <w:rPr>
          <w:rFonts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（一）医药企业可自行或者聘用第三方专业机构依法开展调查，调查内容应当尽量真实、客观。</w:t>
      </w:r>
    </w:p>
    <w:p>
      <w:pPr>
        <w:overflowPunct w:val="0"/>
        <w:adjustRightInd w:val="0"/>
        <w:snapToGrid w:val="0"/>
        <w:spacing w:line="598" w:lineRule="exact"/>
        <w:ind w:firstLine="640" w:firstLineChars="200"/>
        <w:rPr>
          <w:rFonts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调查方式包括但不限于核实风险事项、访谈涉事及知情人员、审查涉事资料，妥善留存证据材料，防止灭失或被恶意篡改、删除</w:t>
      </w:r>
      <w:r>
        <w:rPr>
          <w:rFonts w:hint="eastAsia" w:ascii="Times New Roman" w:hAnsi="Times New Roman" w:eastAsia="仿宋_GB2312" w:cs="仿宋_GB2312"/>
          <w:color w:val="000000" w:themeColor="text1"/>
          <w:sz w:val="32"/>
          <w:szCs w:val="32"/>
          <w:lang w:eastAsia="zh-CN"/>
          <w14:textFill>
            <w14:solidFill>
              <w14:schemeClr w14:val="tx1"/>
            </w14:solidFill>
          </w14:textFill>
        </w:rPr>
        <w:t>。</w:t>
      </w:r>
    </w:p>
    <w:p>
      <w:pPr>
        <w:overflowPunct w:val="0"/>
        <w:adjustRightInd w:val="0"/>
        <w:snapToGrid w:val="0"/>
        <w:spacing w:line="598" w:lineRule="exact"/>
        <w:ind w:firstLine="640" w:firstLineChars="20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（二）医药企业根据内部调查结果，对涉事行为的风险等级、影响范围、影响程度等进行评估，形成评估结果。</w:t>
      </w:r>
    </w:p>
    <w:p>
      <w:pPr>
        <w:pStyle w:val="15"/>
        <w:numPr>
          <w:ilvl w:val="0"/>
          <w:numId w:val="1"/>
        </w:numPr>
        <w:overflowPunct w:val="0"/>
        <w:adjustRightInd w:val="0"/>
        <w:snapToGrid w:val="0"/>
        <w:spacing w:line="598" w:lineRule="exact"/>
        <w:ind w:left="0" w:firstLine="64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医药</w:t>
      </w:r>
      <w:r>
        <w:rPr>
          <w:rFonts w:hint="eastAsia" w:ascii="Times New Roman" w:hAnsi="Times New Roman" w:eastAsia="仿宋_GB2312" w:cs="仿宋_GB2312"/>
          <w:color w:val="000000" w:themeColor="text1"/>
          <w:sz w:val="32"/>
          <w:szCs w:val="32"/>
          <w14:textFill>
            <w14:solidFill>
              <w14:schemeClr w14:val="tx1"/>
            </w14:solidFill>
          </w14:textFill>
        </w:rPr>
        <w:t>企业应当根据风险评估结果，及时采取有效措施，包括但不限于对涉事人员及第三方等进行责任追究、消除负面影响、修订规章制度、完善管理流程、加强合规培训，健全防范商业贿赂风险合规管理体系。</w:t>
      </w:r>
    </w:p>
    <w:p>
      <w:pPr>
        <w:overflowPunct w:val="0"/>
        <w:adjustRightInd w:val="0"/>
        <w:snapToGrid w:val="0"/>
        <w:spacing w:line="598" w:lineRule="exact"/>
        <w:ind w:firstLine="640" w:firstLineChars="200"/>
        <w:rPr>
          <w:rFonts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倡导医药企业结合处置结果，通过持续改进、监控、评估和审查等措施完善长效机制，避免类似风险再次发生。</w:t>
      </w:r>
    </w:p>
    <w:p>
      <w:pPr>
        <w:pStyle w:val="3"/>
        <w:keepNext w:val="0"/>
        <w:keepLines w:val="0"/>
        <w:overflowPunct w:val="0"/>
        <w:adjustRightInd w:val="0"/>
        <w:snapToGrid w:val="0"/>
        <w:spacing w:before="0" w:after="0" w:line="598" w:lineRule="exact"/>
        <w:jc w:val="center"/>
        <w:outlineLvl w:val="9"/>
        <w:rPr>
          <w:rFonts w:hint="default" w:ascii="Times New Roman" w:hAnsi="Times New Roman" w:eastAsia="黑体" w:cs="黑体"/>
          <w:b w:val="0"/>
          <w:bCs w:val="0"/>
          <w:color w:val="000000" w:themeColor="text1"/>
          <w:sz w:val="32"/>
          <w:szCs w:val="32"/>
          <w14:textFill>
            <w14:solidFill>
              <w14:schemeClr w14:val="tx1"/>
            </w14:solidFill>
          </w14:textFill>
        </w:rPr>
      </w:pPr>
    </w:p>
    <w:p>
      <w:pPr>
        <w:pStyle w:val="3"/>
        <w:keepNext w:val="0"/>
        <w:keepLines w:val="0"/>
        <w:overflowPunct w:val="0"/>
        <w:adjustRightInd w:val="0"/>
        <w:snapToGrid w:val="0"/>
        <w:spacing w:before="0" w:after="0" w:line="598" w:lineRule="exact"/>
        <w:jc w:val="center"/>
        <w:outlineLvl w:val="1"/>
        <w:rPr>
          <w:rFonts w:hint="default" w:ascii="Times New Roman" w:hAnsi="Times New Roman" w:eastAsia="黑体" w:cs="黑体"/>
          <w:b w:val="0"/>
          <w:bCs w:val="0"/>
          <w:color w:val="000000" w:themeColor="text1"/>
          <w:sz w:val="32"/>
          <w:szCs w:val="32"/>
          <w14:textFill>
            <w14:solidFill>
              <w14:schemeClr w14:val="tx1"/>
            </w14:solidFill>
          </w14:textFill>
        </w:rPr>
      </w:pPr>
      <w:r>
        <w:rPr>
          <w:rFonts w:hint="default" w:ascii="Times New Roman" w:hAnsi="Times New Roman" w:eastAsia="黑体" w:cs="黑体"/>
          <w:b w:val="0"/>
          <w:bCs w:val="0"/>
          <w:color w:val="000000" w:themeColor="text1"/>
          <w:sz w:val="32"/>
          <w:szCs w:val="32"/>
          <w14:textFill>
            <w14:solidFill>
              <w14:schemeClr w14:val="tx1"/>
            </w14:solidFill>
          </w14:textFill>
        </w:rPr>
        <w:t xml:space="preserve">第二节 </w:t>
      </w:r>
      <w:r>
        <w:rPr>
          <w:rFonts w:hint="default" w:ascii="Times New Roman" w:hAnsi="Times New Roman" w:eastAsia="黑体" w:cs="黑体"/>
          <w:b w:val="0"/>
          <w:bCs w:val="0"/>
          <w:color w:val="000000" w:themeColor="text1"/>
          <w:sz w:val="32"/>
          <w:szCs w:val="32"/>
          <w:lang w:eastAsia="zh-CN"/>
          <w14:textFill>
            <w14:solidFill>
              <w14:schemeClr w14:val="tx1"/>
            </w14:solidFill>
          </w14:textFill>
        </w:rPr>
        <w:t>配合监管执法</w:t>
      </w:r>
    </w:p>
    <w:p>
      <w:pPr>
        <w:pStyle w:val="3"/>
        <w:keepNext w:val="0"/>
        <w:keepLines w:val="0"/>
        <w:overflowPunct w:val="0"/>
        <w:adjustRightInd w:val="0"/>
        <w:snapToGrid w:val="0"/>
        <w:spacing w:before="0" w:after="0" w:line="598" w:lineRule="exact"/>
        <w:jc w:val="center"/>
        <w:outlineLvl w:val="9"/>
        <w:rPr>
          <w:rFonts w:hint="default" w:ascii="Times New Roman" w:hAnsi="Times New Roman" w:eastAsia="黑体" w:cs="黑体"/>
          <w:b w:val="0"/>
          <w:bCs w:val="0"/>
          <w:color w:val="000000" w:themeColor="text1"/>
          <w:sz w:val="32"/>
          <w:szCs w:val="32"/>
          <w:lang w:eastAsia="zh-CN"/>
          <w14:textFill>
            <w14:solidFill>
              <w14:schemeClr w14:val="tx1"/>
            </w14:solidFill>
          </w14:textFill>
        </w:rPr>
      </w:pPr>
    </w:p>
    <w:p>
      <w:pPr>
        <w:pStyle w:val="15"/>
        <w:numPr>
          <w:ilvl w:val="0"/>
          <w:numId w:val="1"/>
        </w:numPr>
        <w:overflowPunct w:val="0"/>
        <w:adjustRightInd w:val="0"/>
        <w:snapToGrid w:val="0"/>
        <w:spacing w:line="598" w:lineRule="exact"/>
        <w:ind w:left="0" w:firstLine="64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lang w:eastAsia="zh-CN"/>
          <w14:textFill>
            <w14:solidFill>
              <w14:schemeClr w14:val="tx1"/>
            </w14:solidFill>
          </w14:textFill>
        </w:rPr>
        <w:t>鼓励医药</w:t>
      </w:r>
      <w:r>
        <w:rPr>
          <w:rFonts w:hint="eastAsia" w:ascii="Times New Roman" w:hAnsi="Times New Roman" w:eastAsia="仿宋_GB2312" w:cs="仿宋_GB2312"/>
          <w:color w:val="000000" w:themeColor="text1"/>
          <w:sz w:val="32"/>
          <w:szCs w:val="32"/>
          <w14:textFill>
            <w14:solidFill>
              <w14:schemeClr w14:val="tx1"/>
            </w14:solidFill>
          </w14:textFill>
        </w:rPr>
        <w:t>企业</w:t>
      </w:r>
      <w:r>
        <w:rPr>
          <w:rFonts w:hint="eastAsia" w:ascii="Times New Roman" w:hAnsi="Times New Roman" w:eastAsia="仿宋_GB2312" w:cs="仿宋_GB2312"/>
          <w:color w:val="000000" w:themeColor="text1"/>
          <w:sz w:val="32"/>
          <w:szCs w:val="32"/>
          <w:lang w:eastAsia="zh-CN"/>
          <w14:textFill>
            <w14:solidFill>
              <w14:schemeClr w14:val="tx1"/>
            </w14:solidFill>
          </w14:textFill>
        </w:rPr>
        <w:t>在</w:t>
      </w:r>
      <w:r>
        <w:rPr>
          <w:rFonts w:hint="eastAsia" w:ascii="Times New Roman" w:hAnsi="Times New Roman" w:eastAsia="仿宋_GB2312" w:cs="仿宋_GB2312"/>
          <w:color w:val="000000" w:themeColor="text1"/>
          <w:sz w:val="32"/>
          <w:szCs w:val="32"/>
          <w14:textFill>
            <w14:solidFill>
              <w14:schemeClr w14:val="tx1"/>
            </w14:solidFill>
          </w14:textFill>
        </w:rPr>
        <w:t>发现经营行为涉嫌商业贿赂</w:t>
      </w:r>
      <w:r>
        <w:rPr>
          <w:rFonts w:hint="eastAsia" w:ascii="Times New Roman" w:hAnsi="Times New Roman" w:eastAsia="仿宋_GB2312" w:cs="仿宋_GB2312"/>
          <w:color w:val="000000" w:themeColor="text1"/>
          <w:sz w:val="32"/>
          <w:szCs w:val="32"/>
          <w:lang w:eastAsia="zh-CN"/>
          <w14:textFill>
            <w14:solidFill>
              <w14:schemeClr w14:val="tx1"/>
            </w14:solidFill>
          </w14:textFill>
        </w:rPr>
        <w:t>时</w:t>
      </w:r>
      <w:r>
        <w:rPr>
          <w:rFonts w:hint="eastAsia" w:ascii="Times New Roman" w:hAnsi="Times New Roman" w:eastAsia="仿宋_GB2312" w:cs="仿宋_GB2312"/>
          <w:color w:val="000000" w:themeColor="text1"/>
          <w:sz w:val="32"/>
          <w:szCs w:val="32"/>
          <w14:textFill>
            <w14:solidFill>
              <w14:schemeClr w14:val="tx1"/>
            </w14:solidFill>
          </w14:textFill>
        </w:rPr>
        <w:t>，主动向</w:t>
      </w:r>
      <w:r>
        <w:rPr>
          <w:rFonts w:hint="eastAsia" w:ascii="Times New Roman" w:hAnsi="Times New Roman" w:eastAsia="仿宋_GB2312" w:cs="仿宋_GB2312"/>
          <w:color w:val="000000" w:themeColor="text1"/>
          <w:sz w:val="32"/>
          <w:szCs w:val="32"/>
          <w:lang w:eastAsia="zh-CN"/>
          <w14:textFill>
            <w14:solidFill>
              <w14:schemeClr w14:val="tx1"/>
            </w14:solidFill>
          </w14:textFill>
        </w:rPr>
        <w:t>市场监管部门</w:t>
      </w:r>
      <w:r>
        <w:rPr>
          <w:rFonts w:hint="eastAsia" w:ascii="Times New Roman" w:hAnsi="Times New Roman" w:eastAsia="仿宋_GB2312" w:cs="仿宋_GB2312"/>
          <w:color w:val="000000" w:themeColor="text1"/>
          <w:sz w:val="32"/>
          <w:szCs w:val="32"/>
          <w14:textFill>
            <w14:solidFill>
              <w14:schemeClr w14:val="tx1"/>
            </w14:solidFill>
          </w14:textFill>
        </w:rPr>
        <w:t>报告并附相关证明材料。</w:t>
      </w:r>
      <w:r>
        <w:rPr>
          <w:rFonts w:ascii="Times New Roman" w:hAnsi="Times New Roman" w:eastAsia="仿宋_GB2312" w:cs="仿宋_GB2312"/>
          <w:color w:val="000000" w:themeColor="text1"/>
          <w:sz w:val="32"/>
          <w:szCs w:val="32"/>
          <w14:textFill>
            <w14:solidFill>
              <w14:schemeClr w14:val="tx1"/>
            </w14:solidFill>
          </w14:textFill>
        </w:rPr>
        <w:t>主动报告应当</w:t>
      </w:r>
      <w:r>
        <w:rPr>
          <w:rFonts w:hint="eastAsia" w:ascii="Times New Roman" w:hAnsi="Times New Roman" w:eastAsia="仿宋_GB2312" w:cs="仿宋_GB2312"/>
          <w:color w:val="000000" w:themeColor="text1"/>
          <w:sz w:val="32"/>
          <w:szCs w:val="32"/>
          <w14:textFill>
            <w14:solidFill>
              <w14:schemeClr w14:val="tx1"/>
            </w14:solidFill>
          </w14:textFill>
        </w:rPr>
        <w:t>包括以下内容：</w:t>
      </w:r>
    </w:p>
    <w:p>
      <w:pPr>
        <w:pStyle w:val="15"/>
        <w:numPr>
          <w:ilvl w:val="-1"/>
          <w:numId w:val="0"/>
        </w:numPr>
        <w:overflowPunct w:val="0"/>
        <w:adjustRightInd w:val="0"/>
        <w:snapToGrid w:val="0"/>
        <w:spacing w:line="598" w:lineRule="exact"/>
        <w:ind w:left="0" w:firstLine="640" w:firstLineChars="200"/>
        <w:outlineLvl w:val="2"/>
        <w:rPr>
          <w:rFonts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lang w:eastAsia="zh-CN"/>
          <w14:textFill>
            <w14:solidFill>
              <w14:schemeClr w14:val="tx1"/>
            </w14:solidFill>
          </w14:textFill>
        </w:rPr>
        <w:t>（一）</w:t>
      </w:r>
      <w:r>
        <w:rPr>
          <w:rFonts w:hint="eastAsia" w:ascii="Times New Roman" w:hAnsi="Times New Roman" w:eastAsia="仿宋_GB2312" w:cs="仿宋_GB2312"/>
          <w:color w:val="000000" w:themeColor="text1"/>
          <w:sz w:val="32"/>
          <w:szCs w:val="32"/>
          <w14:textFill>
            <w14:solidFill>
              <w14:schemeClr w14:val="tx1"/>
            </w14:solidFill>
          </w14:textFill>
        </w:rPr>
        <w:t>事项来源、调查经过等情况；</w:t>
      </w:r>
    </w:p>
    <w:p>
      <w:pPr>
        <w:pStyle w:val="15"/>
        <w:numPr>
          <w:ilvl w:val="-1"/>
          <w:numId w:val="0"/>
        </w:numPr>
        <w:overflowPunct w:val="0"/>
        <w:adjustRightInd w:val="0"/>
        <w:snapToGrid w:val="0"/>
        <w:spacing w:line="598" w:lineRule="exact"/>
        <w:ind w:left="0" w:firstLine="640" w:firstLineChars="200"/>
        <w:outlineLvl w:val="2"/>
        <w:rPr>
          <w:rFonts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lang w:eastAsia="zh-CN"/>
          <w14:textFill>
            <w14:solidFill>
              <w14:schemeClr w14:val="tx1"/>
            </w14:solidFill>
          </w14:textFill>
        </w:rPr>
        <w:t>（二）</w:t>
      </w:r>
      <w:r>
        <w:rPr>
          <w:rFonts w:hint="eastAsia" w:ascii="Times New Roman" w:hAnsi="Times New Roman" w:eastAsia="仿宋_GB2312" w:cs="仿宋_GB2312"/>
          <w:color w:val="000000" w:themeColor="text1"/>
          <w:sz w:val="32"/>
          <w:szCs w:val="32"/>
          <w14:textFill>
            <w14:solidFill>
              <w14:schemeClr w14:val="tx1"/>
            </w14:solidFill>
          </w14:textFill>
        </w:rPr>
        <w:t>涉事主体情况；</w:t>
      </w:r>
    </w:p>
    <w:p>
      <w:pPr>
        <w:pStyle w:val="15"/>
        <w:numPr>
          <w:ilvl w:val="-1"/>
          <w:numId w:val="0"/>
        </w:numPr>
        <w:overflowPunct w:val="0"/>
        <w:adjustRightInd w:val="0"/>
        <w:snapToGrid w:val="0"/>
        <w:spacing w:line="598" w:lineRule="exact"/>
        <w:ind w:left="0" w:firstLine="640" w:firstLineChars="200"/>
        <w:outlineLvl w:val="2"/>
        <w:rPr>
          <w:rFonts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lang w:eastAsia="zh-CN"/>
          <w14:textFill>
            <w14:solidFill>
              <w14:schemeClr w14:val="tx1"/>
            </w14:solidFill>
          </w14:textFill>
        </w:rPr>
        <w:t>（三）</w:t>
      </w:r>
      <w:r>
        <w:rPr>
          <w:rFonts w:ascii="Times New Roman" w:hAnsi="Times New Roman" w:eastAsia="仿宋_GB2312" w:cs="仿宋_GB2312"/>
          <w:color w:val="000000" w:themeColor="text1"/>
          <w:sz w:val="32"/>
          <w:szCs w:val="32"/>
          <w14:textFill>
            <w14:solidFill>
              <w14:schemeClr w14:val="tx1"/>
            </w14:solidFill>
          </w14:textFill>
        </w:rPr>
        <w:t>目前掌握的事实</w:t>
      </w:r>
      <w:r>
        <w:rPr>
          <w:rFonts w:hint="eastAsia" w:ascii="Times New Roman" w:hAnsi="Times New Roman" w:eastAsia="仿宋_GB2312" w:cs="仿宋_GB2312"/>
          <w:color w:val="000000" w:themeColor="text1"/>
          <w:sz w:val="32"/>
          <w:szCs w:val="32"/>
          <w14:textFill>
            <w14:solidFill>
              <w14:schemeClr w14:val="tx1"/>
            </w14:solidFill>
          </w14:textFill>
        </w:rPr>
        <w:t>；</w:t>
      </w:r>
    </w:p>
    <w:p>
      <w:pPr>
        <w:pStyle w:val="15"/>
        <w:numPr>
          <w:ilvl w:val="-1"/>
          <w:numId w:val="0"/>
        </w:numPr>
        <w:overflowPunct w:val="0"/>
        <w:adjustRightInd w:val="0"/>
        <w:snapToGrid w:val="0"/>
        <w:spacing w:line="598" w:lineRule="exact"/>
        <w:ind w:left="0" w:firstLine="640" w:firstLineChars="200"/>
        <w:outlineLvl w:val="2"/>
        <w:rPr>
          <w:rFonts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lang w:eastAsia="zh-CN"/>
          <w14:textFill>
            <w14:solidFill>
              <w14:schemeClr w14:val="tx1"/>
            </w14:solidFill>
          </w14:textFill>
        </w:rPr>
        <w:t>（四）</w:t>
      </w:r>
      <w:r>
        <w:rPr>
          <w:rFonts w:ascii="Times New Roman" w:hAnsi="Times New Roman" w:eastAsia="仿宋_GB2312" w:cs="仿宋_GB2312"/>
          <w:color w:val="000000" w:themeColor="text1"/>
          <w:sz w:val="32"/>
          <w:szCs w:val="32"/>
          <w14:textFill>
            <w14:solidFill>
              <w14:schemeClr w14:val="tx1"/>
            </w14:solidFill>
          </w14:textFill>
        </w:rPr>
        <w:t>已采取的处置措施</w:t>
      </w:r>
      <w:r>
        <w:rPr>
          <w:rFonts w:hint="eastAsia" w:ascii="Times New Roman" w:hAnsi="Times New Roman" w:eastAsia="仿宋_GB2312" w:cs="仿宋_GB2312"/>
          <w:color w:val="000000" w:themeColor="text1"/>
          <w:sz w:val="32"/>
          <w:szCs w:val="32"/>
          <w14:textFill>
            <w14:solidFill>
              <w14:schemeClr w14:val="tx1"/>
            </w14:solidFill>
          </w14:textFill>
        </w:rPr>
        <w:t>；</w:t>
      </w:r>
    </w:p>
    <w:p>
      <w:pPr>
        <w:pStyle w:val="15"/>
        <w:numPr>
          <w:ilvl w:val="-1"/>
          <w:numId w:val="0"/>
        </w:numPr>
        <w:overflowPunct w:val="0"/>
        <w:adjustRightInd w:val="0"/>
        <w:snapToGrid w:val="0"/>
        <w:spacing w:line="598" w:lineRule="exact"/>
        <w:ind w:left="0" w:firstLine="640" w:firstLineChars="200"/>
        <w:outlineLvl w:val="2"/>
        <w:rPr>
          <w:rFonts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lang w:eastAsia="zh-CN"/>
          <w14:textFill>
            <w14:solidFill>
              <w14:schemeClr w14:val="tx1"/>
            </w14:solidFill>
          </w14:textFill>
        </w:rPr>
        <w:t>（五）</w:t>
      </w:r>
      <w:r>
        <w:rPr>
          <w:rFonts w:hint="eastAsia" w:ascii="Times New Roman" w:hAnsi="Times New Roman" w:eastAsia="仿宋_GB2312" w:cs="仿宋_GB2312"/>
          <w:color w:val="000000" w:themeColor="text1"/>
          <w:sz w:val="32"/>
          <w:szCs w:val="32"/>
          <w14:textFill>
            <w14:solidFill>
              <w14:schemeClr w14:val="tx1"/>
            </w14:solidFill>
          </w14:textFill>
        </w:rPr>
        <w:t>防范商业贿赂风险合规管理体系的建立及实施情况；</w:t>
      </w:r>
    </w:p>
    <w:p>
      <w:pPr>
        <w:pStyle w:val="15"/>
        <w:numPr>
          <w:ilvl w:val="-1"/>
          <w:numId w:val="0"/>
        </w:numPr>
        <w:overflowPunct w:val="0"/>
        <w:adjustRightInd w:val="0"/>
        <w:snapToGrid w:val="0"/>
        <w:spacing w:line="598" w:lineRule="exact"/>
        <w:ind w:left="0" w:firstLine="640" w:firstLineChars="200"/>
        <w:outlineLvl w:val="2"/>
        <w:rPr>
          <w:rFonts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lang w:eastAsia="zh-CN"/>
          <w14:textFill>
            <w14:solidFill>
              <w14:schemeClr w14:val="tx1"/>
            </w14:solidFill>
          </w14:textFill>
        </w:rPr>
        <w:t>（六）</w:t>
      </w:r>
      <w:r>
        <w:rPr>
          <w:rFonts w:hint="eastAsia" w:ascii="Times New Roman" w:hAnsi="Times New Roman" w:eastAsia="仿宋_GB2312" w:cs="仿宋_GB2312"/>
          <w:color w:val="000000" w:themeColor="text1"/>
          <w:sz w:val="32"/>
          <w:szCs w:val="32"/>
          <w14:textFill>
            <w14:solidFill>
              <w14:schemeClr w14:val="tx1"/>
            </w14:solidFill>
          </w14:textFill>
        </w:rPr>
        <w:t>其他需要报告的事项。</w:t>
      </w:r>
    </w:p>
    <w:p>
      <w:pPr>
        <w:pStyle w:val="15"/>
        <w:numPr>
          <w:ilvl w:val="0"/>
          <w:numId w:val="1"/>
        </w:numPr>
        <w:overflowPunct w:val="0"/>
        <w:adjustRightInd w:val="0"/>
        <w:snapToGrid w:val="0"/>
        <w:spacing w:line="598" w:lineRule="exact"/>
        <w:ind w:left="0" w:firstLine="64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lang w:eastAsia="zh-CN"/>
          <w14:textFill>
            <w14:solidFill>
              <w14:schemeClr w14:val="tx1"/>
            </w14:solidFill>
          </w14:textFill>
        </w:rPr>
        <w:t>医药</w:t>
      </w:r>
      <w:r>
        <w:rPr>
          <w:rFonts w:hint="eastAsia" w:ascii="Times New Roman" w:hAnsi="Times New Roman" w:eastAsia="仿宋_GB2312" w:cs="仿宋_GB2312"/>
          <w:color w:val="000000" w:themeColor="text1"/>
          <w:sz w:val="32"/>
          <w:szCs w:val="32"/>
          <w14:textFill>
            <w14:solidFill>
              <w14:schemeClr w14:val="tx1"/>
            </w14:solidFill>
          </w14:textFill>
        </w:rPr>
        <w:t>企业受到</w:t>
      </w:r>
      <w:r>
        <w:rPr>
          <w:rFonts w:hint="eastAsia" w:ascii="Times New Roman" w:hAnsi="Times New Roman" w:eastAsia="仿宋_GB2312" w:cs="仿宋_GB2312"/>
          <w:color w:val="000000" w:themeColor="text1"/>
          <w:sz w:val="32"/>
          <w:szCs w:val="32"/>
          <w:lang w:eastAsia="zh-CN"/>
          <w14:textFill>
            <w14:solidFill>
              <w14:schemeClr w14:val="tx1"/>
            </w14:solidFill>
          </w14:textFill>
        </w:rPr>
        <w:t>市场监管部门</w:t>
      </w:r>
      <w:r>
        <w:rPr>
          <w:rFonts w:hint="eastAsia" w:ascii="Times New Roman" w:hAnsi="Times New Roman" w:eastAsia="仿宋_GB2312" w:cs="仿宋_GB2312"/>
          <w:color w:val="000000" w:themeColor="text1"/>
          <w:sz w:val="32"/>
          <w:szCs w:val="32"/>
          <w14:textFill>
            <w14:solidFill>
              <w14:schemeClr w14:val="tx1"/>
            </w14:solidFill>
          </w14:textFill>
        </w:rPr>
        <w:t>调查时，应当</w:t>
      </w:r>
      <w:r>
        <w:rPr>
          <w:rFonts w:hint="eastAsia" w:ascii="Times New Roman" w:hAnsi="Times New Roman" w:eastAsia="仿宋_GB2312" w:cs="仿宋_GB2312"/>
          <w:color w:val="000000" w:themeColor="text1"/>
          <w:sz w:val="32"/>
          <w:szCs w:val="32"/>
          <w:lang w:eastAsia="zh-CN"/>
          <w14:textFill>
            <w14:solidFill>
              <w14:schemeClr w14:val="tx1"/>
            </w14:solidFill>
          </w14:textFill>
        </w:rPr>
        <w:t>根据市场监管部门要求</w:t>
      </w:r>
      <w:r>
        <w:rPr>
          <w:rFonts w:hint="eastAsia" w:ascii="Times New Roman" w:hAnsi="Times New Roman" w:eastAsia="仿宋_GB2312" w:cs="仿宋_GB2312"/>
          <w:color w:val="000000" w:themeColor="text1"/>
          <w:sz w:val="32"/>
          <w:szCs w:val="32"/>
          <w14:textFill>
            <w14:solidFill>
              <w14:schemeClr w14:val="tx1"/>
            </w14:solidFill>
          </w14:textFill>
        </w:rPr>
        <w:t>配合调查工作，如实提供有关资料和真实情况。不得实施以下行为：</w:t>
      </w:r>
    </w:p>
    <w:p>
      <w:pPr>
        <w:pStyle w:val="15"/>
        <w:overflowPunct w:val="0"/>
        <w:adjustRightInd w:val="0"/>
        <w:snapToGrid w:val="0"/>
        <w:spacing w:line="598" w:lineRule="exact"/>
        <w:ind w:firstLine="64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（一）拒绝、阻碍执法人员进入经营场所检查；</w:t>
      </w:r>
    </w:p>
    <w:p>
      <w:pPr>
        <w:pStyle w:val="15"/>
        <w:overflowPunct w:val="0"/>
        <w:adjustRightInd w:val="0"/>
        <w:snapToGrid w:val="0"/>
        <w:spacing w:line="598" w:lineRule="exact"/>
        <w:ind w:firstLine="64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 xml:space="preserve">（二）拒绝接受询问、提供与调查行为有关的资料； </w:t>
      </w:r>
    </w:p>
    <w:p>
      <w:pPr>
        <w:pStyle w:val="15"/>
        <w:overflowPunct w:val="0"/>
        <w:adjustRightInd w:val="0"/>
        <w:snapToGrid w:val="0"/>
        <w:spacing w:line="598" w:lineRule="exact"/>
        <w:ind w:firstLine="64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（三）假借涉及商业秘密、负责人或者相关人员不在场、未经授权、未履行内部审批程序等名义阻碍调查；</w:t>
      </w:r>
    </w:p>
    <w:p>
      <w:pPr>
        <w:pStyle w:val="15"/>
        <w:overflowPunct w:val="0"/>
        <w:adjustRightInd w:val="0"/>
        <w:snapToGrid w:val="0"/>
        <w:spacing w:line="598" w:lineRule="exact"/>
        <w:ind w:firstLine="64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（四）隐匿、销毁、转移证据，或者指使、帮助相关方从事上述行为；</w:t>
      </w:r>
    </w:p>
    <w:p>
      <w:pPr>
        <w:pStyle w:val="15"/>
        <w:overflowPunct w:val="0"/>
        <w:adjustRightInd w:val="0"/>
        <w:snapToGrid w:val="0"/>
        <w:spacing w:line="598" w:lineRule="exact"/>
        <w:ind w:firstLine="64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（五）提供虚假材料、信息；</w:t>
      </w:r>
    </w:p>
    <w:p>
      <w:pPr>
        <w:pStyle w:val="15"/>
        <w:overflowPunct w:val="0"/>
        <w:adjustRightInd w:val="0"/>
        <w:snapToGrid w:val="0"/>
        <w:spacing w:line="598" w:lineRule="exact"/>
        <w:ind w:firstLine="64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（六）对配合调查、主动提供证据资料的人员及相关方实施打击报复；</w:t>
      </w:r>
    </w:p>
    <w:p>
      <w:pPr>
        <w:pStyle w:val="15"/>
        <w:overflowPunct w:val="0"/>
        <w:adjustRightInd w:val="0"/>
        <w:snapToGrid w:val="0"/>
        <w:spacing w:line="598" w:lineRule="exact"/>
        <w:ind w:firstLine="64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（七）其他拒绝、阻碍调查的行为。</w:t>
      </w:r>
    </w:p>
    <w:p>
      <w:pPr>
        <w:pStyle w:val="15"/>
        <w:numPr>
          <w:ilvl w:val="0"/>
          <w:numId w:val="1"/>
        </w:numPr>
        <w:overflowPunct w:val="0"/>
        <w:adjustRightInd w:val="0"/>
        <w:snapToGrid w:val="0"/>
        <w:spacing w:line="598" w:lineRule="exact"/>
        <w:ind w:left="0" w:firstLine="64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lang w:eastAsia="zh-CN"/>
          <w14:textFill>
            <w14:solidFill>
              <w14:schemeClr w14:val="tx1"/>
            </w14:solidFill>
          </w14:textFill>
        </w:rPr>
        <w:t>医药</w:t>
      </w:r>
      <w:r>
        <w:rPr>
          <w:rFonts w:hint="eastAsia" w:ascii="Times New Roman" w:hAnsi="Times New Roman" w:eastAsia="仿宋_GB2312" w:cs="仿宋_GB2312"/>
          <w:color w:val="000000" w:themeColor="text1"/>
          <w:sz w:val="32"/>
          <w:szCs w:val="32"/>
          <w14:textFill>
            <w14:solidFill>
              <w14:schemeClr w14:val="tx1"/>
            </w14:solidFill>
          </w14:textFill>
        </w:rPr>
        <w:t>企业配合</w:t>
      </w:r>
      <w:r>
        <w:rPr>
          <w:rFonts w:hint="eastAsia" w:ascii="Times New Roman" w:hAnsi="Times New Roman" w:eastAsia="仿宋_GB2312" w:cs="仿宋_GB2312"/>
          <w:color w:val="000000" w:themeColor="text1"/>
          <w:sz w:val="32"/>
          <w:szCs w:val="32"/>
          <w:lang w:eastAsia="zh-CN"/>
          <w14:textFill>
            <w14:solidFill>
              <w14:schemeClr w14:val="tx1"/>
            </w14:solidFill>
          </w14:textFill>
        </w:rPr>
        <w:t>市场监管部门</w:t>
      </w:r>
      <w:r>
        <w:rPr>
          <w:rFonts w:hint="eastAsia" w:ascii="Times New Roman" w:hAnsi="Times New Roman" w:eastAsia="仿宋_GB2312" w:cs="仿宋_GB2312"/>
          <w:color w:val="000000" w:themeColor="text1"/>
          <w:sz w:val="32"/>
          <w:szCs w:val="32"/>
          <w14:textFill>
            <w14:solidFill>
              <w14:schemeClr w14:val="tx1"/>
            </w14:solidFill>
          </w14:textFill>
        </w:rPr>
        <w:t>调查的过程中，符合下列情形之一的，可以</w:t>
      </w:r>
      <w:r>
        <w:rPr>
          <w:rFonts w:hint="eastAsia" w:ascii="Times New Roman" w:hAnsi="Times New Roman" w:eastAsia="仿宋_GB2312" w:cs="仿宋_GB2312"/>
          <w:color w:val="000000" w:themeColor="text1"/>
          <w:sz w:val="32"/>
          <w:szCs w:val="32"/>
          <w:lang w:eastAsia="zh-CN"/>
          <w14:textFill>
            <w14:solidFill>
              <w14:schemeClr w14:val="tx1"/>
            </w14:solidFill>
          </w14:textFill>
        </w:rPr>
        <w:t>作为市场监管部门</w:t>
      </w:r>
      <w:r>
        <w:rPr>
          <w:rFonts w:hint="eastAsia" w:ascii="Times New Roman" w:hAnsi="Times New Roman" w:eastAsia="仿宋_GB2312" w:cs="仿宋_GB2312"/>
          <w:color w:val="000000" w:themeColor="text1"/>
          <w:sz w:val="32"/>
          <w:szCs w:val="32"/>
          <w14:textFill>
            <w14:solidFill>
              <w14:schemeClr w14:val="tx1"/>
            </w14:solidFill>
          </w14:textFill>
        </w:rPr>
        <w:t>从轻或者减轻行政处罚的</w:t>
      </w:r>
      <w:r>
        <w:rPr>
          <w:rFonts w:hint="eastAsia" w:ascii="Times New Roman" w:hAnsi="Times New Roman" w:eastAsia="仿宋_GB2312" w:cs="仿宋_GB2312"/>
          <w:color w:val="000000" w:themeColor="text1"/>
          <w:sz w:val="32"/>
          <w:szCs w:val="32"/>
          <w:lang w:eastAsia="zh-CN"/>
          <w14:textFill>
            <w14:solidFill>
              <w14:schemeClr w14:val="tx1"/>
            </w14:solidFill>
          </w14:textFill>
        </w:rPr>
        <w:t>参考依据</w:t>
      </w:r>
      <w:r>
        <w:rPr>
          <w:rFonts w:hint="eastAsia" w:ascii="Times New Roman" w:hAnsi="Times New Roman" w:eastAsia="仿宋_GB2312" w:cs="仿宋_GB2312"/>
          <w:color w:val="000000" w:themeColor="text1"/>
          <w:sz w:val="32"/>
          <w:szCs w:val="32"/>
          <w14:textFill>
            <w14:solidFill>
              <w14:schemeClr w14:val="tx1"/>
            </w14:solidFill>
          </w14:textFill>
        </w:rPr>
        <w:t>:</w:t>
      </w:r>
    </w:p>
    <w:p>
      <w:pPr>
        <w:pStyle w:val="15"/>
        <w:numPr>
          <w:ilvl w:val="0"/>
          <w:numId w:val="6"/>
        </w:numPr>
        <w:overflowPunct w:val="0"/>
        <w:adjustRightInd w:val="0"/>
        <w:snapToGrid w:val="0"/>
        <w:spacing w:line="598" w:lineRule="exact"/>
        <w:ind w:firstLine="64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lang w:eastAsia="zh-CN"/>
          <w14:textFill>
            <w14:solidFill>
              <w14:schemeClr w14:val="tx1"/>
            </w14:solidFill>
          </w14:textFill>
        </w:rPr>
        <w:t>在市场监管部门介入调查前，</w:t>
      </w:r>
      <w:r>
        <w:rPr>
          <w:rFonts w:hint="eastAsia" w:ascii="Times New Roman" w:hAnsi="Times New Roman" w:eastAsia="仿宋_GB2312" w:cs="仿宋_GB2312"/>
          <w:color w:val="000000" w:themeColor="text1"/>
          <w:sz w:val="32"/>
          <w:szCs w:val="32"/>
          <w14:textFill>
            <w14:solidFill>
              <w14:schemeClr w14:val="tx1"/>
            </w14:solidFill>
          </w14:textFill>
        </w:rPr>
        <w:t>主动报告违法行为的</w:t>
      </w:r>
      <w:r>
        <w:rPr>
          <w:rFonts w:hint="eastAsia" w:ascii="Times New Roman" w:hAnsi="Times New Roman" w:eastAsia="仿宋_GB2312" w:cs="仿宋_GB2312"/>
          <w:color w:val="000000" w:themeColor="text1"/>
          <w:sz w:val="32"/>
          <w:szCs w:val="32"/>
          <w:lang w:eastAsia="zh-CN"/>
          <w14:textFill>
            <w14:solidFill>
              <w14:schemeClr w14:val="tx1"/>
            </w14:solidFill>
          </w14:textFill>
        </w:rPr>
        <w:t>。</w:t>
      </w:r>
    </w:p>
    <w:p>
      <w:pPr>
        <w:pStyle w:val="15"/>
        <w:numPr>
          <w:ilvl w:val="0"/>
          <w:numId w:val="6"/>
        </w:numPr>
        <w:overflowPunct w:val="0"/>
        <w:adjustRightInd w:val="0"/>
        <w:snapToGrid w:val="0"/>
        <w:spacing w:line="598" w:lineRule="exact"/>
        <w:ind w:firstLine="64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在</w:t>
      </w:r>
      <w:r>
        <w:rPr>
          <w:rFonts w:hint="eastAsia" w:ascii="Times New Roman" w:hAnsi="Times New Roman" w:eastAsia="仿宋_GB2312" w:cs="仿宋_GB2312"/>
          <w:color w:val="000000" w:themeColor="text1"/>
          <w:sz w:val="32"/>
          <w:szCs w:val="32"/>
          <w:lang w:eastAsia="zh-CN"/>
          <w14:textFill>
            <w14:solidFill>
              <w14:schemeClr w14:val="tx1"/>
            </w14:solidFill>
          </w14:textFill>
        </w:rPr>
        <w:t>市场监管部门介入调查后，</w:t>
      </w:r>
      <w:r>
        <w:rPr>
          <w:rFonts w:hint="eastAsia" w:ascii="Times New Roman" w:hAnsi="Times New Roman" w:eastAsia="仿宋_GB2312" w:cs="仿宋_GB2312"/>
          <w:color w:val="000000" w:themeColor="text1"/>
          <w:sz w:val="32"/>
          <w:szCs w:val="32"/>
          <w14:textFill>
            <w14:solidFill>
              <w14:schemeClr w14:val="tx1"/>
            </w14:solidFill>
          </w14:textFill>
        </w:rPr>
        <w:t>掌握违法行为情况之前主动报告，并通过有效措施减轻危害后果的</w:t>
      </w:r>
      <w:r>
        <w:rPr>
          <w:rFonts w:hint="eastAsia" w:ascii="Times New Roman" w:hAnsi="Times New Roman" w:eastAsia="仿宋_GB2312" w:cs="仿宋_GB2312"/>
          <w:color w:val="000000" w:themeColor="text1"/>
          <w:sz w:val="32"/>
          <w:szCs w:val="32"/>
          <w:lang w:eastAsia="zh-CN"/>
          <w14:textFill>
            <w14:solidFill>
              <w14:schemeClr w14:val="tx1"/>
            </w14:solidFill>
          </w14:textFill>
        </w:rPr>
        <w:t>。</w:t>
      </w:r>
    </w:p>
    <w:p>
      <w:pPr>
        <w:pStyle w:val="15"/>
        <w:overflowPunct w:val="0"/>
        <w:adjustRightInd w:val="0"/>
        <w:snapToGrid w:val="0"/>
        <w:spacing w:line="598" w:lineRule="exact"/>
        <w:ind w:firstLine="64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w:t>
      </w:r>
      <w:r>
        <w:rPr>
          <w:rFonts w:hint="eastAsia" w:ascii="Times New Roman" w:hAnsi="Times New Roman" w:eastAsia="仿宋_GB2312" w:cs="仿宋_GB2312"/>
          <w:color w:val="000000" w:themeColor="text1"/>
          <w:sz w:val="32"/>
          <w:szCs w:val="32"/>
          <w:lang w:eastAsia="zh-CN"/>
          <w14:textFill>
            <w14:solidFill>
              <w14:schemeClr w14:val="tx1"/>
            </w14:solidFill>
          </w14:textFill>
        </w:rPr>
        <w:t>三</w:t>
      </w:r>
      <w:r>
        <w:rPr>
          <w:rFonts w:hint="eastAsia" w:ascii="Times New Roman" w:hAnsi="Times New Roman" w:eastAsia="仿宋_GB2312" w:cs="仿宋_GB2312"/>
          <w:color w:val="000000" w:themeColor="text1"/>
          <w:sz w:val="32"/>
          <w:szCs w:val="32"/>
          <w14:textFill>
            <w14:solidFill>
              <w14:schemeClr w14:val="tx1"/>
            </w14:solidFill>
          </w14:textFill>
        </w:rPr>
        <w:t>）在</w:t>
      </w:r>
      <w:r>
        <w:rPr>
          <w:rFonts w:hint="eastAsia" w:ascii="Times New Roman" w:hAnsi="Times New Roman" w:eastAsia="仿宋_GB2312" w:cs="仿宋_GB2312"/>
          <w:color w:val="000000" w:themeColor="text1"/>
          <w:sz w:val="32"/>
          <w:szCs w:val="32"/>
          <w:lang w:eastAsia="zh-CN"/>
          <w14:textFill>
            <w14:solidFill>
              <w14:schemeClr w14:val="tx1"/>
            </w14:solidFill>
          </w14:textFill>
        </w:rPr>
        <w:t>市场监管部门</w:t>
      </w:r>
      <w:r>
        <w:rPr>
          <w:rFonts w:hint="eastAsia" w:ascii="Times New Roman" w:hAnsi="Times New Roman" w:eastAsia="仿宋_GB2312" w:cs="仿宋_GB2312"/>
          <w:color w:val="000000" w:themeColor="text1"/>
          <w:sz w:val="32"/>
          <w:szCs w:val="32"/>
          <w14:textFill>
            <w14:solidFill>
              <w14:schemeClr w14:val="tx1"/>
            </w14:solidFill>
          </w14:textFill>
        </w:rPr>
        <w:t>介入调查后，供述</w:t>
      </w:r>
      <w:r>
        <w:rPr>
          <w:rFonts w:hint="eastAsia" w:ascii="Times New Roman" w:hAnsi="Times New Roman" w:eastAsia="仿宋_GB2312" w:cs="仿宋_GB2312"/>
          <w:color w:val="000000" w:themeColor="text1"/>
          <w:sz w:val="32"/>
          <w:szCs w:val="32"/>
          <w:lang w:eastAsia="zh-CN"/>
          <w14:textFill>
            <w14:solidFill>
              <w14:schemeClr w14:val="tx1"/>
            </w14:solidFill>
          </w14:textFill>
        </w:rPr>
        <w:t>市场监管部门</w:t>
      </w:r>
      <w:r>
        <w:rPr>
          <w:rFonts w:hint="eastAsia" w:ascii="Times New Roman" w:hAnsi="Times New Roman" w:eastAsia="仿宋_GB2312" w:cs="仿宋_GB2312"/>
          <w:color w:val="000000" w:themeColor="text1"/>
          <w:sz w:val="32"/>
          <w:szCs w:val="32"/>
          <w14:textFill>
            <w14:solidFill>
              <w14:schemeClr w14:val="tx1"/>
            </w14:solidFill>
          </w14:textFill>
        </w:rPr>
        <w:t>尚未掌握的违法行为，供述内容既包括自己的其他违法行为，也包括他人的违法行为，并经查证属实的</w:t>
      </w:r>
      <w:r>
        <w:rPr>
          <w:rFonts w:hint="eastAsia" w:ascii="Times New Roman" w:hAnsi="Times New Roman" w:eastAsia="仿宋_GB2312" w:cs="仿宋_GB2312"/>
          <w:color w:val="000000" w:themeColor="text1"/>
          <w:sz w:val="32"/>
          <w:szCs w:val="32"/>
          <w:lang w:eastAsia="zh-CN"/>
          <w14:textFill>
            <w14:solidFill>
              <w14:schemeClr w14:val="tx1"/>
            </w14:solidFill>
          </w14:textFill>
        </w:rPr>
        <w:t>。</w:t>
      </w:r>
    </w:p>
    <w:p>
      <w:pPr>
        <w:pStyle w:val="15"/>
        <w:overflowPunct w:val="0"/>
        <w:adjustRightInd w:val="0"/>
        <w:snapToGrid w:val="0"/>
        <w:spacing w:line="598" w:lineRule="exact"/>
        <w:ind w:firstLine="64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w:t>
      </w:r>
      <w:r>
        <w:rPr>
          <w:rFonts w:hint="eastAsia" w:ascii="Times New Roman" w:hAnsi="Times New Roman" w:eastAsia="仿宋_GB2312" w:cs="仿宋_GB2312"/>
          <w:color w:val="000000" w:themeColor="text1"/>
          <w:sz w:val="32"/>
          <w:szCs w:val="32"/>
          <w:lang w:eastAsia="zh-CN"/>
          <w14:textFill>
            <w14:solidFill>
              <w14:schemeClr w14:val="tx1"/>
            </w14:solidFill>
          </w14:textFill>
        </w:rPr>
        <w:t>四</w:t>
      </w:r>
      <w:r>
        <w:rPr>
          <w:rFonts w:hint="eastAsia" w:ascii="Times New Roman" w:hAnsi="Times New Roman" w:eastAsia="仿宋_GB2312" w:cs="仿宋_GB2312"/>
          <w:color w:val="000000" w:themeColor="text1"/>
          <w:sz w:val="32"/>
          <w:szCs w:val="32"/>
          <w14:textFill>
            <w14:solidFill>
              <w14:schemeClr w14:val="tx1"/>
            </w14:solidFill>
          </w14:textFill>
        </w:rPr>
        <w:t>）积极配合</w:t>
      </w:r>
      <w:r>
        <w:rPr>
          <w:rFonts w:hint="eastAsia" w:ascii="Times New Roman" w:hAnsi="Times New Roman" w:eastAsia="仿宋_GB2312" w:cs="仿宋_GB2312"/>
          <w:color w:val="000000" w:themeColor="text1"/>
          <w:sz w:val="32"/>
          <w:szCs w:val="32"/>
          <w:lang w:eastAsia="zh-CN"/>
          <w14:textFill>
            <w14:solidFill>
              <w14:schemeClr w14:val="tx1"/>
            </w14:solidFill>
          </w14:textFill>
        </w:rPr>
        <w:t>市场监管部门</w:t>
      </w:r>
      <w:r>
        <w:rPr>
          <w:rFonts w:hint="eastAsia" w:ascii="Times New Roman" w:hAnsi="Times New Roman" w:eastAsia="仿宋_GB2312" w:cs="仿宋_GB2312"/>
          <w:color w:val="000000" w:themeColor="text1"/>
          <w:sz w:val="32"/>
          <w:szCs w:val="32"/>
          <w14:textFill>
            <w14:solidFill>
              <w14:schemeClr w14:val="tx1"/>
            </w14:solidFill>
          </w14:textFill>
        </w:rPr>
        <w:t>的检查,在要求的时间内,接受询问</w:t>
      </w:r>
      <w:r>
        <w:rPr>
          <w:rFonts w:hint="eastAsia" w:ascii="Times New Roman" w:hAnsi="Times New Roman" w:eastAsia="仿宋_GB2312" w:cs="仿宋_GB2312"/>
          <w:color w:val="000000" w:themeColor="text1"/>
          <w:sz w:val="32"/>
          <w:szCs w:val="32"/>
          <w:lang w:eastAsia="zh-CN"/>
          <w14:textFill>
            <w14:solidFill>
              <w14:schemeClr w14:val="tx1"/>
            </w14:solidFill>
          </w14:textFill>
        </w:rPr>
        <w:t>，</w:t>
      </w:r>
      <w:r>
        <w:rPr>
          <w:rFonts w:hint="eastAsia" w:ascii="Times New Roman" w:hAnsi="Times New Roman" w:eastAsia="仿宋_GB2312" w:cs="仿宋_GB2312"/>
          <w:color w:val="000000" w:themeColor="text1"/>
          <w:sz w:val="32"/>
          <w:szCs w:val="32"/>
          <w14:textFill>
            <w14:solidFill>
              <w14:schemeClr w14:val="tx1"/>
            </w14:solidFill>
          </w14:textFill>
        </w:rPr>
        <w:t>如实回答问题</w:t>
      </w:r>
      <w:r>
        <w:rPr>
          <w:rFonts w:hint="eastAsia" w:ascii="Times New Roman" w:hAnsi="Times New Roman" w:eastAsia="仿宋_GB2312" w:cs="仿宋_GB2312"/>
          <w:color w:val="000000" w:themeColor="text1"/>
          <w:sz w:val="32"/>
          <w:szCs w:val="32"/>
          <w:lang w:eastAsia="zh-CN"/>
          <w14:textFill>
            <w14:solidFill>
              <w14:schemeClr w14:val="tx1"/>
            </w14:solidFill>
          </w14:textFill>
        </w:rPr>
        <w:t>，</w:t>
      </w:r>
      <w:r>
        <w:rPr>
          <w:rFonts w:hint="eastAsia" w:ascii="Times New Roman" w:hAnsi="Times New Roman" w:eastAsia="仿宋_GB2312" w:cs="仿宋_GB2312"/>
          <w:color w:val="000000" w:themeColor="text1"/>
          <w:sz w:val="32"/>
          <w:szCs w:val="32"/>
          <w14:textFill>
            <w14:solidFill>
              <w14:schemeClr w14:val="tx1"/>
            </w14:solidFill>
          </w14:textFill>
        </w:rPr>
        <w:t>并主动提供有关财务账册、费用审批、资金流向、业务协议等证据材料的</w:t>
      </w:r>
      <w:r>
        <w:rPr>
          <w:rFonts w:hint="eastAsia" w:ascii="Times New Roman" w:hAnsi="Times New Roman" w:eastAsia="仿宋_GB2312" w:cs="仿宋_GB2312"/>
          <w:color w:val="000000" w:themeColor="text1"/>
          <w:sz w:val="32"/>
          <w:szCs w:val="32"/>
          <w:lang w:eastAsia="zh-CN"/>
          <w14:textFill>
            <w14:solidFill>
              <w14:schemeClr w14:val="tx1"/>
            </w14:solidFill>
          </w14:textFill>
        </w:rPr>
        <w:t>。</w:t>
      </w:r>
    </w:p>
    <w:p>
      <w:pPr>
        <w:pStyle w:val="15"/>
        <w:overflowPunct w:val="0"/>
        <w:adjustRightInd w:val="0"/>
        <w:snapToGrid w:val="0"/>
        <w:spacing w:line="598" w:lineRule="exact"/>
        <w:ind w:firstLine="64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w:t>
      </w:r>
      <w:r>
        <w:rPr>
          <w:rFonts w:hint="eastAsia" w:ascii="Times New Roman" w:hAnsi="Times New Roman" w:eastAsia="仿宋_GB2312" w:cs="仿宋_GB2312"/>
          <w:color w:val="000000" w:themeColor="text1"/>
          <w:sz w:val="32"/>
          <w:szCs w:val="32"/>
          <w:lang w:eastAsia="zh-CN"/>
          <w14:textFill>
            <w14:solidFill>
              <w14:schemeClr w14:val="tx1"/>
            </w14:solidFill>
          </w14:textFill>
        </w:rPr>
        <w:t>五</w:t>
      </w:r>
      <w:r>
        <w:rPr>
          <w:rFonts w:hint="eastAsia" w:ascii="Times New Roman" w:hAnsi="Times New Roman" w:eastAsia="仿宋_GB2312" w:cs="仿宋_GB2312"/>
          <w:color w:val="000000" w:themeColor="text1"/>
          <w:sz w:val="32"/>
          <w:szCs w:val="32"/>
          <w14:textFill>
            <w14:solidFill>
              <w14:schemeClr w14:val="tx1"/>
            </w14:solidFill>
          </w14:textFill>
        </w:rPr>
        <w:t>）配合</w:t>
      </w:r>
      <w:r>
        <w:rPr>
          <w:rFonts w:hint="eastAsia" w:ascii="Times New Roman" w:hAnsi="Times New Roman" w:eastAsia="仿宋_GB2312" w:cs="仿宋_GB2312"/>
          <w:color w:val="000000" w:themeColor="text1"/>
          <w:sz w:val="32"/>
          <w:szCs w:val="32"/>
          <w:lang w:eastAsia="zh-CN"/>
          <w14:textFill>
            <w14:solidFill>
              <w14:schemeClr w14:val="tx1"/>
            </w14:solidFill>
          </w14:textFill>
        </w:rPr>
        <w:t>市场监管部门</w:t>
      </w:r>
      <w:r>
        <w:rPr>
          <w:rFonts w:hint="eastAsia" w:ascii="Times New Roman" w:hAnsi="Times New Roman" w:eastAsia="仿宋_GB2312" w:cs="仿宋_GB2312"/>
          <w:color w:val="000000" w:themeColor="text1"/>
          <w:sz w:val="32"/>
          <w:szCs w:val="32"/>
          <w14:textFill>
            <w14:solidFill>
              <w14:schemeClr w14:val="tx1"/>
            </w14:solidFill>
          </w14:textFill>
        </w:rPr>
        <w:t>查处违法行为有立功表现的；包括但不限于揭发医药领域商业贿赂重大违法行为或者其他重大违法行为的关键线索或者证据，并经查证属实的</w:t>
      </w:r>
      <w:r>
        <w:rPr>
          <w:rFonts w:hint="eastAsia" w:ascii="Times New Roman" w:hAnsi="Times New Roman" w:eastAsia="仿宋_GB2312" w:cs="仿宋_GB2312"/>
          <w:color w:val="000000" w:themeColor="text1"/>
          <w:sz w:val="32"/>
          <w:szCs w:val="32"/>
          <w:lang w:eastAsia="zh-CN"/>
          <w14:textFill>
            <w14:solidFill>
              <w14:schemeClr w14:val="tx1"/>
            </w14:solidFill>
          </w14:textFill>
        </w:rPr>
        <w:t>。</w:t>
      </w:r>
    </w:p>
    <w:p>
      <w:pPr>
        <w:pStyle w:val="15"/>
        <w:overflowPunct w:val="0"/>
        <w:adjustRightInd w:val="0"/>
        <w:snapToGrid w:val="0"/>
        <w:spacing w:line="598" w:lineRule="exact"/>
        <w:ind w:firstLine="64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w:t>
      </w:r>
      <w:r>
        <w:rPr>
          <w:rFonts w:hint="eastAsia" w:ascii="Times New Roman" w:hAnsi="Times New Roman" w:eastAsia="仿宋_GB2312" w:cs="仿宋_GB2312"/>
          <w:color w:val="000000" w:themeColor="text1"/>
          <w:sz w:val="32"/>
          <w:szCs w:val="32"/>
          <w:lang w:eastAsia="zh-CN"/>
          <w14:textFill>
            <w14:solidFill>
              <w14:schemeClr w14:val="tx1"/>
            </w14:solidFill>
          </w14:textFill>
        </w:rPr>
        <w:t>六</w:t>
      </w:r>
      <w:r>
        <w:rPr>
          <w:rFonts w:hint="eastAsia" w:ascii="Times New Roman" w:hAnsi="Times New Roman" w:eastAsia="仿宋_GB2312" w:cs="仿宋_GB2312"/>
          <w:color w:val="000000" w:themeColor="text1"/>
          <w:sz w:val="32"/>
          <w:szCs w:val="32"/>
          <w14:textFill>
            <w14:solidFill>
              <w14:schemeClr w14:val="tx1"/>
            </w14:solidFill>
          </w14:textFill>
        </w:rPr>
        <w:t>）违法行为轻微，社会危害性较小的</w:t>
      </w:r>
      <w:r>
        <w:rPr>
          <w:rFonts w:hint="eastAsia" w:ascii="Times New Roman" w:hAnsi="Times New Roman" w:eastAsia="仿宋_GB2312" w:cs="仿宋_GB2312"/>
          <w:color w:val="000000" w:themeColor="text1"/>
          <w:sz w:val="32"/>
          <w:szCs w:val="32"/>
          <w:lang w:eastAsia="zh-CN"/>
          <w14:textFill>
            <w14:solidFill>
              <w14:schemeClr w14:val="tx1"/>
            </w14:solidFill>
          </w14:textFill>
        </w:rPr>
        <w:t>。</w:t>
      </w:r>
    </w:p>
    <w:p>
      <w:pPr>
        <w:pStyle w:val="15"/>
        <w:overflowPunct w:val="0"/>
        <w:adjustRightInd w:val="0"/>
        <w:snapToGrid w:val="0"/>
        <w:spacing w:line="598" w:lineRule="exact"/>
        <w:ind w:firstLine="64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w:t>
      </w:r>
      <w:r>
        <w:rPr>
          <w:rFonts w:hint="eastAsia" w:ascii="Times New Roman" w:hAnsi="Times New Roman" w:eastAsia="仿宋_GB2312" w:cs="仿宋_GB2312"/>
          <w:color w:val="000000" w:themeColor="text1"/>
          <w:sz w:val="32"/>
          <w:szCs w:val="32"/>
          <w:lang w:eastAsia="zh-CN"/>
          <w14:textFill>
            <w14:solidFill>
              <w14:schemeClr w14:val="tx1"/>
            </w14:solidFill>
          </w14:textFill>
        </w:rPr>
        <w:t>七</w:t>
      </w:r>
      <w:r>
        <w:rPr>
          <w:rFonts w:hint="eastAsia" w:ascii="Times New Roman" w:hAnsi="Times New Roman" w:eastAsia="仿宋_GB2312" w:cs="仿宋_GB2312"/>
          <w:color w:val="000000" w:themeColor="text1"/>
          <w:sz w:val="32"/>
          <w:szCs w:val="32"/>
          <w14:textFill>
            <w14:solidFill>
              <w14:schemeClr w14:val="tx1"/>
            </w14:solidFill>
          </w14:textFill>
        </w:rPr>
        <w:t>）直接参与实施行贿行为，但在整个违法活动中起次要作用的；医药企业可以结合在共同行为中所处的地位、实际参加的程度（行贿次数、行贿金额等）、对危害结果所起的作用等方面进行说明</w:t>
      </w:r>
      <w:r>
        <w:rPr>
          <w:rFonts w:hint="eastAsia" w:ascii="Times New Roman" w:hAnsi="Times New Roman" w:eastAsia="仿宋_GB2312" w:cs="仿宋_GB2312"/>
          <w:color w:val="000000" w:themeColor="text1"/>
          <w:sz w:val="32"/>
          <w:szCs w:val="32"/>
          <w:lang w:eastAsia="zh-CN"/>
          <w14:textFill>
            <w14:solidFill>
              <w14:schemeClr w14:val="tx1"/>
            </w14:solidFill>
          </w14:textFill>
        </w:rPr>
        <w:t>。</w:t>
      </w:r>
    </w:p>
    <w:p>
      <w:pPr>
        <w:pStyle w:val="15"/>
        <w:overflowPunct w:val="0"/>
        <w:adjustRightInd w:val="0"/>
        <w:snapToGrid w:val="0"/>
        <w:spacing w:line="598" w:lineRule="exact"/>
        <w:ind w:firstLine="64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w:t>
      </w:r>
      <w:r>
        <w:rPr>
          <w:rFonts w:hint="eastAsia" w:ascii="Times New Roman" w:hAnsi="Times New Roman" w:eastAsia="仿宋_GB2312" w:cs="仿宋_GB2312"/>
          <w:color w:val="000000" w:themeColor="text1"/>
          <w:sz w:val="32"/>
          <w:szCs w:val="32"/>
          <w:lang w:eastAsia="zh-CN"/>
          <w14:textFill>
            <w14:solidFill>
              <w14:schemeClr w14:val="tx1"/>
            </w14:solidFill>
          </w14:textFill>
        </w:rPr>
        <w:t>八</w:t>
      </w:r>
      <w:r>
        <w:rPr>
          <w:rFonts w:hint="eastAsia" w:ascii="Times New Roman" w:hAnsi="Times New Roman" w:eastAsia="仿宋_GB2312" w:cs="仿宋_GB2312"/>
          <w:color w:val="000000" w:themeColor="text1"/>
          <w:sz w:val="32"/>
          <w:szCs w:val="32"/>
          <w14:textFill>
            <w14:solidFill>
              <w14:schemeClr w14:val="tx1"/>
            </w14:solidFill>
          </w14:textFill>
        </w:rPr>
        <w:t>）其他依法应当或者可以从轻或者减轻行政处罚的。</w:t>
      </w:r>
    </w:p>
    <w:p>
      <w:pPr>
        <w:pStyle w:val="15"/>
        <w:numPr>
          <w:ilvl w:val="0"/>
          <w:numId w:val="1"/>
        </w:numPr>
        <w:overflowPunct w:val="0"/>
        <w:adjustRightInd w:val="0"/>
        <w:snapToGrid w:val="0"/>
        <w:spacing w:line="598" w:lineRule="exact"/>
        <w:ind w:left="0" w:firstLine="64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lang w:eastAsia="zh-CN"/>
          <w14:textFill>
            <w14:solidFill>
              <w14:schemeClr w14:val="tx1"/>
            </w14:solidFill>
          </w14:textFill>
        </w:rPr>
        <w:t>医药</w:t>
      </w:r>
      <w:r>
        <w:rPr>
          <w:rFonts w:hint="eastAsia" w:ascii="Times New Roman" w:hAnsi="Times New Roman" w:eastAsia="仿宋_GB2312" w:cs="仿宋_GB2312"/>
          <w:color w:val="000000" w:themeColor="text1"/>
          <w:sz w:val="32"/>
          <w:szCs w:val="32"/>
          <w14:textFill>
            <w14:solidFill>
              <w14:schemeClr w14:val="tx1"/>
            </w14:solidFill>
          </w14:textFill>
        </w:rPr>
        <w:t>企业配合</w:t>
      </w:r>
      <w:r>
        <w:rPr>
          <w:rFonts w:hint="eastAsia" w:ascii="Times New Roman" w:hAnsi="Times New Roman" w:eastAsia="仿宋_GB2312" w:cs="仿宋_GB2312"/>
          <w:color w:val="000000" w:themeColor="text1"/>
          <w:sz w:val="32"/>
          <w:szCs w:val="32"/>
          <w:lang w:eastAsia="zh-CN"/>
          <w14:textFill>
            <w14:solidFill>
              <w14:schemeClr w14:val="tx1"/>
            </w14:solidFill>
          </w14:textFill>
        </w:rPr>
        <w:t>市场监管部门</w:t>
      </w:r>
      <w:r>
        <w:rPr>
          <w:rFonts w:hint="eastAsia" w:ascii="Times New Roman" w:hAnsi="Times New Roman" w:eastAsia="仿宋_GB2312" w:cs="仿宋_GB2312"/>
          <w:color w:val="000000" w:themeColor="text1"/>
          <w:sz w:val="32"/>
          <w:szCs w:val="32"/>
          <w14:textFill>
            <w14:solidFill>
              <w14:schemeClr w14:val="tx1"/>
            </w14:solidFill>
          </w14:textFill>
        </w:rPr>
        <w:t>调查，符合下列情形之一的，可以</w:t>
      </w:r>
      <w:r>
        <w:rPr>
          <w:rFonts w:hint="eastAsia" w:ascii="Times New Roman" w:hAnsi="Times New Roman" w:eastAsia="仿宋_GB2312" w:cs="仿宋_GB2312"/>
          <w:color w:val="000000" w:themeColor="text1"/>
          <w:sz w:val="32"/>
          <w:szCs w:val="32"/>
          <w:lang w:eastAsia="zh-CN"/>
          <w14:textFill>
            <w14:solidFill>
              <w14:schemeClr w14:val="tx1"/>
            </w14:solidFill>
          </w14:textFill>
        </w:rPr>
        <w:t>作为市场监管部门</w:t>
      </w:r>
      <w:r>
        <w:rPr>
          <w:rFonts w:hint="eastAsia" w:ascii="Times New Roman" w:hAnsi="Times New Roman" w:eastAsia="仿宋_GB2312" w:cs="仿宋_GB2312"/>
          <w:color w:val="000000" w:themeColor="text1"/>
          <w:sz w:val="32"/>
          <w:szCs w:val="32"/>
          <w14:textFill>
            <w14:solidFill>
              <w14:schemeClr w14:val="tx1"/>
            </w14:solidFill>
          </w14:textFill>
        </w:rPr>
        <w:t>不予行政处罚的</w:t>
      </w:r>
      <w:r>
        <w:rPr>
          <w:rFonts w:hint="eastAsia" w:ascii="Times New Roman" w:hAnsi="Times New Roman" w:eastAsia="仿宋_GB2312" w:cs="仿宋_GB2312"/>
          <w:color w:val="000000" w:themeColor="text1"/>
          <w:sz w:val="32"/>
          <w:szCs w:val="32"/>
          <w:lang w:eastAsia="zh-CN"/>
          <w14:textFill>
            <w14:solidFill>
              <w14:schemeClr w14:val="tx1"/>
            </w14:solidFill>
          </w14:textFill>
        </w:rPr>
        <w:t>参考依据</w:t>
      </w:r>
      <w:r>
        <w:rPr>
          <w:rFonts w:hint="eastAsia" w:ascii="Times New Roman" w:hAnsi="Times New Roman" w:eastAsia="仿宋_GB2312" w:cs="仿宋_GB2312"/>
          <w:color w:val="000000" w:themeColor="text1"/>
          <w:sz w:val="32"/>
          <w:szCs w:val="32"/>
          <w14:textFill>
            <w14:solidFill>
              <w14:schemeClr w14:val="tx1"/>
            </w14:solidFill>
          </w14:textFill>
        </w:rPr>
        <w:t xml:space="preserve">: </w:t>
      </w:r>
    </w:p>
    <w:p>
      <w:pPr>
        <w:pStyle w:val="15"/>
        <w:overflowPunct w:val="0"/>
        <w:adjustRightInd w:val="0"/>
        <w:snapToGrid w:val="0"/>
        <w:spacing w:line="598" w:lineRule="exact"/>
        <w:ind w:firstLine="640"/>
        <w:outlineLvl w:val="2"/>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w:t>
      </w:r>
      <w:r>
        <w:rPr>
          <w:rFonts w:hint="eastAsia" w:ascii="Times New Roman" w:hAnsi="Times New Roman" w:eastAsia="仿宋_GB2312" w:cs="仿宋_GB2312"/>
          <w:color w:val="000000" w:themeColor="text1"/>
          <w:sz w:val="32"/>
          <w:szCs w:val="32"/>
          <w:lang w:eastAsia="zh-CN"/>
          <w14:textFill>
            <w14:solidFill>
              <w14:schemeClr w14:val="tx1"/>
            </w14:solidFill>
          </w14:textFill>
        </w:rPr>
        <w:t>一</w:t>
      </w:r>
      <w:r>
        <w:rPr>
          <w:rFonts w:hint="eastAsia" w:ascii="Times New Roman" w:hAnsi="Times New Roman" w:eastAsia="仿宋_GB2312" w:cs="仿宋_GB2312"/>
          <w:color w:val="000000" w:themeColor="text1"/>
          <w:sz w:val="32"/>
          <w:szCs w:val="32"/>
          <w14:textFill>
            <w14:solidFill>
              <w14:schemeClr w14:val="tx1"/>
            </w14:solidFill>
          </w14:textFill>
        </w:rPr>
        <w:t>）违法行为轻微并及时改正，没有造成危害后果的；</w:t>
      </w:r>
    </w:p>
    <w:p>
      <w:pPr>
        <w:pStyle w:val="15"/>
        <w:overflowPunct w:val="0"/>
        <w:adjustRightInd w:val="0"/>
        <w:snapToGrid w:val="0"/>
        <w:spacing w:line="598" w:lineRule="exact"/>
        <w:ind w:firstLine="640"/>
        <w:outlineLvl w:val="2"/>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w:t>
      </w:r>
      <w:r>
        <w:rPr>
          <w:rFonts w:hint="eastAsia" w:ascii="Times New Roman" w:hAnsi="Times New Roman" w:eastAsia="仿宋_GB2312" w:cs="仿宋_GB2312"/>
          <w:color w:val="000000" w:themeColor="text1"/>
          <w:sz w:val="32"/>
          <w:szCs w:val="32"/>
          <w:lang w:eastAsia="zh-CN"/>
          <w14:textFill>
            <w14:solidFill>
              <w14:schemeClr w14:val="tx1"/>
            </w14:solidFill>
          </w14:textFill>
        </w:rPr>
        <w:t>二</w:t>
      </w:r>
      <w:r>
        <w:rPr>
          <w:rFonts w:hint="eastAsia" w:ascii="Times New Roman" w:hAnsi="Times New Roman" w:eastAsia="仿宋_GB2312" w:cs="仿宋_GB2312"/>
          <w:color w:val="000000" w:themeColor="text1"/>
          <w:sz w:val="32"/>
          <w:szCs w:val="32"/>
          <w14:textFill>
            <w14:solidFill>
              <w14:schemeClr w14:val="tx1"/>
            </w14:solidFill>
          </w14:textFill>
        </w:rPr>
        <w:t>）初次违法且危害后果轻微并及时改正的；</w:t>
      </w:r>
    </w:p>
    <w:p>
      <w:pPr>
        <w:pStyle w:val="15"/>
        <w:overflowPunct w:val="0"/>
        <w:adjustRightInd w:val="0"/>
        <w:snapToGrid w:val="0"/>
        <w:spacing w:line="598" w:lineRule="exact"/>
        <w:ind w:left="0" w:firstLine="640" w:firstLineChars="200"/>
        <w:outlineLvl w:val="2"/>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w:t>
      </w:r>
      <w:r>
        <w:rPr>
          <w:rFonts w:hint="eastAsia" w:ascii="Times New Roman" w:hAnsi="Times New Roman" w:eastAsia="仿宋_GB2312" w:cs="仿宋_GB2312"/>
          <w:color w:val="000000" w:themeColor="text1"/>
          <w:sz w:val="32"/>
          <w:szCs w:val="32"/>
          <w:lang w:eastAsia="zh-CN"/>
          <w14:textFill>
            <w14:solidFill>
              <w14:schemeClr w14:val="tx1"/>
            </w14:solidFill>
          </w14:textFill>
        </w:rPr>
        <w:t>三</w:t>
      </w:r>
      <w:r>
        <w:rPr>
          <w:rFonts w:hint="eastAsia" w:ascii="Times New Roman" w:hAnsi="Times New Roman" w:eastAsia="仿宋_GB2312" w:cs="仿宋_GB2312"/>
          <w:color w:val="000000" w:themeColor="text1"/>
          <w:sz w:val="32"/>
          <w:szCs w:val="32"/>
          <w14:textFill>
            <w14:solidFill>
              <w14:schemeClr w14:val="tx1"/>
            </w14:solidFill>
          </w14:textFill>
        </w:rPr>
        <w:t>）其他依法应当或者可以不予行政处罚的。</w:t>
      </w:r>
      <w:bookmarkStart w:id="21" w:name="No58_T10K1X2"/>
      <w:bookmarkEnd w:id="21"/>
      <w:bookmarkStart w:id="22" w:name="No59_T10K1X3"/>
      <w:bookmarkEnd w:id="22"/>
      <w:bookmarkStart w:id="23" w:name="No62_T10K1X6"/>
      <w:bookmarkEnd w:id="23"/>
      <w:bookmarkStart w:id="24" w:name="No60_T10K1X4"/>
      <w:bookmarkEnd w:id="24"/>
      <w:bookmarkStart w:id="25" w:name="No61_T10K1X5"/>
      <w:bookmarkEnd w:id="25"/>
    </w:p>
    <w:p>
      <w:pPr>
        <w:spacing w:line="20" w:lineRule="exact"/>
        <w:rPr>
          <w:rFonts w:hint="eastAsia" w:ascii="Times New Roman" w:hAnsi="Times New Roman" w:eastAsia="仿宋_GB2312" w:cs="仿宋_GB2312"/>
          <w:color w:val="000000" w:themeColor="text1"/>
          <w:sz w:val="32"/>
          <w:szCs w:val="32"/>
          <w14:textFill>
            <w14:solidFill>
              <w14:schemeClr w14:val="tx1"/>
            </w14:solidFill>
          </w14:textFill>
        </w:rPr>
      </w:pPr>
    </w:p>
    <w:sectPr>
      <w:footerReference r:id="rId7" w:type="default"/>
      <w:footerReference r:id="rId8" w:type="even"/>
      <w:pgSz w:w="11906" w:h="16838"/>
      <w:pgMar w:top="1984" w:right="1474" w:bottom="1644" w:left="1474" w:header="850" w:footer="1191" w:gutter="0"/>
      <w:pgNumType w:fmt="decimal"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libri Light">
    <w:panose1 w:val="020F03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adjustRightInd w:val="0"/>
      <w:spacing w:afterLines="0" w:line="260" w:lineRule="exact"/>
      <w:ind w:left="315" w:leftChars="150" w:right="315" w:rightChars="150"/>
      <w:rPr>
        <w:rFonts w:hint="eastAsia" w:asciiTheme="minorEastAsia" w:hAnsiTheme="minorEastAsia" w:eastAsiaTheme="minorEastAsia" w:cstheme="minorEastAsia"/>
        <w:sz w:val="28"/>
        <w:szCs w:val="28"/>
        <w:lang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adjustRightInd w:val="0"/>
      <w:spacing w:afterLines="0" w:line="260" w:lineRule="exact"/>
      <w:ind w:left="315" w:leftChars="150" w:right="315" w:rightChars="15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adjustRightInd w:val="0"/>
      <w:spacing w:afterLines="0" w:line="260" w:lineRule="exact"/>
      <w:ind w:left="315" w:leftChars="150" w:right="315" w:rightChars="150"/>
      <w:rPr>
        <w:rFonts w:hint="eastAsia" w:asciiTheme="minorEastAsia" w:hAnsiTheme="minorEastAsia" w:eastAsiaTheme="minorEastAsia" w:cstheme="minorEastAsia"/>
        <w:sz w:val="28"/>
        <w:szCs w:val="28"/>
        <w:lang w:eastAsia="zh-CN"/>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adjustRightInd w:val="0"/>
      <w:spacing w:afterLines="0" w:line="260" w:lineRule="exact"/>
      <w:ind w:left="315" w:leftChars="150" w:right="315" w:rightChars="15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adjustRightInd w:val="0"/>
      <w:spacing w:afterLines="0" w:line="260" w:lineRule="exact"/>
      <w:ind w:left="315" w:leftChars="150" w:right="315" w:rightChars="150"/>
      <w:jc w:val="right"/>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adjustRightInd w:val="0"/>
                            <w:spacing w:afterLines="0" w:line="260" w:lineRule="exact"/>
                            <w:ind w:left="315" w:leftChars="150" w:right="315" w:rightChars="150"/>
                            <w:jc w:val="right"/>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val="en-US" w:eastAsia="zh-CN"/>
                            </w:rPr>
                            <w:fldChar w:fldCharType="begin"/>
                          </w:r>
                          <w:r>
                            <w:rPr>
                              <w:rFonts w:hint="eastAsia" w:asciiTheme="minorEastAsia" w:hAnsiTheme="minorEastAsia" w:eastAsiaTheme="minorEastAsia" w:cstheme="minorEastAsia"/>
                              <w:sz w:val="28"/>
                              <w:szCs w:val="28"/>
                              <w:lang w:val="en-US" w:eastAsia="zh-CN"/>
                            </w:rPr>
                            <w:instrText xml:space="preserve"> PAGE \* MERGEFORMAT </w:instrText>
                          </w:r>
                          <w:r>
                            <w:rPr>
                              <w:rFonts w:hint="eastAsia" w:asciiTheme="minorEastAsia" w:hAnsiTheme="minorEastAsia" w:eastAsiaTheme="minorEastAsia" w:cstheme="minorEastAsia"/>
                              <w:sz w:val="28"/>
                              <w:szCs w:val="28"/>
                              <w:lang w:val="en-US" w:eastAsia="zh-CN"/>
                            </w:rPr>
                            <w:fldChar w:fldCharType="separate"/>
                          </w: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lang w:val="en-US" w:eastAsia="zh-CN"/>
                            </w:rPr>
                            <w:fldChar w:fldCharType="end"/>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t>—</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5"/>
                      <w:adjustRightInd w:val="0"/>
                      <w:spacing w:afterLines="0" w:line="260" w:lineRule="exact"/>
                      <w:ind w:left="315" w:leftChars="150" w:right="315" w:rightChars="150"/>
                      <w:jc w:val="right"/>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val="en-US" w:eastAsia="zh-CN"/>
                      </w:rPr>
                      <w:fldChar w:fldCharType="begin"/>
                    </w:r>
                    <w:r>
                      <w:rPr>
                        <w:rFonts w:hint="eastAsia" w:asciiTheme="minorEastAsia" w:hAnsiTheme="minorEastAsia" w:eastAsiaTheme="minorEastAsia" w:cstheme="minorEastAsia"/>
                        <w:sz w:val="28"/>
                        <w:szCs w:val="28"/>
                        <w:lang w:val="en-US" w:eastAsia="zh-CN"/>
                      </w:rPr>
                      <w:instrText xml:space="preserve"> PAGE \* MERGEFORMAT </w:instrText>
                    </w:r>
                    <w:r>
                      <w:rPr>
                        <w:rFonts w:hint="eastAsia" w:asciiTheme="minorEastAsia" w:hAnsiTheme="minorEastAsia" w:eastAsiaTheme="minorEastAsia" w:cstheme="minorEastAsia"/>
                        <w:sz w:val="28"/>
                        <w:szCs w:val="28"/>
                        <w:lang w:val="en-US" w:eastAsia="zh-CN"/>
                      </w:rPr>
                      <w:fldChar w:fldCharType="separate"/>
                    </w: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lang w:val="en-US" w:eastAsia="zh-CN"/>
                      </w:rPr>
                      <w:fldChar w:fldCharType="end"/>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t>—</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adjustRightInd w:val="0"/>
      <w:spacing w:afterLines="0" w:line="260" w:lineRule="exact"/>
      <w:ind w:left="315" w:leftChars="150" w:right="315" w:rightChars="150"/>
      <w:jc w:val="both"/>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adjustRightInd w:val="0"/>
                            <w:spacing w:afterLines="0" w:line="260" w:lineRule="exact"/>
                            <w:ind w:left="315" w:leftChars="150" w:right="315" w:rightChars="150"/>
                            <w:jc w:val="both"/>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val="en-US" w:eastAsia="zh-CN"/>
                            </w:rPr>
                            <w:fldChar w:fldCharType="begin"/>
                          </w:r>
                          <w:r>
                            <w:rPr>
                              <w:rFonts w:hint="eastAsia" w:asciiTheme="minorEastAsia" w:hAnsiTheme="minorEastAsia" w:eastAsiaTheme="minorEastAsia" w:cstheme="minorEastAsia"/>
                              <w:sz w:val="28"/>
                              <w:szCs w:val="28"/>
                              <w:lang w:val="en-US" w:eastAsia="zh-CN"/>
                            </w:rPr>
                            <w:instrText xml:space="preserve"> PAGE \* MERGEFORMAT </w:instrText>
                          </w:r>
                          <w:r>
                            <w:rPr>
                              <w:rFonts w:hint="eastAsia" w:asciiTheme="minorEastAsia" w:hAnsiTheme="minorEastAsia" w:eastAsiaTheme="minorEastAsia" w:cstheme="minorEastAsia"/>
                              <w:sz w:val="28"/>
                              <w:szCs w:val="28"/>
                              <w:lang w:val="en-US" w:eastAsia="zh-CN"/>
                            </w:rPr>
                            <w:fldChar w:fldCharType="separate"/>
                          </w: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lang w:val="en-US" w:eastAsia="zh-CN"/>
                            </w:rPr>
                            <w:fldChar w:fldCharType="end"/>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t>—</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v:fill on="f" focussize="0,0"/>
              <v:stroke on="f" weight="0.5pt"/>
              <v:imagedata o:title=""/>
              <o:lock v:ext="edit" aspectratio="f"/>
              <v:textbox inset="0mm,0mm,0mm,0mm" style="mso-fit-shape-to-text:t;">
                <w:txbxContent>
                  <w:p>
                    <w:pPr>
                      <w:pStyle w:val="5"/>
                      <w:adjustRightInd w:val="0"/>
                      <w:spacing w:afterLines="0" w:line="260" w:lineRule="exact"/>
                      <w:ind w:left="315" w:leftChars="150" w:right="315" w:rightChars="150"/>
                      <w:jc w:val="both"/>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val="en-US" w:eastAsia="zh-CN"/>
                      </w:rPr>
                      <w:fldChar w:fldCharType="begin"/>
                    </w:r>
                    <w:r>
                      <w:rPr>
                        <w:rFonts w:hint="eastAsia" w:asciiTheme="minorEastAsia" w:hAnsiTheme="minorEastAsia" w:eastAsiaTheme="minorEastAsia" w:cstheme="minorEastAsia"/>
                        <w:sz w:val="28"/>
                        <w:szCs w:val="28"/>
                        <w:lang w:val="en-US" w:eastAsia="zh-CN"/>
                      </w:rPr>
                      <w:instrText xml:space="preserve"> PAGE \* MERGEFORMAT </w:instrText>
                    </w:r>
                    <w:r>
                      <w:rPr>
                        <w:rFonts w:hint="eastAsia" w:asciiTheme="minorEastAsia" w:hAnsiTheme="minorEastAsia" w:eastAsiaTheme="minorEastAsia" w:cstheme="minorEastAsia"/>
                        <w:sz w:val="28"/>
                        <w:szCs w:val="28"/>
                        <w:lang w:val="en-US" w:eastAsia="zh-CN"/>
                      </w:rPr>
                      <w:fldChar w:fldCharType="separate"/>
                    </w: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lang w:val="en-US" w:eastAsia="zh-CN"/>
                      </w:rPr>
                      <w:fldChar w:fldCharType="end"/>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4D28D0"/>
    <w:multiLevelType w:val="singleLevel"/>
    <w:tmpl w:val="DD4D28D0"/>
    <w:lvl w:ilvl="0" w:tentative="0">
      <w:start w:val="1"/>
      <w:numFmt w:val="chineseCounting"/>
      <w:suff w:val="nothing"/>
      <w:lvlText w:val="（%1）"/>
      <w:lvlJc w:val="left"/>
      <w:rPr>
        <w:rFonts w:hint="eastAsia"/>
      </w:rPr>
    </w:lvl>
  </w:abstractNum>
  <w:abstractNum w:abstractNumId="1">
    <w:nsid w:val="FBCBB7C8"/>
    <w:multiLevelType w:val="singleLevel"/>
    <w:tmpl w:val="FBCBB7C8"/>
    <w:lvl w:ilvl="0" w:tentative="0">
      <w:start w:val="1"/>
      <w:numFmt w:val="chineseCounting"/>
      <w:suff w:val="nothing"/>
      <w:lvlText w:val="（%1）"/>
      <w:lvlJc w:val="left"/>
      <w:rPr>
        <w:rFonts w:hint="eastAsia"/>
      </w:rPr>
    </w:lvl>
  </w:abstractNum>
  <w:abstractNum w:abstractNumId="2">
    <w:nsid w:val="FF6FC450"/>
    <w:multiLevelType w:val="singleLevel"/>
    <w:tmpl w:val="FF6FC450"/>
    <w:lvl w:ilvl="0" w:tentative="0">
      <w:start w:val="2"/>
      <w:numFmt w:val="chineseCounting"/>
      <w:suff w:val="space"/>
      <w:lvlText w:val="第%1节"/>
      <w:lvlJc w:val="left"/>
      <w:rPr>
        <w:rFonts w:hint="eastAsia"/>
      </w:rPr>
    </w:lvl>
  </w:abstractNum>
  <w:abstractNum w:abstractNumId="3">
    <w:nsid w:val="FF7A7E3D"/>
    <w:multiLevelType w:val="multilevel"/>
    <w:tmpl w:val="FF7A7E3D"/>
    <w:lvl w:ilvl="0" w:tentative="0">
      <w:start w:val="1"/>
      <w:numFmt w:val="chineseCounting"/>
      <w:lvlText w:val="第%1条"/>
      <w:lvlJc w:val="left"/>
      <w:pPr>
        <w:tabs>
          <w:tab w:val="left" w:pos="0"/>
        </w:tabs>
        <w:ind w:left="0" w:leftChars="0" w:firstLine="567" w:firstLineChars="0"/>
      </w:pPr>
      <w:rPr>
        <w:rFonts w:hint="eastAsia" w:ascii="Times New Roman" w:hAnsi="Times New Roman" w:eastAsia="黑体" w:cs="仿宋_GB2312"/>
        <w:b w:val="0"/>
        <w:sz w:val="32"/>
        <w:szCs w:val="32"/>
        <w:lang w:val="en-US"/>
      </w:rPr>
    </w:lvl>
    <w:lvl w:ilvl="1" w:tentative="0">
      <w:start w:val="1"/>
      <w:numFmt w:val="decimal"/>
      <w:lvlText w:val="%2、"/>
      <w:lvlJc w:val="left"/>
      <w:pPr>
        <w:ind w:left="1160" w:hanging="720"/>
      </w:pPr>
      <w:rPr>
        <w:rFonts w:hint="eastAsia"/>
        <w:color w:val="000000" w:themeColor="text1"/>
        <w14:textFill>
          <w14:solidFill>
            <w14:schemeClr w14:val="tx1"/>
          </w14:solidFill>
        </w14:textFill>
      </w:rPr>
    </w:lvl>
    <w:lvl w:ilvl="2" w:tentative="0">
      <w:start w:val="1"/>
      <w:numFmt w:val="lowerRoman"/>
      <w:lvlText w:val="%3."/>
      <w:lvlJc w:val="right"/>
      <w:pPr>
        <w:ind w:left="1320" w:hanging="440"/>
      </w:pPr>
      <w:rPr>
        <w:rFonts w:hint="eastAsia"/>
      </w:rPr>
    </w:lvl>
    <w:lvl w:ilvl="3" w:tentative="0">
      <w:start w:val="1"/>
      <w:numFmt w:val="decimal"/>
      <w:lvlText w:val="%4."/>
      <w:lvlJc w:val="left"/>
      <w:pPr>
        <w:ind w:left="1760" w:hanging="440"/>
      </w:pPr>
      <w:rPr>
        <w:rFonts w:hint="eastAsia"/>
      </w:rPr>
    </w:lvl>
    <w:lvl w:ilvl="4" w:tentative="0">
      <w:start w:val="1"/>
      <w:numFmt w:val="lowerLetter"/>
      <w:lvlText w:val="%5)"/>
      <w:lvlJc w:val="left"/>
      <w:pPr>
        <w:ind w:left="2200" w:hanging="440"/>
      </w:pPr>
      <w:rPr>
        <w:rFonts w:hint="eastAsia"/>
      </w:rPr>
    </w:lvl>
    <w:lvl w:ilvl="5" w:tentative="0">
      <w:start w:val="1"/>
      <w:numFmt w:val="lowerRoman"/>
      <w:lvlText w:val="%6."/>
      <w:lvlJc w:val="right"/>
      <w:pPr>
        <w:ind w:left="2640" w:hanging="440"/>
      </w:pPr>
      <w:rPr>
        <w:rFonts w:hint="eastAsia"/>
      </w:rPr>
    </w:lvl>
    <w:lvl w:ilvl="6" w:tentative="0">
      <w:start w:val="1"/>
      <w:numFmt w:val="decimal"/>
      <w:lvlText w:val="%7."/>
      <w:lvlJc w:val="left"/>
      <w:pPr>
        <w:ind w:left="3080" w:hanging="440"/>
      </w:pPr>
      <w:rPr>
        <w:rFonts w:hint="eastAsia"/>
      </w:rPr>
    </w:lvl>
    <w:lvl w:ilvl="7" w:tentative="0">
      <w:start w:val="1"/>
      <w:numFmt w:val="lowerLetter"/>
      <w:lvlText w:val="%8)"/>
      <w:lvlJc w:val="left"/>
      <w:pPr>
        <w:ind w:left="3520" w:hanging="440"/>
      </w:pPr>
      <w:rPr>
        <w:rFonts w:hint="eastAsia"/>
      </w:rPr>
    </w:lvl>
    <w:lvl w:ilvl="8" w:tentative="0">
      <w:start w:val="1"/>
      <w:numFmt w:val="lowerRoman"/>
      <w:lvlText w:val="%9."/>
      <w:lvlJc w:val="right"/>
      <w:pPr>
        <w:ind w:left="3960" w:hanging="440"/>
      </w:pPr>
      <w:rPr>
        <w:rFonts w:hint="eastAsia"/>
      </w:rPr>
    </w:lvl>
  </w:abstractNum>
  <w:abstractNum w:abstractNumId="4">
    <w:nsid w:val="1B9074F9"/>
    <w:multiLevelType w:val="singleLevel"/>
    <w:tmpl w:val="1B9074F9"/>
    <w:lvl w:ilvl="0" w:tentative="0">
      <w:start w:val="1"/>
      <w:numFmt w:val="chineseCounting"/>
      <w:suff w:val="nothing"/>
      <w:lvlText w:val="（%1）"/>
      <w:lvlJc w:val="left"/>
      <w:rPr>
        <w:rFonts w:hint="eastAsia"/>
      </w:rPr>
    </w:lvl>
  </w:abstractNum>
  <w:abstractNum w:abstractNumId="5">
    <w:nsid w:val="1E83F617"/>
    <w:multiLevelType w:val="singleLevel"/>
    <w:tmpl w:val="1E83F617"/>
    <w:lvl w:ilvl="0" w:tentative="0">
      <w:start w:val="1"/>
      <w:numFmt w:val="chineseCounting"/>
      <w:suff w:val="nothing"/>
      <w:lvlText w:val="（%1）"/>
      <w:lvlJc w:val="left"/>
      <w:rPr>
        <w:rFonts w:hint="eastAsia"/>
      </w:rPr>
    </w:lvl>
  </w:abstractNum>
  <w:num w:numId="1">
    <w:abstractNumId w:val="3"/>
  </w:num>
  <w:num w:numId="2">
    <w:abstractNumId w:val="2"/>
  </w:num>
  <w:num w:numId="3">
    <w:abstractNumId w:val="1"/>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evenAndOddHeaders w:val="true"/>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I1OTQyYjhjOWM2MzAzZDE0OWNkYjVhYTZlYWNmNjgifQ=="/>
  </w:docVars>
  <w:rsids>
    <w:rsidRoot w:val="2AC806FC"/>
    <w:rsid w:val="012B3B85"/>
    <w:rsid w:val="06C05506"/>
    <w:rsid w:val="076E4F74"/>
    <w:rsid w:val="07FF9F4F"/>
    <w:rsid w:val="094F6DB8"/>
    <w:rsid w:val="0C965124"/>
    <w:rsid w:val="0D01745E"/>
    <w:rsid w:val="126F44A9"/>
    <w:rsid w:val="142D027A"/>
    <w:rsid w:val="16392D84"/>
    <w:rsid w:val="18265094"/>
    <w:rsid w:val="195933FC"/>
    <w:rsid w:val="1A5D219B"/>
    <w:rsid w:val="1DFF8FCE"/>
    <w:rsid w:val="1FB609CB"/>
    <w:rsid w:val="20271481"/>
    <w:rsid w:val="218F1E52"/>
    <w:rsid w:val="21D57AF6"/>
    <w:rsid w:val="24D17597"/>
    <w:rsid w:val="25E32A3B"/>
    <w:rsid w:val="266FBFC8"/>
    <w:rsid w:val="267DD3EC"/>
    <w:rsid w:val="28C66D38"/>
    <w:rsid w:val="2AC806FC"/>
    <w:rsid w:val="2CEAF31D"/>
    <w:rsid w:val="2F050241"/>
    <w:rsid w:val="31785EF7"/>
    <w:rsid w:val="333E4625"/>
    <w:rsid w:val="33744A1A"/>
    <w:rsid w:val="340E79B7"/>
    <w:rsid w:val="37FDA749"/>
    <w:rsid w:val="3AFE72B6"/>
    <w:rsid w:val="3B7B7E47"/>
    <w:rsid w:val="3BEE8B6E"/>
    <w:rsid w:val="3E531B77"/>
    <w:rsid w:val="3F746320"/>
    <w:rsid w:val="3FDFF6FB"/>
    <w:rsid w:val="41A26A9F"/>
    <w:rsid w:val="43FA7987"/>
    <w:rsid w:val="44BA05A3"/>
    <w:rsid w:val="45B57207"/>
    <w:rsid w:val="47E1D4BE"/>
    <w:rsid w:val="4FEFAB84"/>
    <w:rsid w:val="50337F60"/>
    <w:rsid w:val="50D20D9C"/>
    <w:rsid w:val="5209326F"/>
    <w:rsid w:val="52D37854"/>
    <w:rsid w:val="533FD987"/>
    <w:rsid w:val="537B1F4B"/>
    <w:rsid w:val="54D93A5E"/>
    <w:rsid w:val="56231311"/>
    <w:rsid w:val="57F201E9"/>
    <w:rsid w:val="58F9AF3E"/>
    <w:rsid w:val="596A1D77"/>
    <w:rsid w:val="5BF154F0"/>
    <w:rsid w:val="5E3F5F1B"/>
    <w:rsid w:val="5EB70EB8"/>
    <w:rsid w:val="5EE31872"/>
    <w:rsid w:val="5EF7CE29"/>
    <w:rsid w:val="5FF95724"/>
    <w:rsid w:val="5FFA99DD"/>
    <w:rsid w:val="5FFCA6B9"/>
    <w:rsid w:val="62D14695"/>
    <w:rsid w:val="638064FB"/>
    <w:rsid w:val="667F0B6A"/>
    <w:rsid w:val="66D24F54"/>
    <w:rsid w:val="6767A309"/>
    <w:rsid w:val="6A4312EB"/>
    <w:rsid w:val="6BC53206"/>
    <w:rsid w:val="6D8339EA"/>
    <w:rsid w:val="6EBF1B14"/>
    <w:rsid w:val="6ED5A070"/>
    <w:rsid w:val="6F1238C5"/>
    <w:rsid w:val="6F7D2BEE"/>
    <w:rsid w:val="6FF98804"/>
    <w:rsid w:val="700B26DE"/>
    <w:rsid w:val="70431B07"/>
    <w:rsid w:val="7251239D"/>
    <w:rsid w:val="73B15F9A"/>
    <w:rsid w:val="73C77D9C"/>
    <w:rsid w:val="73E6EB9F"/>
    <w:rsid w:val="73FF2FA6"/>
    <w:rsid w:val="74AF063F"/>
    <w:rsid w:val="757B3752"/>
    <w:rsid w:val="76DB5D8C"/>
    <w:rsid w:val="770C5B64"/>
    <w:rsid w:val="77ABBE19"/>
    <w:rsid w:val="77AF8710"/>
    <w:rsid w:val="77F39576"/>
    <w:rsid w:val="77FBE9A9"/>
    <w:rsid w:val="77FF8EEE"/>
    <w:rsid w:val="77FFB199"/>
    <w:rsid w:val="77FFCC73"/>
    <w:rsid w:val="79275728"/>
    <w:rsid w:val="79FD0FBC"/>
    <w:rsid w:val="7ABF1569"/>
    <w:rsid w:val="7BAF7A60"/>
    <w:rsid w:val="7BEE85BF"/>
    <w:rsid w:val="7C4D0758"/>
    <w:rsid w:val="7CB7E2E7"/>
    <w:rsid w:val="7CF477B7"/>
    <w:rsid w:val="7D64D086"/>
    <w:rsid w:val="7DADE78A"/>
    <w:rsid w:val="7DCB54A8"/>
    <w:rsid w:val="7DDFEECF"/>
    <w:rsid w:val="7DFFC368"/>
    <w:rsid w:val="7E355268"/>
    <w:rsid w:val="7E39C7C2"/>
    <w:rsid w:val="7E3B0EA0"/>
    <w:rsid w:val="7E63114E"/>
    <w:rsid w:val="7E756434"/>
    <w:rsid w:val="7EBC63B3"/>
    <w:rsid w:val="7EDE1117"/>
    <w:rsid w:val="7EE2CC68"/>
    <w:rsid w:val="7F6F03FB"/>
    <w:rsid w:val="7F6FFF72"/>
    <w:rsid w:val="7F9DF33F"/>
    <w:rsid w:val="7F9F1656"/>
    <w:rsid w:val="7FA7A40C"/>
    <w:rsid w:val="7FBFC3E0"/>
    <w:rsid w:val="7FEFCCF4"/>
    <w:rsid w:val="7FFB4551"/>
    <w:rsid w:val="7FFFD975"/>
    <w:rsid w:val="8DBE5B7A"/>
    <w:rsid w:val="9AFF6DE9"/>
    <w:rsid w:val="9FDFF1A0"/>
    <w:rsid w:val="9FFF1522"/>
    <w:rsid w:val="A6DFAD29"/>
    <w:rsid w:val="A77BDD15"/>
    <w:rsid w:val="ABBF3752"/>
    <w:rsid w:val="ABC83710"/>
    <w:rsid w:val="B5A311E9"/>
    <w:rsid w:val="B7EB4ACF"/>
    <w:rsid w:val="B7ED247E"/>
    <w:rsid w:val="BCABFDDF"/>
    <w:rsid w:val="BD975E3F"/>
    <w:rsid w:val="BDF2D7A3"/>
    <w:rsid w:val="BDF5D54E"/>
    <w:rsid w:val="BEFB5E57"/>
    <w:rsid w:val="BEFDAB06"/>
    <w:rsid w:val="BF3F6C82"/>
    <w:rsid w:val="C5F883EF"/>
    <w:rsid w:val="CD9E37A8"/>
    <w:rsid w:val="D0BEE4F8"/>
    <w:rsid w:val="D7C408BF"/>
    <w:rsid w:val="D7E97133"/>
    <w:rsid w:val="DAFF86F3"/>
    <w:rsid w:val="DCDE6952"/>
    <w:rsid w:val="DDA6C1E5"/>
    <w:rsid w:val="DEBA3EFA"/>
    <w:rsid w:val="DFD2B5F0"/>
    <w:rsid w:val="DFF78F01"/>
    <w:rsid w:val="DFF7FD69"/>
    <w:rsid w:val="E1B5B493"/>
    <w:rsid w:val="E73F3D0B"/>
    <w:rsid w:val="E8EEC141"/>
    <w:rsid w:val="EAAEDF58"/>
    <w:rsid w:val="EAFB0CE9"/>
    <w:rsid w:val="EBB715FF"/>
    <w:rsid w:val="EBDFFE23"/>
    <w:rsid w:val="EF7E72D2"/>
    <w:rsid w:val="EF7F7699"/>
    <w:rsid w:val="EFB6037D"/>
    <w:rsid w:val="EFDA26D6"/>
    <w:rsid w:val="EFFF8C6A"/>
    <w:rsid w:val="F3BF69F3"/>
    <w:rsid w:val="F4BC8309"/>
    <w:rsid w:val="F4D18A96"/>
    <w:rsid w:val="F7F9E06A"/>
    <w:rsid w:val="FAAFDBDE"/>
    <w:rsid w:val="FAFF5BBB"/>
    <w:rsid w:val="FB7EF23F"/>
    <w:rsid w:val="FBF72033"/>
    <w:rsid w:val="FD5F2968"/>
    <w:rsid w:val="FD5F6A23"/>
    <w:rsid w:val="FDAF40A7"/>
    <w:rsid w:val="FDD35DD7"/>
    <w:rsid w:val="FDED15F2"/>
    <w:rsid w:val="FEFFBA79"/>
    <w:rsid w:val="FF817021"/>
    <w:rsid w:val="FFB55429"/>
    <w:rsid w:val="FFD2FEA6"/>
    <w:rsid w:val="FFEF48D7"/>
    <w:rsid w:val="FFFA5930"/>
    <w:rsid w:val="FFFE17C5"/>
    <w:rsid w:val="FFFED4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4">
    <w:name w:val="heading 2"/>
    <w:basedOn w:val="1"/>
    <w:next w:val="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2">
    <w:name w:val="heading 3"/>
    <w:basedOn w:val="1"/>
    <w:next w:val="1"/>
    <w:qFormat/>
    <w:uiPriority w:val="9"/>
    <w:pPr>
      <w:widowControl w:val="0"/>
      <w:ind w:left="1000" w:hanging="400"/>
      <w:jc w:val="both"/>
      <w:outlineLvl w:val="2"/>
    </w:pPr>
    <w:rPr>
      <w:rFonts w:ascii="Calibri" w:hAnsi="Calibri" w:eastAsia="宋体" w:cs="Times New Roman"/>
      <w:kern w:val="2"/>
      <w:sz w:val="21"/>
      <w:szCs w:val="21"/>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unhideWhenUsed/>
    <w:qFormat/>
    <w:uiPriority w:val="39"/>
  </w:style>
  <w:style w:type="paragraph" w:styleId="8">
    <w:name w:val="footnote text"/>
    <w:basedOn w:val="1"/>
    <w:semiHidden/>
    <w:unhideWhenUsed/>
    <w:qFormat/>
    <w:uiPriority w:val="99"/>
    <w:pPr>
      <w:snapToGrid w:val="0"/>
      <w:jc w:val="left"/>
    </w:pPr>
    <w:rPr>
      <w:sz w:val="18"/>
    </w:rPr>
  </w:style>
  <w:style w:type="paragraph" w:styleId="9">
    <w:name w:val="toc 2"/>
    <w:basedOn w:val="1"/>
    <w:next w:val="1"/>
    <w:unhideWhenUsed/>
    <w:qFormat/>
    <w:uiPriority w:val="39"/>
    <w:pPr>
      <w:ind w:left="420"/>
    </w:pPr>
  </w:style>
  <w:style w:type="character" w:styleId="12">
    <w:name w:val="Hyperlink"/>
    <w:basedOn w:val="11"/>
    <w:unhideWhenUsed/>
    <w:qFormat/>
    <w:uiPriority w:val="99"/>
    <w:rPr>
      <w:color w:val="0563C1" w:themeColor="hyperlink"/>
      <w:u w:val="single"/>
      <w14:textFill>
        <w14:solidFill>
          <w14:schemeClr w14:val="hlink"/>
        </w14:solidFill>
      </w14:textFill>
    </w:rPr>
  </w:style>
  <w:style w:type="character" w:styleId="13">
    <w:name w:val="footnote reference"/>
    <w:basedOn w:val="11"/>
    <w:semiHidden/>
    <w:unhideWhenUsed/>
    <w:qFormat/>
    <w:uiPriority w:val="99"/>
    <w:rPr>
      <w:vertAlign w:val="superscript"/>
    </w:rPr>
  </w:style>
  <w:style w:type="paragraph" w:customStyle="1" w:styleId="14">
    <w:name w:val="TOC 标题1"/>
    <w:basedOn w:val="3"/>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paragraph" w:styleId="15">
    <w:name w:val="List Paragraph"/>
    <w:basedOn w:val="1"/>
    <w:qFormat/>
    <w:uiPriority w:val="99"/>
    <w:pPr>
      <w:ind w:firstLine="420" w:firstLineChars="200"/>
    </w:pPr>
    <w:rPr>
      <w:rFonts w:asciiTheme="minorHAnsi" w:hAnsiTheme="minorHAnsi" w:eastAsiaTheme="minorEastAsia" w:cstheme="minorBidi"/>
      <w:szCs w:val="22"/>
      <w14:ligatures w14:val="standardContextual"/>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31</TotalTime>
  <ScaleCrop>false</ScaleCrop>
  <LinksUpToDate>false</LinksUpToDate>
  <CharactersWithSpaces>0</CharactersWithSpaces>
  <Application>WPS Office_11.8.2.10552_F1E327BC-269C-435d-A152-05C5408002CA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2024-03-15T17:27:00Z</dcterms:created>
  <dc:creator>潘乐周</dc:creator>
  <cp:lastModifiedBy>greatwall</cp:lastModifiedBy>
  <cp:lastPrinted>2024-10-10T22:32:00Z</cp:lastPrinted>
  <dcterms:modified xsi:type="dcterms:W3CDTF">2024-10-11T15:27:34Z</dcterms:modified>
  <dc:title>附件1</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2052-11.8.2.10552</vt:lpwstr>
  </property>
  <property fmtid="{D5CDD505-2E9C-101B-9397-08002B2CF9AE}" pid="3" name="ICV">
    <vt:lpwstr>03AAB591355C0DCC08E120662D1DB516</vt:lpwstr>
  </property>
</Properties>
</file>