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0C0C" w14:textId="76A53279" w:rsidR="00AB1591" w:rsidRDefault="00AB1591" w:rsidP="00AB1591">
      <w:pPr>
        <w:spacing w:line="360" w:lineRule="auto"/>
        <w:jc w:val="center"/>
        <w:rPr>
          <w:rFonts w:ascii="SimHei" w:eastAsia="SimHei" w:hAnsi="SimHei" w:cs="SimHei"/>
          <w:bCs/>
          <w:sz w:val="36"/>
          <w:szCs w:val="36"/>
        </w:rPr>
      </w:pPr>
      <w:r>
        <w:rPr>
          <w:rFonts w:ascii="SimHei" w:eastAsia="SimHei" w:hAnsi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796"/>
        <w:gridCol w:w="5783"/>
      </w:tblGrid>
      <w:tr w:rsidR="00AB1591" w14:paraId="2582B65E" w14:textId="77777777" w:rsidTr="009465B9">
        <w:trPr>
          <w:trHeight w:val="741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/>
              </w:rPr>
            </w:pPr>
            <w:proofErr w:type="spellStart"/>
            <w:r>
              <w:rPr>
                <w:rFonts w:ascii="SimSun" w:hAnsi="SimSun" w:cs="SimSun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579" w:type="dxa"/>
            <w:gridSpan w:val="2"/>
            <w:vAlign w:val="center"/>
          </w:tcPr>
          <w:p w14:paraId="4253D798" w14:textId="4B1AF018" w:rsidR="00AB1591" w:rsidRPr="00FC4DD5" w:rsidRDefault="00FC4DD5" w:rsidP="00C87A80">
            <w:pPr>
              <w:adjustRightInd w:val="0"/>
              <w:snapToGrid w:val="0"/>
              <w:spacing w:before="60" w:after="6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阿瑞斯资产管理公司收购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Wholesale DC Asset Holdings LLC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股权案</w:t>
            </w:r>
          </w:p>
        </w:tc>
      </w:tr>
      <w:tr w:rsidR="00AB1591" w14:paraId="7EA7C63F" w14:textId="77777777" w:rsidTr="00D758F5">
        <w:trPr>
          <w:trHeight w:val="1391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602DC560" w14:textId="77777777" w:rsidR="005254D7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交易概况</w:t>
            </w:r>
          </w:p>
          <w:p w14:paraId="229AFDF4" w14:textId="4B499033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（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限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200</w:t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79" w:type="dxa"/>
            <w:gridSpan w:val="2"/>
            <w:vAlign w:val="center"/>
          </w:tcPr>
          <w:p w14:paraId="43A7AAF5" w14:textId="52FB1654" w:rsidR="00DA20A1" w:rsidRDefault="00FC4DD5" w:rsidP="00FC4DD5">
            <w:pPr>
              <w:widowControl w:val="0"/>
              <w:adjustRightInd w:val="0"/>
              <w:snapToGrid w:val="0"/>
              <w:spacing w:before="60" w:after="6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阿瑞斯资产管理公司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（“</w:t>
            </w:r>
            <w:r>
              <w:rPr>
                <w:rFonts w:ascii="Arial" w:hAnsi="Arial" w:cs="Arial" w:hint="eastAsia"/>
                <w:b/>
                <w:bCs/>
                <w:color w:val="000000"/>
                <w:lang w:val="en-US"/>
              </w:rPr>
              <w:t>阿瑞斯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”）</w:t>
            </w:r>
            <w:r w:rsidR="007F68AB">
              <w:rPr>
                <w:rFonts w:ascii="SimSun" w:hAnsi="SimSun" w:cs="SimSun" w:hint="eastAsia"/>
                <w:bCs/>
                <w:color w:val="000000"/>
                <w:lang w:val="en-US"/>
              </w:rPr>
              <w:t>通过其全资子公司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和</w:t>
            </w:r>
            <w:r>
              <w:rPr>
                <w:rFonts w:ascii="Arial" w:hAnsi="Arial" w:cs="Arial" w:hint="eastAsia"/>
                <w:bCs/>
                <w:color w:val="000000"/>
                <w:lang w:val="en-US"/>
              </w:rPr>
              <w:t>麦格理集团有限公司</w:t>
            </w:r>
            <w:r w:rsidR="00D11DD1">
              <w:rPr>
                <w:rFonts w:ascii="Arial" w:hAnsi="Arial" w:cs="Arial" w:hint="eastAsia"/>
                <w:bCs/>
                <w:color w:val="000000"/>
                <w:lang w:val="en-US"/>
              </w:rPr>
              <w:t>控制</w:t>
            </w:r>
            <w:r w:rsidR="00D36CB1">
              <w:rPr>
                <w:rFonts w:ascii="Arial" w:hAnsi="Arial" w:cs="Arial" w:hint="eastAsia"/>
                <w:bCs/>
                <w:color w:val="000000"/>
                <w:lang w:val="en-US"/>
              </w:rPr>
              <w:t>的子公司</w:t>
            </w:r>
            <w:r w:rsidR="00F17F51" w:rsidRPr="00F17F51">
              <w:rPr>
                <w:rFonts w:ascii="Arial" w:hAnsi="Arial" w:cs="Arial" w:hint="eastAsia"/>
                <w:bCs/>
                <w:color w:val="000000"/>
                <w:lang w:val="en-US"/>
              </w:rPr>
              <w:t>麦格理通信基础设施控股有限责任公司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（“</w:t>
            </w:r>
            <w:r>
              <w:rPr>
                <w:rFonts w:ascii="Arial" w:hAnsi="Arial" w:cs="Arial" w:hint="eastAsia"/>
                <w:b/>
                <w:bCs/>
                <w:color w:val="000000"/>
                <w:lang w:val="en-US"/>
              </w:rPr>
              <w:t>麦格理</w:t>
            </w:r>
            <w:r w:rsidR="00D05BAF">
              <w:rPr>
                <w:rFonts w:ascii="Arial" w:hAnsi="Arial" w:cs="Arial" w:hint="eastAsia"/>
                <w:b/>
                <w:bCs/>
                <w:color w:val="000000"/>
                <w:lang w:val="en-US"/>
              </w:rPr>
              <w:t>通信基础设施</w:t>
            </w:r>
            <w:r w:rsidR="00713919">
              <w:rPr>
                <w:rFonts w:ascii="Arial" w:hAnsi="Arial" w:cs="Arial" w:hint="eastAsia"/>
                <w:b/>
                <w:bCs/>
                <w:color w:val="000000"/>
                <w:lang w:val="en-US"/>
              </w:rPr>
              <w:t>公司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”）</w:t>
            </w:r>
            <w:r w:rsidR="00D05BAF">
              <w:rPr>
                <w:rFonts w:ascii="SimSun" w:hAnsi="SimSun" w:cs="SimSun" w:hint="eastAsia"/>
                <w:bCs/>
                <w:color w:val="000000"/>
                <w:lang w:val="en-US"/>
              </w:rPr>
              <w:t>以及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Wholesale DC Asset Holdings LLC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（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“</w:t>
            </w:r>
            <w:r w:rsidRPr="00FC4DD5">
              <w:rPr>
                <w:rFonts w:ascii="Arial" w:hAnsi="Arial" w:cs="Arial"/>
                <w:b/>
                <w:bCs/>
                <w:color w:val="000000"/>
                <w:lang w:val="en-US"/>
              </w:rPr>
              <w:t>WDCAH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”）达成交易协议，根据协议，</w:t>
            </w:r>
            <w:r>
              <w:rPr>
                <w:rFonts w:ascii="Arial" w:hAnsi="Arial" w:cs="Arial" w:hint="eastAsia"/>
                <w:bCs/>
                <w:color w:val="000000"/>
                <w:lang w:val="en-US"/>
              </w:rPr>
              <w:t>阿瑞斯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将间接收购</w:t>
            </w:r>
            <w:r w:rsidR="00337AFA" w:rsidRPr="00337AFA">
              <w:rPr>
                <w:rFonts w:ascii="Arial" w:hAnsi="Arial" w:cs="Arial" w:hint="eastAsia"/>
                <w:bCs/>
                <w:color w:val="000000"/>
                <w:lang w:val="en-US"/>
              </w:rPr>
              <w:t>麦格理通信基础设施公司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目前持有的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WDCAH</w:t>
            </w:r>
            <w:r w:rsidR="00DA20A1" w:rsidRPr="00FC4DD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35%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的股权（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“</w:t>
            </w:r>
            <w:r w:rsidRPr="00FC4DD5">
              <w:rPr>
                <w:rFonts w:ascii="SimSun" w:hAnsi="SimSun" w:cs="SimSun" w:hint="eastAsia"/>
                <w:b/>
                <w:color w:val="000000"/>
                <w:lang w:val="en-US"/>
              </w:rPr>
              <w:t>本</w:t>
            </w:r>
            <w:r w:rsidRPr="00FC4DD5">
              <w:rPr>
                <w:rFonts w:ascii="SimSun" w:hAnsi="SimSun" w:cs="SimSun"/>
                <w:b/>
                <w:bCs/>
                <w:color w:val="000000"/>
                <w:lang w:val="en-US"/>
              </w:rPr>
              <w:t>交易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”）。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WDCAH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通过其关联公司在</w:t>
            </w:r>
            <w:r w:rsidR="00522196">
              <w:rPr>
                <w:rFonts w:ascii="Arial" w:hAnsi="Arial" w:cs="Arial" w:hint="eastAsia"/>
                <w:bCs/>
                <w:color w:val="000000"/>
                <w:lang w:val="en-US"/>
              </w:rPr>
              <w:t>美国</w:t>
            </w:r>
            <w:r w:rsidR="008B4784">
              <w:rPr>
                <w:rFonts w:ascii="Arial" w:hAnsi="Arial" w:cs="Arial" w:hint="eastAsia"/>
                <w:bCs/>
                <w:color w:val="000000"/>
                <w:lang w:val="en-US"/>
              </w:rPr>
              <w:t>境内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提供数据中心服务。</w:t>
            </w:r>
          </w:p>
          <w:p w14:paraId="2F377C49" w14:textId="32BA5757" w:rsidR="00AB1591" w:rsidRPr="00DA20A1" w:rsidRDefault="00FC4DD5" w:rsidP="00FC4DD5">
            <w:pPr>
              <w:widowControl w:val="0"/>
              <w:adjustRightInd w:val="0"/>
              <w:snapToGrid w:val="0"/>
              <w:spacing w:before="60" w:after="6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交易前，</w:t>
            </w:r>
            <w:r w:rsidR="00337AFA" w:rsidRPr="00337AFA">
              <w:rPr>
                <w:rFonts w:ascii="Arial" w:hAnsi="Arial" w:cs="Arial" w:hint="eastAsia"/>
                <w:bCs/>
                <w:color w:val="000000"/>
                <w:lang w:val="en-US"/>
              </w:rPr>
              <w:t>麦格理通信基础设施公司</w:t>
            </w:r>
            <w:r w:rsidR="001E5B23">
              <w:rPr>
                <w:rFonts w:ascii="Arial" w:hAnsi="Arial" w:cs="Arial" w:hint="eastAsia"/>
                <w:bCs/>
                <w:color w:val="000000"/>
                <w:lang w:val="en-US"/>
              </w:rPr>
              <w:t>持有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WDCAH 100%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的股权</w:t>
            </w:r>
            <w:r w:rsidR="001E5B23">
              <w:rPr>
                <w:rFonts w:ascii="Arial" w:hAnsi="Arial" w:cs="Arial" w:hint="eastAsia"/>
                <w:bCs/>
                <w:color w:val="000000"/>
                <w:lang w:val="en-US"/>
              </w:rPr>
              <w:t>，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并单独控制</w:t>
            </w:r>
            <w:r w:rsidR="001E5B23" w:rsidRPr="00FC4DD5">
              <w:rPr>
                <w:rFonts w:ascii="SimSun" w:hAnsi="SimSun" w:cs="SimSun"/>
                <w:bCs/>
                <w:color w:val="000000"/>
                <w:lang w:val="en-US"/>
              </w:rPr>
              <w:t>该公司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。交易完成后，</w:t>
            </w:r>
            <w:r>
              <w:rPr>
                <w:rFonts w:ascii="Arial" w:hAnsi="Arial" w:cs="Arial" w:hint="eastAsia"/>
                <w:bCs/>
                <w:color w:val="000000"/>
                <w:lang w:val="en-US"/>
              </w:rPr>
              <w:t>阿瑞斯</w:t>
            </w:r>
            <w:r w:rsidR="008B4784">
              <w:rPr>
                <w:rFonts w:ascii="Arial" w:hAnsi="Arial" w:cs="Arial" w:hint="eastAsia"/>
                <w:bCs/>
                <w:color w:val="000000"/>
                <w:lang w:val="en-US"/>
              </w:rPr>
              <w:t>将间接</w:t>
            </w:r>
            <w:r w:rsidR="008B4784" w:rsidRPr="00FC4DD5">
              <w:rPr>
                <w:rFonts w:ascii="Arial" w:hAnsi="Arial" w:cs="Arial"/>
                <w:bCs/>
                <w:color w:val="000000"/>
                <w:lang w:val="en-US"/>
              </w:rPr>
              <w:t>持有</w:t>
            </w:r>
            <w:r w:rsidR="008B4784" w:rsidRPr="00FC4DD5">
              <w:rPr>
                <w:rFonts w:ascii="Arial" w:hAnsi="Arial" w:cs="Arial"/>
                <w:bCs/>
                <w:color w:val="000000"/>
                <w:lang w:val="en-US"/>
              </w:rPr>
              <w:t>WDCAH 35%</w:t>
            </w:r>
            <w:r w:rsidR="008B4784">
              <w:rPr>
                <w:rFonts w:ascii="Arial" w:hAnsi="Arial" w:cs="Arial" w:hint="eastAsia"/>
                <w:bCs/>
                <w:color w:val="000000"/>
                <w:lang w:val="en-US"/>
              </w:rPr>
              <w:t>的股权，</w:t>
            </w:r>
            <w:r w:rsidR="00337AFA" w:rsidRPr="00337AFA">
              <w:rPr>
                <w:rFonts w:ascii="Arial" w:hAnsi="Arial" w:cs="Arial" w:hint="eastAsia"/>
                <w:bCs/>
                <w:color w:val="000000"/>
                <w:lang w:val="en-US"/>
              </w:rPr>
              <w:t>麦格理通信基础设施公司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将</w:t>
            </w:r>
            <w:r w:rsidR="008B4784" w:rsidRPr="00FC4DD5">
              <w:rPr>
                <w:rFonts w:ascii="Arial" w:hAnsi="Arial" w:cs="Arial"/>
                <w:bCs/>
                <w:color w:val="000000"/>
                <w:lang w:val="en-US"/>
              </w:rPr>
              <w:t>持有</w:t>
            </w:r>
            <w:r w:rsidR="008B4784" w:rsidRPr="00FC4DD5">
              <w:rPr>
                <w:rFonts w:ascii="Arial" w:hAnsi="Arial" w:cs="Arial"/>
                <w:bCs/>
                <w:color w:val="000000"/>
                <w:lang w:val="en-US"/>
              </w:rPr>
              <w:t>WDCAH</w:t>
            </w:r>
            <w:r w:rsidR="008B4784">
              <w:rPr>
                <w:rFonts w:ascii="Arial" w:hAnsi="Arial" w:cs="Arial" w:hint="eastAsia"/>
                <w:bCs/>
                <w:color w:val="000000"/>
                <w:lang w:val="en-US"/>
              </w:rPr>
              <w:t xml:space="preserve"> 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65%</w:t>
            </w:r>
            <w:r w:rsidRPr="00FC4DD5">
              <w:rPr>
                <w:rFonts w:ascii="Arial" w:hAnsi="Arial" w:cs="Arial"/>
                <w:bCs/>
                <w:color w:val="000000"/>
                <w:lang w:val="en-US"/>
              </w:rPr>
              <w:t>的股权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，</w:t>
            </w:r>
            <w:r w:rsidR="008B4784">
              <w:rPr>
                <w:rFonts w:ascii="SimSun" w:hAnsi="SimSun" w:cs="SimSun" w:hint="eastAsia"/>
                <w:bCs/>
                <w:color w:val="000000"/>
                <w:lang w:val="en-US"/>
              </w:rPr>
              <w:t>二者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共同控制</w:t>
            </w:r>
            <w:r w:rsidR="008B4784" w:rsidRPr="00FC4DD5">
              <w:rPr>
                <w:rFonts w:ascii="Arial" w:hAnsi="Arial" w:cs="Arial"/>
                <w:bCs/>
                <w:color w:val="000000"/>
                <w:lang w:val="en-US"/>
              </w:rPr>
              <w:t>WDCAH</w:t>
            </w:r>
            <w:r w:rsidRPr="00FC4DD5">
              <w:rPr>
                <w:rFonts w:ascii="SimSun" w:hAnsi="SimSun" w:cs="SimSun"/>
                <w:bCs/>
                <w:color w:val="000000"/>
                <w:lang w:val="en-US"/>
              </w:rPr>
              <w:t>。</w:t>
            </w:r>
          </w:p>
        </w:tc>
      </w:tr>
      <w:tr w:rsidR="00AB1591" w14:paraId="31172F65" w14:textId="77777777" w:rsidTr="00D758F5">
        <w:trPr>
          <w:trHeight w:val="942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484757CC" w14:textId="77777777" w:rsidR="005254D7" w:rsidRPr="00FC4DD5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参与集中的经营者简介</w:t>
            </w:r>
          </w:p>
          <w:p w14:paraId="056D54E7" w14:textId="56F9CD57" w:rsidR="00AB1591" w:rsidRPr="00FC4DD5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（每个限</w:t>
            </w:r>
            <w:r w:rsidRPr="00FC4DD5">
              <w:rPr>
                <w:rFonts w:ascii="Arial" w:hAnsi="Arial" w:cs="Arial"/>
                <w:bCs/>
                <w:color w:val="000000"/>
                <w:lang w:val="en-US" w:eastAsia="zh-CN"/>
              </w:rPr>
              <w:t>100</w:t>
            </w:r>
            <w:r w:rsidRPr="00FC4DD5">
              <w:rPr>
                <w:rFonts w:ascii="Arial" w:hAnsi="Arial" w:cs="Arial"/>
                <w:bCs/>
                <w:color w:val="000000"/>
                <w:lang w:val="en-US" w:eastAsia="zh-CN"/>
              </w:rPr>
              <w:t>字以内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 w14:textId="2A3FCCB2" w:rsidR="00AB1591" w:rsidRPr="00FC4DD5" w:rsidRDefault="00FC4DD5" w:rsidP="00FC4DD5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FC4DD5">
              <w:rPr>
                <w:rFonts w:ascii="Arial" w:hAnsi="Arial" w:cs="Arial"/>
                <w:bCs/>
                <w:color w:val="000000"/>
                <w:lang w:val="en-US" w:eastAsia="zh-CN"/>
              </w:rPr>
              <w:t>阿瑞斯</w:t>
            </w:r>
          </w:p>
        </w:tc>
        <w:tc>
          <w:tcPr>
            <w:tcW w:w="5783" w:type="dxa"/>
            <w:vAlign w:val="center"/>
          </w:tcPr>
          <w:p w14:paraId="54A1AC6E" w14:textId="16806854" w:rsidR="00FC4DD5" w:rsidRPr="00733470" w:rsidRDefault="00FC4DD5" w:rsidP="00FC4DD5">
            <w:pPr>
              <w:widowControl w:val="0"/>
              <w:adjustRightInd w:val="0"/>
              <w:snapToGrid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733470">
              <w:rPr>
                <w:rFonts w:ascii="Arial" w:hAnsi="Arial" w:cs="Arial"/>
                <w:bCs/>
                <w:color w:val="000000"/>
              </w:rPr>
              <w:t>阿瑞斯于</w:t>
            </w:r>
            <w:r w:rsidRPr="00733470">
              <w:rPr>
                <w:rFonts w:ascii="Arial" w:hAnsi="Arial" w:cs="Arial"/>
                <w:bCs/>
                <w:color w:val="000000"/>
              </w:rPr>
              <w:t>2013</w:t>
            </w:r>
            <w:r w:rsidRPr="00733470">
              <w:rPr>
                <w:rFonts w:ascii="Arial" w:hAnsi="Arial" w:cs="Arial"/>
                <w:bCs/>
                <w:color w:val="000000"/>
              </w:rPr>
              <w:t>年在美国成立</w:t>
            </w:r>
            <w:r w:rsidR="00340C60">
              <w:rPr>
                <w:rFonts w:ascii="Arial" w:hAnsi="Arial" w:cs="Arial" w:hint="eastAsia"/>
                <w:bCs/>
                <w:color w:val="000000"/>
              </w:rPr>
              <w:t>，</w:t>
            </w:r>
            <w:r w:rsidR="00395081">
              <w:rPr>
                <w:rFonts w:ascii="Arial" w:hAnsi="Arial" w:cs="Arial" w:hint="eastAsia"/>
                <w:bCs/>
                <w:color w:val="000000"/>
              </w:rPr>
              <w:t>为</w:t>
            </w:r>
            <w:r w:rsidRPr="00733470">
              <w:rPr>
                <w:rFonts w:ascii="Arial" w:hAnsi="Arial" w:cs="Arial"/>
                <w:bCs/>
                <w:color w:val="000000"/>
              </w:rPr>
              <w:t>纽约证券交易所上市</w:t>
            </w:r>
            <w:r w:rsidR="00395081">
              <w:rPr>
                <w:rFonts w:ascii="Arial" w:hAnsi="Arial" w:cs="Arial" w:hint="eastAsia"/>
                <w:bCs/>
                <w:color w:val="000000"/>
              </w:rPr>
              <w:t>公司</w:t>
            </w:r>
            <w:r w:rsidR="00522196">
              <w:rPr>
                <w:rFonts w:ascii="Arial" w:hAnsi="Arial" w:cs="Arial" w:hint="eastAsia"/>
                <w:bCs/>
                <w:color w:val="000000"/>
              </w:rPr>
              <w:t>，</w:t>
            </w:r>
            <w:r w:rsidRPr="00733470">
              <w:rPr>
                <w:rFonts w:ascii="Arial" w:hAnsi="Arial" w:cs="Arial"/>
                <w:bCs/>
                <w:color w:val="000000"/>
              </w:rPr>
              <w:t>主要业务</w:t>
            </w:r>
            <w:r w:rsidR="00DD2948">
              <w:rPr>
                <w:rFonts w:ascii="Arial" w:hAnsi="Arial" w:cs="Arial" w:hint="eastAsia"/>
                <w:bCs/>
                <w:color w:val="000000"/>
              </w:rPr>
              <w:t>为</w:t>
            </w:r>
            <w:r w:rsidRPr="00733470">
              <w:rPr>
                <w:rFonts w:ascii="Arial" w:hAnsi="Arial" w:cs="Arial"/>
                <w:bCs/>
                <w:color w:val="000000"/>
              </w:rPr>
              <w:t>投资。</w:t>
            </w:r>
          </w:p>
          <w:p w14:paraId="3E612D64" w14:textId="789886B5" w:rsidR="00AB1591" w:rsidRDefault="00733470" w:rsidP="00FC4DD5">
            <w:pPr>
              <w:widowControl w:val="0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</w:rPr>
            </w:pPr>
            <w:r w:rsidRPr="00733470">
              <w:rPr>
                <w:rFonts w:ascii="Arial" w:hAnsi="Arial" w:cs="Arial"/>
                <w:bCs/>
                <w:color w:val="000000"/>
              </w:rPr>
              <w:t>阿瑞斯</w:t>
            </w:r>
            <w:r w:rsidR="00FC4DD5" w:rsidRPr="00733470">
              <w:rPr>
                <w:rFonts w:ascii="Arial" w:hAnsi="Arial" w:cs="Arial"/>
                <w:bCs/>
                <w:color w:val="000000"/>
              </w:rPr>
              <w:t>的</w:t>
            </w:r>
            <w:r w:rsidRPr="00733470">
              <w:rPr>
                <w:rFonts w:ascii="Arial" w:hAnsi="Arial" w:cs="Arial"/>
                <w:bCs/>
                <w:color w:val="000000"/>
              </w:rPr>
              <w:t>股权</w:t>
            </w:r>
            <w:r w:rsidR="00FC4DD5" w:rsidRPr="00733470">
              <w:rPr>
                <w:rFonts w:ascii="Arial" w:hAnsi="Arial" w:cs="Arial"/>
                <w:bCs/>
                <w:color w:val="000000"/>
              </w:rPr>
              <w:t>结构</w:t>
            </w:r>
            <w:r w:rsidRPr="00733470">
              <w:rPr>
                <w:rFonts w:ascii="Arial" w:hAnsi="Arial" w:cs="Arial"/>
                <w:bCs/>
                <w:color w:val="000000"/>
              </w:rPr>
              <w:t>分散</w:t>
            </w:r>
            <w:r w:rsidR="00FC4DD5" w:rsidRPr="00733470">
              <w:rPr>
                <w:rFonts w:ascii="Arial" w:hAnsi="Arial" w:cs="Arial"/>
                <w:bCs/>
                <w:color w:val="000000"/>
              </w:rPr>
              <w:t>，没有最终控制人。</w:t>
            </w:r>
          </w:p>
        </w:tc>
      </w:tr>
      <w:tr w:rsidR="00AB1591" w14:paraId="03FED3EA" w14:textId="77777777" w:rsidTr="00D758F5">
        <w:trPr>
          <w:trHeight w:val="984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6181F5E7" w14:textId="77777777" w:rsidR="00AB1591" w:rsidRPr="00FC4DD5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 w14:textId="09E38F5E" w:rsidR="00AB1591" w:rsidRPr="00FC4DD5" w:rsidRDefault="00FC4DD5" w:rsidP="00FC4DD5">
            <w:pPr>
              <w:pStyle w:val="BodyText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FC4DD5">
              <w:rPr>
                <w:rFonts w:ascii="Arial" w:hAnsi="Arial" w:cs="Arial"/>
                <w:bCs/>
                <w:color w:val="000000"/>
                <w:lang w:val="en-US" w:eastAsia="zh-CN"/>
              </w:rPr>
              <w:t>麦格理</w:t>
            </w:r>
            <w:r w:rsidR="00AB4B69">
              <w:rPr>
                <w:rFonts w:ascii="Arial" w:hAnsi="Arial" w:cs="Arial" w:hint="eastAsia"/>
                <w:bCs/>
                <w:color w:val="000000"/>
                <w:lang w:val="en-US" w:eastAsia="zh-CN"/>
              </w:rPr>
              <w:t>通信基础设施</w:t>
            </w:r>
            <w:r w:rsidR="00214977">
              <w:rPr>
                <w:rFonts w:ascii="Arial" w:hAnsi="Arial" w:cs="Arial" w:hint="eastAsia"/>
                <w:bCs/>
                <w:color w:val="000000"/>
                <w:lang w:val="en-US" w:eastAsia="zh-CN"/>
              </w:rPr>
              <w:t>公司</w:t>
            </w:r>
          </w:p>
        </w:tc>
        <w:tc>
          <w:tcPr>
            <w:tcW w:w="5783" w:type="dxa"/>
            <w:vAlign w:val="center"/>
          </w:tcPr>
          <w:p w14:paraId="3058E021" w14:textId="0194BEC6" w:rsidR="009465B9" w:rsidRDefault="00A066DA" w:rsidP="00733470">
            <w:pPr>
              <w:adjustRightInd w:val="0"/>
              <w:snapToGrid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A066DA">
              <w:rPr>
                <w:rFonts w:ascii="Arial" w:hAnsi="Arial" w:cs="Arial" w:hint="eastAsia"/>
                <w:bCs/>
                <w:color w:val="000000"/>
              </w:rPr>
              <w:t>麦格理通信基础设施</w:t>
            </w:r>
            <w:r w:rsidR="00214977">
              <w:rPr>
                <w:rFonts w:ascii="Arial" w:hAnsi="Arial" w:cs="Arial" w:hint="eastAsia"/>
                <w:bCs/>
                <w:color w:val="000000"/>
                <w:lang w:val="en-US"/>
              </w:rPr>
              <w:t>公司</w:t>
            </w:r>
            <w:r>
              <w:rPr>
                <w:rFonts w:ascii="Arial" w:hAnsi="Arial" w:cs="Arial" w:hint="eastAsia"/>
                <w:bCs/>
                <w:color w:val="000000"/>
              </w:rPr>
              <w:t>于</w:t>
            </w:r>
            <w:r>
              <w:rPr>
                <w:rFonts w:ascii="Arial" w:hAnsi="Arial" w:cs="Arial" w:hint="eastAsia"/>
                <w:bCs/>
                <w:color w:val="000000"/>
              </w:rPr>
              <w:t>2020</w:t>
            </w:r>
            <w:r>
              <w:rPr>
                <w:rFonts w:ascii="Arial" w:hAnsi="Arial" w:cs="Arial" w:hint="eastAsia"/>
                <w:bCs/>
                <w:color w:val="000000"/>
              </w:rPr>
              <w:t>年</w:t>
            </w:r>
            <w:r w:rsidR="0091666C">
              <w:rPr>
                <w:rFonts w:ascii="Arial" w:hAnsi="Arial" w:cs="Arial" w:hint="eastAsia"/>
                <w:bCs/>
                <w:color w:val="000000"/>
              </w:rPr>
              <w:t>在</w:t>
            </w:r>
            <w:r w:rsidR="00C16FAA">
              <w:rPr>
                <w:rFonts w:ascii="Arial" w:hAnsi="Arial" w:cs="Arial" w:hint="eastAsia"/>
                <w:bCs/>
                <w:color w:val="000000"/>
              </w:rPr>
              <w:t>美国</w:t>
            </w:r>
            <w:r w:rsidR="0091666C">
              <w:rPr>
                <w:rFonts w:ascii="Arial" w:hAnsi="Arial" w:cs="Arial" w:hint="eastAsia"/>
                <w:bCs/>
                <w:color w:val="000000"/>
              </w:rPr>
              <w:t>成</w:t>
            </w:r>
            <w:r w:rsidR="00947748">
              <w:rPr>
                <w:rFonts w:ascii="Arial" w:hAnsi="Arial" w:cs="Arial" w:hint="eastAsia"/>
                <w:bCs/>
                <w:color w:val="000000"/>
              </w:rPr>
              <w:t>立，</w:t>
            </w:r>
            <w:r w:rsidR="00301E91" w:rsidRPr="00733470">
              <w:rPr>
                <w:rFonts w:ascii="Arial" w:hAnsi="Arial" w:cs="Arial"/>
                <w:bCs/>
                <w:color w:val="000000"/>
              </w:rPr>
              <w:t>主要业务</w:t>
            </w:r>
            <w:r w:rsidR="00CB6512">
              <w:rPr>
                <w:rFonts w:ascii="Arial" w:hAnsi="Arial" w:cs="Arial" w:hint="eastAsia"/>
                <w:bCs/>
                <w:color w:val="000000"/>
              </w:rPr>
              <w:t>为</w:t>
            </w:r>
            <w:r w:rsidR="00301E91">
              <w:rPr>
                <w:rFonts w:ascii="Arial" w:hAnsi="Arial" w:cs="Arial" w:hint="eastAsia"/>
                <w:bCs/>
                <w:color w:val="000000"/>
              </w:rPr>
              <w:t>对</w:t>
            </w:r>
            <w:r w:rsidR="00214977">
              <w:rPr>
                <w:rFonts w:ascii="Arial" w:hAnsi="Arial" w:cs="Arial" w:hint="eastAsia"/>
                <w:bCs/>
                <w:color w:val="000000"/>
              </w:rPr>
              <w:t>美国</w:t>
            </w:r>
            <w:r w:rsidR="00826A6F" w:rsidRPr="00826A6F">
              <w:rPr>
                <w:rFonts w:ascii="Arial" w:hAnsi="Arial" w:cs="Arial" w:hint="eastAsia"/>
                <w:bCs/>
                <w:color w:val="000000"/>
              </w:rPr>
              <w:t>通信基础设施领域</w:t>
            </w:r>
            <w:r w:rsidR="00301E91">
              <w:rPr>
                <w:rFonts w:ascii="Arial" w:hAnsi="Arial" w:cs="Arial" w:hint="eastAsia"/>
                <w:bCs/>
                <w:color w:val="000000"/>
              </w:rPr>
              <w:t>进行投资</w:t>
            </w:r>
            <w:r w:rsidR="00826A6F" w:rsidRPr="00826A6F">
              <w:rPr>
                <w:rFonts w:ascii="Arial" w:hAnsi="Arial" w:cs="Arial" w:hint="eastAsia"/>
                <w:bCs/>
                <w:color w:val="000000"/>
              </w:rPr>
              <w:t>。</w:t>
            </w:r>
          </w:p>
          <w:p w14:paraId="29E2FC89" w14:textId="14C15DAB" w:rsidR="00AB1591" w:rsidRDefault="00026C9C" w:rsidP="006E67A5">
            <w:pPr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</w:rPr>
            </w:pPr>
            <w:r w:rsidRPr="00A066DA">
              <w:rPr>
                <w:rFonts w:ascii="Arial" w:hAnsi="Arial" w:cs="Arial" w:hint="eastAsia"/>
                <w:bCs/>
                <w:color w:val="000000"/>
              </w:rPr>
              <w:t>麦格理通信基础设施</w:t>
            </w:r>
            <w:r w:rsidR="00214977">
              <w:rPr>
                <w:rFonts w:ascii="Arial" w:hAnsi="Arial" w:cs="Arial" w:hint="eastAsia"/>
                <w:bCs/>
                <w:color w:val="000000"/>
                <w:lang w:val="en-US"/>
              </w:rPr>
              <w:t>公司</w:t>
            </w:r>
            <w:r w:rsidR="00301E91">
              <w:rPr>
                <w:rFonts w:ascii="Arial" w:hAnsi="Arial" w:cs="Arial" w:hint="eastAsia"/>
                <w:bCs/>
                <w:color w:val="000000"/>
                <w:lang w:val="en-US"/>
              </w:rPr>
              <w:t>的</w:t>
            </w:r>
            <w:r w:rsidR="00301E91" w:rsidRPr="00733470">
              <w:rPr>
                <w:rFonts w:ascii="Arial" w:hAnsi="Arial" w:cs="Arial"/>
                <w:bCs/>
                <w:color w:val="000000"/>
              </w:rPr>
              <w:t>最终控制人</w:t>
            </w:r>
            <w:r w:rsidR="00301E91">
              <w:rPr>
                <w:rFonts w:ascii="Arial" w:hAnsi="Arial" w:cs="Arial" w:hint="eastAsia"/>
                <w:bCs/>
                <w:color w:val="000000"/>
              </w:rPr>
              <w:t>为</w:t>
            </w:r>
            <w:r w:rsidR="00826A6F" w:rsidRPr="00733470">
              <w:rPr>
                <w:rFonts w:ascii="Arial" w:hAnsi="Arial" w:cs="Arial"/>
                <w:bCs/>
                <w:color w:val="000000"/>
              </w:rPr>
              <w:t>麦格理</w:t>
            </w:r>
            <w:r w:rsidR="00301E91">
              <w:rPr>
                <w:rFonts w:ascii="Arial" w:hAnsi="Arial" w:cs="Arial" w:hint="eastAsia"/>
                <w:bCs/>
                <w:color w:val="000000"/>
              </w:rPr>
              <w:t>集团有限公司</w:t>
            </w:r>
            <w:r w:rsidR="00DD2948">
              <w:rPr>
                <w:rFonts w:ascii="Arial" w:hAnsi="Arial" w:cs="Arial" w:hint="eastAsia"/>
                <w:bCs/>
                <w:color w:val="000000"/>
              </w:rPr>
              <w:t>，</w:t>
            </w:r>
            <w:r w:rsidR="00733470" w:rsidRPr="00733470">
              <w:rPr>
                <w:rFonts w:ascii="Arial" w:hAnsi="Arial" w:cs="Arial"/>
                <w:bCs/>
                <w:color w:val="000000"/>
              </w:rPr>
              <w:t>主要业务</w:t>
            </w:r>
            <w:r w:rsidR="00DD2948">
              <w:rPr>
                <w:rFonts w:ascii="Arial" w:hAnsi="Arial" w:cs="Arial" w:hint="eastAsia"/>
                <w:bCs/>
                <w:color w:val="000000"/>
              </w:rPr>
              <w:t>为</w:t>
            </w:r>
            <w:r w:rsidR="00733470" w:rsidRPr="00733470">
              <w:rPr>
                <w:rFonts w:ascii="Arial" w:hAnsi="Arial" w:cs="Arial"/>
                <w:bCs/>
                <w:color w:val="000000"/>
              </w:rPr>
              <w:t>提供各</w:t>
            </w:r>
            <w:r w:rsidR="00340C60">
              <w:rPr>
                <w:rFonts w:ascii="Arial" w:hAnsi="Arial" w:cs="Arial" w:hint="eastAsia"/>
                <w:bCs/>
                <w:color w:val="000000"/>
              </w:rPr>
              <w:t>类</w:t>
            </w:r>
            <w:r w:rsidR="00733470" w:rsidRPr="00733470">
              <w:rPr>
                <w:rFonts w:ascii="Arial" w:hAnsi="Arial" w:cs="Arial"/>
                <w:bCs/>
                <w:color w:val="000000"/>
              </w:rPr>
              <w:t>金融服务。</w:t>
            </w:r>
          </w:p>
        </w:tc>
      </w:tr>
      <w:tr w:rsidR="00AB1591" w14:paraId="501E4A19" w14:textId="77777777" w:rsidTr="00D758F5">
        <w:trPr>
          <w:trHeight w:val="367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431CA729" w14:textId="77777777" w:rsidR="005254D7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简易案件理由</w:t>
            </w:r>
          </w:p>
          <w:p w14:paraId="621457B3" w14:textId="74001B1A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 w14:textId="12FC18BA" w:rsidR="00AB1591" w:rsidRDefault="00FC4DD5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1.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15%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0A058781" w14:textId="77777777" w:rsidTr="00D758F5">
        <w:trPr>
          <w:trHeight w:val="163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50D7F7E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 w14:textId="6F1080C4" w:rsidR="00AB1591" w:rsidRDefault="002703AE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2.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19E202C9" w14:textId="77777777" w:rsidTr="00D758F5">
        <w:trPr>
          <w:trHeight w:val="26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2C1E95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 w14:textId="77777777" w:rsidR="00AB1591" w:rsidRDefault="00AB1591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3.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496AF483" w14:textId="77777777" w:rsidTr="00D758F5">
        <w:trPr>
          <w:trHeight w:val="61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0E9192B8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 w14:textId="77777777" w:rsidR="00AB1591" w:rsidRDefault="00AB1591" w:rsidP="00C87A80">
            <w:pPr>
              <w:pStyle w:val="BodyText"/>
              <w:pageBreakBefore/>
              <w:widowControl w:val="0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4.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14:paraId="7734741B" w14:textId="77777777" w:rsidTr="00D758F5">
        <w:trPr>
          <w:trHeight w:val="28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273332EA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 w14:textId="453CE058" w:rsidR="00AB1591" w:rsidRDefault="00FC4DD5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 w:rsidRPr="00214977">
              <w:rPr>
                <w:rFonts w:ascii="Arial" w:hAnsi="Arial" w:cs="Arial"/>
              </w:rPr>
              <w:sym w:font="Wingdings" w:char="00FE"/>
            </w:r>
            <w:r w:rsidR="00AB1591"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="00AB1591" w:rsidRPr="00FC4DD5">
              <w:rPr>
                <w:rFonts w:ascii="Arial" w:hAnsi="Arial" w:cs="Arial"/>
                <w:bCs/>
                <w:color w:val="000000"/>
                <w:lang w:eastAsia="zh-CN"/>
              </w:rPr>
              <w:t>5.</w:t>
            </w:r>
            <w:r w:rsidR="00AB1591" w:rsidRPr="001435C8">
              <w:rPr>
                <w:rFonts w:ascii="SimSun" w:hAnsi="SimSun" w:cs="SimSun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14:paraId="7849EFAA" w14:textId="77777777" w:rsidTr="00D758F5">
        <w:trPr>
          <w:trHeight w:val="34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25739E7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 w14:textId="77777777" w:rsidR="00AB1591" w:rsidRDefault="00AB1591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 xml:space="preserve"> </w:t>
            </w:r>
            <w:r w:rsidRPr="00FC4DD5">
              <w:rPr>
                <w:rFonts w:ascii="Arial" w:hAnsi="Arial" w:cs="Arial"/>
                <w:bCs/>
                <w:color w:val="000000"/>
                <w:lang w:eastAsia="zh-CN"/>
              </w:rPr>
              <w:t>6.</w:t>
            </w:r>
            <w:r w:rsidRPr="001435C8">
              <w:rPr>
                <w:rFonts w:ascii="SimSun" w:hAnsi="SimSun" w:cs="SimSun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14:paraId="766EFD51" w14:textId="77777777" w:rsidTr="006E67A5">
        <w:trPr>
          <w:trHeight w:val="662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 w14:textId="68997832" w:rsidR="00AB1591" w:rsidRPr="00FC4DD5" w:rsidRDefault="00FC4DD5" w:rsidP="00C87A80">
            <w:pPr>
              <w:pStyle w:val="BodyText"/>
              <w:adjustRightInd w:val="0"/>
              <w:snapToGrid w:val="0"/>
              <w:spacing w:before="60" w:after="60"/>
              <w:rPr>
                <w:rFonts w:ascii="SimSun" w:hAnsi="SimSun" w:cs="SimSun"/>
                <w:bCs/>
                <w:color w:val="000000"/>
              </w:rPr>
            </w:pPr>
            <w:r w:rsidRPr="00FC4DD5">
              <w:rPr>
                <w:rFonts w:ascii="SimSun" w:hAnsi="SimSun" w:cs="SimSun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 w14:textId="5E4E9D91" w:rsidR="00AB1591" w:rsidRPr="00CD0F23" w:rsidRDefault="00AB1591">
      <w:pPr>
        <w:spacing w:after="0"/>
        <w:jc w:val="left"/>
        <w:rPr>
          <w:rFonts w:ascii="SimSun" w:hAnsi="SimSun" w:cs="方正小标宋_GBK"/>
          <w:sz w:val="20"/>
          <w:szCs w:val="20"/>
        </w:rPr>
      </w:pPr>
    </w:p>
    <w:sectPr w:rsidR="00AB1591" w:rsidRPr="00CD0F23" w:rsidSect="003713CD">
      <w:head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923E" w14:textId="77777777" w:rsidR="000C1C03" w:rsidRDefault="000C1C03">
      <w:pPr>
        <w:spacing w:after="0"/>
      </w:pPr>
      <w:r>
        <w:separator/>
      </w:r>
    </w:p>
  </w:endnote>
  <w:endnote w:type="continuationSeparator" w:id="0">
    <w:p w14:paraId="7622D5E7" w14:textId="77777777" w:rsidR="000C1C03" w:rsidRDefault="000C1C03">
      <w:pPr>
        <w:spacing w:after="0"/>
      </w:pPr>
      <w:r>
        <w:continuationSeparator/>
      </w:r>
    </w:p>
  </w:endnote>
  <w:endnote w:type="continuationNotice" w:id="1">
    <w:p w14:paraId="71CDAA2C" w14:textId="77777777" w:rsidR="000C1C03" w:rsidRDefault="000C1C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altName w:val="Microsoft YaHei"/>
    <w:charset w:val="86"/>
    <w:family w:val="auto"/>
    <w:pitch w:val="default"/>
    <w:sig w:usb0="00000000" w:usb1="00000000" w:usb2="00082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6B1DE" w14:textId="77777777" w:rsidR="000C1C03" w:rsidRDefault="000C1C03">
      <w:pPr>
        <w:spacing w:after="0"/>
      </w:pPr>
      <w:r>
        <w:separator/>
      </w:r>
    </w:p>
  </w:footnote>
  <w:footnote w:type="continuationSeparator" w:id="0">
    <w:p w14:paraId="39CCD7DA" w14:textId="77777777" w:rsidR="000C1C03" w:rsidRDefault="000C1C03">
      <w:pPr>
        <w:spacing w:after="0"/>
      </w:pPr>
      <w:r>
        <w:continuationSeparator/>
      </w:r>
    </w:p>
  </w:footnote>
  <w:footnote w:type="continuationNotice" w:id="1">
    <w:p w14:paraId="40897A97" w14:textId="77777777" w:rsidR="000C1C03" w:rsidRDefault="000C1C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6C63" w14:textId="12FE3604" w:rsidR="00504C06" w:rsidRPr="00504C06" w:rsidRDefault="00504C06" w:rsidP="00504C06">
    <w:pPr>
      <w:pStyle w:val="Header"/>
      <w:wordWrap w:val="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F175E1A"/>
    <w:multiLevelType w:val="hybridMultilevel"/>
    <w:tmpl w:val="A9883A04"/>
    <w:lvl w:ilvl="0" w:tplc="A2201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  <w:num w:numId="4" w16cid:durableId="1437018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484E"/>
    <w:rsid w:val="00011ED2"/>
    <w:rsid w:val="000150B7"/>
    <w:rsid w:val="00021AB2"/>
    <w:rsid w:val="00026C9C"/>
    <w:rsid w:val="00031015"/>
    <w:rsid w:val="000326C8"/>
    <w:rsid w:val="000350B3"/>
    <w:rsid w:val="00041C40"/>
    <w:rsid w:val="0004292A"/>
    <w:rsid w:val="000467AA"/>
    <w:rsid w:val="00062616"/>
    <w:rsid w:val="000678AF"/>
    <w:rsid w:val="00071A98"/>
    <w:rsid w:val="00073E6B"/>
    <w:rsid w:val="0007723F"/>
    <w:rsid w:val="00077D60"/>
    <w:rsid w:val="00083590"/>
    <w:rsid w:val="00092F4E"/>
    <w:rsid w:val="000B58E5"/>
    <w:rsid w:val="000B5958"/>
    <w:rsid w:val="000B653C"/>
    <w:rsid w:val="000C12E5"/>
    <w:rsid w:val="000C1A99"/>
    <w:rsid w:val="000C1C03"/>
    <w:rsid w:val="000C6953"/>
    <w:rsid w:val="000D0853"/>
    <w:rsid w:val="000D2F71"/>
    <w:rsid w:val="000E29A9"/>
    <w:rsid w:val="000E3A81"/>
    <w:rsid w:val="000F4EC5"/>
    <w:rsid w:val="00107E19"/>
    <w:rsid w:val="00115F62"/>
    <w:rsid w:val="00123E26"/>
    <w:rsid w:val="0013032F"/>
    <w:rsid w:val="00135663"/>
    <w:rsid w:val="001435C8"/>
    <w:rsid w:val="00144ED5"/>
    <w:rsid w:val="00145A04"/>
    <w:rsid w:val="00145B05"/>
    <w:rsid w:val="00157512"/>
    <w:rsid w:val="001639D8"/>
    <w:rsid w:val="00167474"/>
    <w:rsid w:val="00173804"/>
    <w:rsid w:val="00186A05"/>
    <w:rsid w:val="001965E2"/>
    <w:rsid w:val="001A49D1"/>
    <w:rsid w:val="001B4EA1"/>
    <w:rsid w:val="001C5840"/>
    <w:rsid w:val="001C611D"/>
    <w:rsid w:val="001D1555"/>
    <w:rsid w:val="001D6168"/>
    <w:rsid w:val="001E0F1F"/>
    <w:rsid w:val="001E5B23"/>
    <w:rsid w:val="001F346E"/>
    <w:rsid w:val="001F35AA"/>
    <w:rsid w:val="001F367B"/>
    <w:rsid w:val="002003C5"/>
    <w:rsid w:val="00214977"/>
    <w:rsid w:val="00224A7C"/>
    <w:rsid w:val="00226ABA"/>
    <w:rsid w:val="00227605"/>
    <w:rsid w:val="002278D1"/>
    <w:rsid w:val="00231665"/>
    <w:rsid w:val="00233737"/>
    <w:rsid w:val="002403B5"/>
    <w:rsid w:val="00245281"/>
    <w:rsid w:val="00250E61"/>
    <w:rsid w:val="00261F94"/>
    <w:rsid w:val="002676B9"/>
    <w:rsid w:val="00267941"/>
    <w:rsid w:val="002703AE"/>
    <w:rsid w:val="0027717D"/>
    <w:rsid w:val="00287E91"/>
    <w:rsid w:val="00291652"/>
    <w:rsid w:val="00295A9A"/>
    <w:rsid w:val="002964A1"/>
    <w:rsid w:val="002A25F2"/>
    <w:rsid w:val="002A7C26"/>
    <w:rsid w:val="002B62E7"/>
    <w:rsid w:val="002C7064"/>
    <w:rsid w:val="002D0419"/>
    <w:rsid w:val="002E19BF"/>
    <w:rsid w:val="002F09A7"/>
    <w:rsid w:val="002F5271"/>
    <w:rsid w:val="00301E91"/>
    <w:rsid w:val="00306B88"/>
    <w:rsid w:val="00310488"/>
    <w:rsid w:val="00311263"/>
    <w:rsid w:val="00330F4D"/>
    <w:rsid w:val="00337AFA"/>
    <w:rsid w:val="00340C60"/>
    <w:rsid w:val="0034107F"/>
    <w:rsid w:val="00344D27"/>
    <w:rsid w:val="0035604C"/>
    <w:rsid w:val="00371332"/>
    <w:rsid w:val="003713CD"/>
    <w:rsid w:val="00373288"/>
    <w:rsid w:val="0037525D"/>
    <w:rsid w:val="003850D4"/>
    <w:rsid w:val="00385F00"/>
    <w:rsid w:val="003866EF"/>
    <w:rsid w:val="00395081"/>
    <w:rsid w:val="003A4565"/>
    <w:rsid w:val="003B27EC"/>
    <w:rsid w:val="003B2F86"/>
    <w:rsid w:val="003B4439"/>
    <w:rsid w:val="003B4C9E"/>
    <w:rsid w:val="003B7CBC"/>
    <w:rsid w:val="003C3456"/>
    <w:rsid w:val="003D3FCB"/>
    <w:rsid w:val="003E3B57"/>
    <w:rsid w:val="003E73DB"/>
    <w:rsid w:val="003F1EAC"/>
    <w:rsid w:val="004069FD"/>
    <w:rsid w:val="00410914"/>
    <w:rsid w:val="004119F5"/>
    <w:rsid w:val="004166B2"/>
    <w:rsid w:val="004203EF"/>
    <w:rsid w:val="00427E52"/>
    <w:rsid w:val="00434F8B"/>
    <w:rsid w:val="00446353"/>
    <w:rsid w:val="0044739B"/>
    <w:rsid w:val="00447FA5"/>
    <w:rsid w:val="00467A6B"/>
    <w:rsid w:val="00481761"/>
    <w:rsid w:val="00483A62"/>
    <w:rsid w:val="0049707A"/>
    <w:rsid w:val="004973DB"/>
    <w:rsid w:val="0049771A"/>
    <w:rsid w:val="004A4BF1"/>
    <w:rsid w:val="004C3420"/>
    <w:rsid w:val="004D018B"/>
    <w:rsid w:val="004D124C"/>
    <w:rsid w:val="004D4435"/>
    <w:rsid w:val="00504C06"/>
    <w:rsid w:val="00504EF0"/>
    <w:rsid w:val="00512A53"/>
    <w:rsid w:val="00522196"/>
    <w:rsid w:val="00523905"/>
    <w:rsid w:val="005251B9"/>
    <w:rsid w:val="005254D7"/>
    <w:rsid w:val="00530BB4"/>
    <w:rsid w:val="005408CF"/>
    <w:rsid w:val="00545A47"/>
    <w:rsid w:val="005465C6"/>
    <w:rsid w:val="005517F9"/>
    <w:rsid w:val="00557B7E"/>
    <w:rsid w:val="0057200D"/>
    <w:rsid w:val="00584750"/>
    <w:rsid w:val="00591CEC"/>
    <w:rsid w:val="005A74EA"/>
    <w:rsid w:val="005B0CEB"/>
    <w:rsid w:val="005B18A3"/>
    <w:rsid w:val="005B3C6E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44346"/>
    <w:rsid w:val="00645B6A"/>
    <w:rsid w:val="00651ED7"/>
    <w:rsid w:val="00652D70"/>
    <w:rsid w:val="00655225"/>
    <w:rsid w:val="0066196C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D6827"/>
    <w:rsid w:val="006E0D98"/>
    <w:rsid w:val="006E3180"/>
    <w:rsid w:val="006E67A5"/>
    <w:rsid w:val="006E6E26"/>
    <w:rsid w:val="006E70AA"/>
    <w:rsid w:val="006F28E7"/>
    <w:rsid w:val="006F7A98"/>
    <w:rsid w:val="007029CB"/>
    <w:rsid w:val="00705778"/>
    <w:rsid w:val="00710977"/>
    <w:rsid w:val="0071288A"/>
    <w:rsid w:val="0071373B"/>
    <w:rsid w:val="00713919"/>
    <w:rsid w:val="00720F7B"/>
    <w:rsid w:val="00726B19"/>
    <w:rsid w:val="00727BD0"/>
    <w:rsid w:val="00733470"/>
    <w:rsid w:val="007373F0"/>
    <w:rsid w:val="00742AFE"/>
    <w:rsid w:val="00742EDF"/>
    <w:rsid w:val="00751420"/>
    <w:rsid w:val="007674D7"/>
    <w:rsid w:val="00772298"/>
    <w:rsid w:val="00787EE8"/>
    <w:rsid w:val="00794062"/>
    <w:rsid w:val="00797584"/>
    <w:rsid w:val="007A01AE"/>
    <w:rsid w:val="007A2D94"/>
    <w:rsid w:val="007B651A"/>
    <w:rsid w:val="007B6ED8"/>
    <w:rsid w:val="007B75E4"/>
    <w:rsid w:val="007C3350"/>
    <w:rsid w:val="007E2608"/>
    <w:rsid w:val="007F1726"/>
    <w:rsid w:val="007F68AB"/>
    <w:rsid w:val="0080200E"/>
    <w:rsid w:val="00803A33"/>
    <w:rsid w:val="008051ED"/>
    <w:rsid w:val="00811775"/>
    <w:rsid w:val="008248B2"/>
    <w:rsid w:val="00826A6F"/>
    <w:rsid w:val="00834D88"/>
    <w:rsid w:val="00843E38"/>
    <w:rsid w:val="00852F66"/>
    <w:rsid w:val="00853A27"/>
    <w:rsid w:val="00864085"/>
    <w:rsid w:val="008803D0"/>
    <w:rsid w:val="00880F24"/>
    <w:rsid w:val="008836AF"/>
    <w:rsid w:val="00885690"/>
    <w:rsid w:val="00885C9B"/>
    <w:rsid w:val="00893879"/>
    <w:rsid w:val="008A5DE9"/>
    <w:rsid w:val="008B2172"/>
    <w:rsid w:val="008B4784"/>
    <w:rsid w:val="008D4ED8"/>
    <w:rsid w:val="008D644E"/>
    <w:rsid w:val="008E5BCA"/>
    <w:rsid w:val="009022B0"/>
    <w:rsid w:val="00905F4A"/>
    <w:rsid w:val="009145E4"/>
    <w:rsid w:val="0091666C"/>
    <w:rsid w:val="009301D9"/>
    <w:rsid w:val="0094346F"/>
    <w:rsid w:val="009465B9"/>
    <w:rsid w:val="00947748"/>
    <w:rsid w:val="00953187"/>
    <w:rsid w:val="009551E9"/>
    <w:rsid w:val="0096333E"/>
    <w:rsid w:val="009668EC"/>
    <w:rsid w:val="00977C3B"/>
    <w:rsid w:val="00985214"/>
    <w:rsid w:val="00986A9A"/>
    <w:rsid w:val="009901B5"/>
    <w:rsid w:val="009A0BCC"/>
    <w:rsid w:val="009A2EFA"/>
    <w:rsid w:val="009A57C5"/>
    <w:rsid w:val="009A6CD4"/>
    <w:rsid w:val="009A6E66"/>
    <w:rsid w:val="009B0211"/>
    <w:rsid w:val="009B13F3"/>
    <w:rsid w:val="009C16F8"/>
    <w:rsid w:val="009C1DE7"/>
    <w:rsid w:val="009C5625"/>
    <w:rsid w:val="009C5962"/>
    <w:rsid w:val="009D0999"/>
    <w:rsid w:val="009E679E"/>
    <w:rsid w:val="009F0698"/>
    <w:rsid w:val="00A05705"/>
    <w:rsid w:val="00A066DA"/>
    <w:rsid w:val="00A14643"/>
    <w:rsid w:val="00A16F03"/>
    <w:rsid w:val="00A20754"/>
    <w:rsid w:val="00A21136"/>
    <w:rsid w:val="00A2266D"/>
    <w:rsid w:val="00A30D94"/>
    <w:rsid w:val="00A3323A"/>
    <w:rsid w:val="00A46C66"/>
    <w:rsid w:val="00A46FAF"/>
    <w:rsid w:val="00A51542"/>
    <w:rsid w:val="00A5674A"/>
    <w:rsid w:val="00A60B03"/>
    <w:rsid w:val="00A623EF"/>
    <w:rsid w:val="00A631C4"/>
    <w:rsid w:val="00A64F91"/>
    <w:rsid w:val="00A7438D"/>
    <w:rsid w:val="00A74797"/>
    <w:rsid w:val="00A7601D"/>
    <w:rsid w:val="00A81984"/>
    <w:rsid w:val="00A84879"/>
    <w:rsid w:val="00A95E6B"/>
    <w:rsid w:val="00A95F7F"/>
    <w:rsid w:val="00AA0F23"/>
    <w:rsid w:val="00AA3E2F"/>
    <w:rsid w:val="00AA46CA"/>
    <w:rsid w:val="00AA535B"/>
    <w:rsid w:val="00AB1591"/>
    <w:rsid w:val="00AB4B69"/>
    <w:rsid w:val="00AB620A"/>
    <w:rsid w:val="00AC3273"/>
    <w:rsid w:val="00AC68C4"/>
    <w:rsid w:val="00AD310D"/>
    <w:rsid w:val="00AD3D4D"/>
    <w:rsid w:val="00AE4069"/>
    <w:rsid w:val="00AE53BE"/>
    <w:rsid w:val="00AE7916"/>
    <w:rsid w:val="00AF09EA"/>
    <w:rsid w:val="00AF1D6D"/>
    <w:rsid w:val="00AF5632"/>
    <w:rsid w:val="00AF7089"/>
    <w:rsid w:val="00B04913"/>
    <w:rsid w:val="00B2169A"/>
    <w:rsid w:val="00B31D4D"/>
    <w:rsid w:val="00B3318F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A017F"/>
    <w:rsid w:val="00BD535F"/>
    <w:rsid w:val="00BE6E64"/>
    <w:rsid w:val="00BF31B7"/>
    <w:rsid w:val="00BF4F99"/>
    <w:rsid w:val="00C10048"/>
    <w:rsid w:val="00C16FAA"/>
    <w:rsid w:val="00C25EA9"/>
    <w:rsid w:val="00C30E9B"/>
    <w:rsid w:val="00C37AC2"/>
    <w:rsid w:val="00C424FC"/>
    <w:rsid w:val="00C51ECC"/>
    <w:rsid w:val="00C600D9"/>
    <w:rsid w:val="00C67ADA"/>
    <w:rsid w:val="00C70A45"/>
    <w:rsid w:val="00C778B0"/>
    <w:rsid w:val="00C810E8"/>
    <w:rsid w:val="00C847C2"/>
    <w:rsid w:val="00C87A80"/>
    <w:rsid w:val="00C90BF7"/>
    <w:rsid w:val="00C9599F"/>
    <w:rsid w:val="00CA6613"/>
    <w:rsid w:val="00CB6512"/>
    <w:rsid w:val="00CC25D0"/>
    <w:rsid w:val="00CC69AD"/>
    <w:rsid w:val="00CD0F23"/>
    <w:rsid w:val="00CD4F63"/>
    <w:rsid w:val="00CF1664"/>
    <w:rsid w:val="00CF5A8A"/>
    <w:rsid w:val="00D01278"/>
    <w:rsid w:val="00D05BAF"/>
    <w:rsid w:val="00D11DD1"/>
    <w:rsid w:val="00D12AB1"/>
    <w:rsid w:val="00D210DE"/>
    <w:rsid w:val="00D23B36"/>
    <w:rsid w:val="00D27AEB"/>
    <w:rsid w:val="00D36CB1"/>
    <w:rsid w:val="00D53BAE"/>
    <w:rsid w:val="00D55E44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0AEB"/>
    <w:rsid w:val="00DA1D73"/>
    <w:rsid w:val="00DA20A1"/>
    <w:rsid w:val="00DB2761"/>
    <w:rsid w:val="00DB2FF6"/>
    <w:rsid w:val="00DC36C9"/>
    <w:rsid w:val="00DD0E0C"/>
    <w:rsid w:val="00DD2948"/>
    <w:rsid w:val="00DD7765"/>
    <w:rsid w:val="00DE522D"/>
    <w:rsid w:val="00DF5521"/>
    <w:rsid w:val="00E04595"/>
    <w:rsid w:val="00E06974"/>
    <w:rsid w:val="00E23955"/>
    <w:rsid w:val="00E340CC"/>
    <w:rsid w:val="00E417DF"/>
    <w:rsid w:val="00E47327"/>
    <w:rsid w:val="00E66815"/>
    <w:rsid w:val="00E7385D"/>
    <w:rsid w:val="00E808EA"/>
    <w:rsid w:val="00E86579"/>
    <w:rsid w:val="00E90A19"/>
    <w:rsid w:val="00E974F8"/>
    <w:rsid w:val="00EA2741"/>
    <w:rsid w:val="00EA2758"/>
    <w:rsid w:val="00EA38E5"/>
    <w:rsid w:val="00EA79DA"/>
    <w:rsid w:val="00EC1274"/>
    <w:rsid w:val="00EC3217"/>
    <w:rsid w:val="00EC636E"/>
    <w:rsid w:val="00EC7E55"/>
    <w:rsid w:val="00ED48C5"/>
    <w:rsid w:val="00ED6F93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17F51"/>
    <w:rsid w:val="00F20CCE"/>
    <w:rsid w:val="00F3614E"/>
    <w:rsid w:val="00F56870"/>
    <w:rsid w:val="00F576E0"/>
    <w:rsid w:val="00F6440C"/>
    <w:rsid w:val="00F76063"/>
    <w:rsid w:val="00F87813"/>
    <w:rsid w:val="00F901CF"/>
    <w:rsid w:val="00F90205"/>
    <w:rsid w:val="00F906EF"/>
    <w:rsid w:val="00FB1FA1"/>
    <w:rsid w:val="00FB33FD"/>
    <w:rsid w:val="00FB645E"/>
    <w:rsid w:val="00FC35ED"/>
    <w:rsid w:val="00FC4DD5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styleId="Revision">
    <w:name w:val="Revision"/>
    <w:hidden/>
    <w:uiPriority w:val="99"/>
    <w:unhideWhenUsed/>
    <w:rsid w:val="007F68AB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2025-01-06T15:01:00Z</dcterms:created>
  <dcterms:modified xsi:type="dcterms:W3CDTF">2025-01-06T15:01:00Z</dcterms:modified>
</cp:coreProperties>
</file>