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CAEBA" w14:textId="77777777" w:rsidR="00DE54A8" w:rsidRPr="005F61CA" w:rsidRDefault="00DE54A8" w:rsidP="00DE54A8">
      <w:pPr>
        <w:jc w:val="center"/>
        <w:rPr>
          <w:rFonts w:ascii="黑体" w:eastAsia="黑体" w:hAnsi="黑体"/>
          <w:sz w:val="36"/>
          <w:szCs w:val="36"/>
        </w:rPr>
      </w:pPr>
      <w:r w:rsidRPr="005F61CA">
        <w:rPr>
          <w:rFonts w:ascii="黑体" w:eastAsia="黑体" w:hAnsi="黑体"/>
          <w:sz w:val="36"/>
          <w:szCs w:val="36"/>
        </w:rPr>
        <w:t>经营者集中简易案件公示表</w:t>
      </w:r>
    </w:p>
    <w:p w14:paraId="5FB7F687" w14:textId="77777777" w:rsidR="00DE54A8" w:rsidRPr="005F61CA" w:rsidRDefault="00DE54A8" w:rsidP="00DE54A8">
      <w:pPr>
        <w:pStyle w:val="BodyText"/>
        <w:spacing w:before="1"/>
        <w:rPr>
          <w:rFonts w:ascii="黑体"/>
          <w:sz w:val="20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0"/>
        <w:gridCol w:w="1607"/>
        <w:gridCol w:w="6093"/>
      </w:tblGrid>
      <w:tr w:rsidR="005F61CA" w:rsidRPr="005F61CA" w14:paraId="60ABB3E9" w14:textId="77777777" w:rsidTr="00FC066A">
        <w:trPr>
          <w:trHeight w:val="426"/>
        </w:trPr>
        <w:tc>
          <w:tcPr>
            <w:tcW w:w="1940" w:type="dxa"/>
            <w:shd w:val="clear" w:color="auto" w:fill="D9D9D9"/>
            <w:vAlign w:val="center"/>
          </w:tcPr>
          <w:p w14:paraId="2F797488" w14:textId="77777777" w:rsidR="00DE54A8" w:rsidRPr="005F61CA" w:rsidRDefault="00DE54A8" w:rsidP="00FC066A">
            <w:pPr>
              <w:pStyle w:val="TableParagraph"/>
              <w:spacing w:before="1"/>
              <w:ind w:left="108"/>
              <w:rPr>
                <w:sz w:val="24"/>
              </w:rPr>
            </w:pPr>
            <w:r w:rsidRPr="005F61CA">
              <w:rPr>
                <w:sz w:val="24"/>
              </w:rPr>
              <w:t>案件名称</w:t>
            </w:r>
          </w:p>
        </w:tc>
        <w:tc>
          <w:tcPr>
            <w:tcW w:w="7700" w:type="dxa"/>
            <w:gridSpan w:val="2"/>
            <w:vAlign w:val="center"/>
          </w:tcPr>
          <w:p w14:paraId="617856ED" w14:textId="012197CA" w:rsidR="00DE54A8" w:rsidRPr="005F61CA" w:rsidRDefault="00831B74" w:rsidP="00FC066A">
            <w:pPr>
              <w:pStyle w:val="TableParagraph"/>
              <w:spacing w:before="13" w:line="271" w:lineRule="auto"/>
              <w:ind w:right="97"/>
              <w:rPr>
                <w:sz w:val="24"/>
              </w:rPr>
            </w:pPr>
            <w:r w:rsidRPr="005F61CA">
              <w:rPr>
                <w:rFonts w:hint="eastAsia"/>
                <w:sz w:val="24"/>
              </w:rPr>
              <w:t>格林美香港国际物流有限公司</w:t>
            </w:r>
            <w:r w:rsidR="00637856" w:rsidRPr="005F61CA">
              <w:rPr>
                <w:rFonts w:hint="eastAsia"/>
                <w:sz w:val="24"/>
              </w:rPr>
              <w:t>收购</w:t>
            </w:r>
            <w:r w:rsidR="00637856" w:rsidRPr="005F61CA">
              <w:rPr>
                <w:sz w:val="24"/>
              </w:rPr>
              <w:t>PT Bahodopi Nickel Smelting Indonesia股权</w:t>
            </w:r>
            <w:r w:rsidRPr="005F61CA">
              <w:rPr>
                <w:sz w:val="24"/>
              </w:rPr>
              <w:t>案</w:t>
            </w:r>
          </w:p>
        </w:tc>
      </w:tr>
      <w:tr w:rsidR="005F61CA" w:rsidRPr="005F61CA" w14:paraId="318F082D" w14:textId="77777777" w:rsidTr="00FC066A">
        <w:trPr>
          <w:trHeight w:val="1983"/>
        </w:trPr>
        <w:tc>
          <w:tcPr>
            <w:tcW w:w="1940" w:type="dxa"/>
            <w:shd w:val="clear" w:color="auto" w:fill="D9D9D9"/>
            <w:vAlign w:val="center"/>
          </w:tcPr>
          <w:p w14:paraId="3621EE7A" w14:textId="77777777" w:rsidR="00DE54A8" w:rsidRPr="005F61CA" w:rsidRDefault="00DE54A8" w:rsidP="00FC066A">
            <w:pPr>
              <w:pStyle w:val="TableParagraph"/>
              <w:spacing w:before="216" w:line="271" w:lineRule="auto"/>
              <w:ind w:left="108" w:right="96"/>
              <w:rPr>
                <w:sz w:val="24"/>
              </w:rPr>
            </w:pPr>
            <w:r w:rsidRPr="005F61CA">
              <w:rPr>
                <w:spacing w:val="-30"/>
                <w:sz w:val="24"/>
              </w:rPr>
              <w:t>交易概况</w:t>
            </w:r>
            <w:r w:rsidRPr="005F61CA">
              <w:rPr>
                <w:sz w:val="24"/>
              </w:rPr>
              <w:t>（</w:t>
            </w:r>
            <w:r w:rsidRPr="005F61CA">
              <w:rPr>
                <w:spacing w:val="-38"/>
                <w:sz w:val="24"/>
              </w:rPr>
              <w:t>限</w:t>
            </w:r>
            <w:r w:rsidRPr="005F61CA">
              <w:rPr>
                <w:spacing w:val="-7"/>
                <w:sz w:val="24"/>
              </w:rPr>
              <w:t>200</w:t>
            </w:r>
            <w:r w:rsidRPr="005F61CA">
              <w:rPr>
                <w:sz w:val="24"/>
              </w:rPr>
              <w:t>字内）</w:t>
            </w:r>
          </w:p>
        </w:tc>
        <w:tc>
          <w:tcPr>
            <w:tcW w:w="7700" w:type="dxa"/>
            <w:gridSpan w:val="2"/>
            <w:vAlign w:val="center"/>
          </w:tcPr>
          <w:p w14:paraId="4EC68953" w14:textId="6F257642" w:rsidR="00DE54A8" w:rsidRPr="005F61CA" w:rsidRDefault="00813A0C" w:rsidP="005A2046">
            <w:pPr>
              <w:pStyle w:val="TableParagraph"/>
              <w:spacing w:line="307" w:lineRule="exact"/>
              <w:rPr>
                <w:sz w:val="24"/>
                <w:lang w:val="en-US"/>
              </w:rPr>
            </w:pPr>
            <w:r w:rsidRPr="005F61CA">
              <w:rPr>
                <w:rFonts w:hint="eastAsia"/>
                <w:bCs/>
                <w:sz w:val="24"/>
                <w:lang w:val="en-US"/>
              </w:rPr>
              <w:t>格林美香港国际物流有限公司（“</w:t>
            </w:r>
            <w:r w:rsidRPr="005F61CA">
              <w:rPr>
                <w:rFonts w:hint="eastAsia"/>
                <w:b/>
                <w:sz w:val="24"/>
                <w:lang w:val="en-US"/>
              </w:rPr>
              <w:t>格林美香港</w:t>
            </w:r>
            <w:r w:rsidRPr="005F61CA">
              <w:rPr>
                <w:rFonts w:hint="eastAsia"/>
                <w:bCs/>
                <w:sz w:val="24"/>
                <w:lang w:val="en-US"/>
              </w:rPr>
              <w:t>”）</w:t>
            </w:r>
            <w:r w:rsidR="00D40C5A" w:rsidRPr="005F61CA">
              <w:rPr>
                <w:rFonts w:hint="eastAsia"/>
                <w:bCs/>
                <w:sz w:val="24"/>
                <w:lang w:val="en-US"/>
              </w:rPr>
              <w:t>、</w:t>
            </w:r>
            <w:r w:rsidR="00591A20" w:rsidRPr="005F61CA">
              <w:rPr>
                <w:rFonts w:hint="eastAsia"/>
                <w:bCs/>
                <w:sz w:val="24"/>
                <w:lang w:val="en-US"/>
              </w:rPr>
              <w:t>淡水河谷印尼有限公司</w:t>
            </w:r>
            <w:r w:rsidR="00591A20" w:rsidRPr="005F61CA">
              <w:rPr>
                <w:rFonts w:hint="eastAsia"/>
                <w:bCs/>
                <w:sz w:val="24"/>
                <w:szCs w:val="24"/>
              </w:rPr>
              <w:t>（</w:t>
            </w:r>
            <w:r w:rsidR="00591A20" w:rsidRPr="005F61CA">
              <w:rPr>
                <w:rFonts w:hint="eastAsia"/>
                <w:b/>
                <w:sz w:val="24"/>
                <w:szCs w:val="24"/>
              </w:rPr>
              <w:t>“淡水河谷印尼”</w:t>
            </w:r>
            <w:r w:rsidR="00591A20" w:rsidRPr="005F61CA">
              <w:rPr>
                <w:rFonts w:hint="eastAsia"/>
                <w:bCs/>
                <w:sz w:val="24"/>
                <w:szCs w:val="24"/>
              </w:rPr>
              <w:t>）</w:t>
            </w:r>
            <w:r w:rsidRPr="005F61CA">
              <w:rPr>
                <w:rFonts w:hint="eastAsia"/>
                <w:bCs/>
                <w:sz w:val="24"/>
                <w:lang w:val="en-US"/>
              </w:rPr>
              <w:t>与</w:t>
            </w:r>
            <w:r w:rsidRPr="005F61CA">
              <w:rPr>
                <w:sz w:val="24"/>
              </w:rPr>
              <w:t>PT Bahodopi Nickel Smelting Indonesia（“目标公司”）</w:t>
            </w:r>
            <w:r w:rsidRPr="005F61CA">
              <w:rPr>
                <w:rFonts w:hint="eastAsia"/>
                <w:bCs/>
                <w:sz w:val="24"/>
                <w:lang w:val="en-US"/>
              </w:rPr>
              <w:t>签署协议，格林美香港</w:t>
            </w:r>
            <w:r w:rsidR="00686FB4" w:rsidRPr="005F61CA">
              <w:rPr>
                <w:rFonts w:hint="eastAsia"/>
                <w:sz w:val="24"/>
              </w:rPr>
              <w:t>收</w:t>
            </w:r>
            <w:r w:rsidRPr="005F61CA">
              <w:rPr>
                <w:rFonts w:hint="eastAsia"/>
                <w:sz w:val="24"/>
              </w:rPr>
              <w:t>购目标公司</w:t>
            </w:r>
            <w:r w:rsidRPr="005F61CA">
              <w:rPr>
                <w:sz w:val="24"/>
              </w:rPr>
              <w:t>51%</w:t>
            </w:r>
            <w:r w:rsidRPr="005F61CA">
              <w:rPr>
                <w:rFonts w:hint="eastAsia"/>
                <w:sz w:val="24"/>
              </w:rPr>
              <w:t>股权</w:t>
            </w:r>
            <w:r w:rsidRPr="005F61CA">
              <w:rPr>
                <w:sz w:val="24"/>
              </w:rPr>
              <w:t>。</w:t>
            </w:r>
            <w:r w:rsidRPr="005F61CA">
              <w:rPr>
                <w:rFonts w:hint="eastAsia"/>
                <w:sz w:val="24"/>
              </w:rPr>
              <w:t>目标公司从事氢氧化镍</w:t>
            </w:r>
            <w:proofErr w:type="gramStart"/>
            <w:r w:rsidRPr="005F61CA">
              <w:rPr>
                <w:rFonts w:hint="eastAsia"/>
                <w:sz w:val="24"/>
              </w:rPr>
              <w:t>钴</w:t>
            </w:r>
            <w:proofErr w:type="gramEnd"/>
            <w:r w:rsidR="00637856" w:rsidRPr="005F61CA">
              <w:rPr>
                <w:rFonts w:hint="eastAsia"/>
                <w:sz w:val="24"/>
              </w:rPr>
              <w:t>业务</w:t>
            </w:r>
            <w:r w:rsidRPr="005F61CA">
              <w:rPr>
                <w:rFonts w:hint="eastAsia"/>
                <w:sz w:val="24"/>
              </w:rPr>
              <w:t>。交易前，</w:t>
            </w:r>
            <w:r w:rsidR="00C901F7" w:rsidRPr="00C901F7">
              <w:rPr>
                <w:rFonts w:hint="eastAsia"/>
                <w:sz w:val="24"/>
              </w:rPr>
              <w:t>淡水河谷印尼</w:t>
            </w:r>
            <w:r w:rsidRPr="005F61CA">
              <w:rPr>
                <w:sz w:val="24"/>
              </w:rPr>
              <w:t>持有目标公司100%股权，</w:t>
            </w:r>
            <w:r w:rsidRPr="005F61CA">
              <w:rPr>
                <w:rFonts w:hint="eastAsia"/>
                <w:bCs/>
                <w:sz w:val="24"/>
                <w:lang w:val="en-US"/>
              </w:rPr>
              <w:t>单独控制目标公司</w:t>
            </w:r>
            <w:r w:rsidRPr="005F61CA">
              <w:rPr>
                <w:sz w:val="24"/>
              </w:rPr>
              <w:t>。</w:t>
            </w:r>
            <w:r w:rsidRPr="005F61CA">
              <w:rPr>
                <w:rFonts w:hint="eastAsia"/>
                <w:sz w:val="24"/>
              </w:rPr>
              <w:t>交易后，格林美香港</w:t>
            </w:r>
            <w:r w:rsidR="00B138E9" w:rsidRPr="005F61CA">
              <w:rPr>
                <w:rFonts w:hint="eastAsia"/>
                <w:sz w:val="24"/>
              </w:rPr>
              <w:t>与</w:t>
            </w:r>
            <w:r w:rsidR="00C901F7" w:rsidRPr="00C901F7">
              <w:rPr>
                <w:rFonts w:hint="eastAsia"/>
                <w:sz w:val="24"/>
              </w:rPr>
              <w:t>淡水河谷印尼</w:t>
            </w:r>
            <w:r w:rsidRPr="005F61CA">
              <w:rPr>
                <w:rFonts w:hint="eastAsia"/>
                <w:sz w:val="24"/>
              </w:rPr>
              <w:t>分别</w:t>
            </w:r>
            <w:r w:rsidRPr="005F61CA">
              <w:rPr>
                <w:sz w:val="24"/>
              </w:rPr>
              <w:t>持有目标公司51%</w:t>
            </w:r>
            <w:r w:rsidR="00B138E9" w:rsidRPr="005F61CA">
              <w:rPr>
                <w:rFonts w:hint="eastAsia"/>
                <w:sz w:val="24"/>
              </w:rPr>
              <w:t>和</w:t>
            </w:r>
            <w:r w:rsidR="00B138E9" w:rsidRPr="005F61CA">
              <w:rPr>
                <w:sz w:val="24"/>
              </w:rPr>
              <w:t>49%</w:t>
            </w:r>
            <w:r w:rsidRPr="005F61CA">
              <w:rPr>
                <w:sz w:val="24"/>
              </w:rPr>
              <w:t>股权，共同控制目标公司。</w:t>
            </w:r>
          </w:p>
        </w:tc>
      </w:tr>
      <w:tr w:rsidR="005F61CA" w:rsidRPr="005F61CA" w14:paraId="401995AB" w14:textId="77777777" w:rsidTr="00333623">
        <w:trPr>
          <w:trHeight w:val="1245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573963B6" w14:textId="77777777" w:rsidR="005A2046" w:rsidRPr="005F61CA" w:rsidRDefault="005A2046" w:rsidP="005A2046">
            <w:pPr>
              <w:pStyle w:val="TableParagraph"/>
              <w:spacing w:line="271" w:lineRule="auto"/>
              <w:ind w:left="108" w:right="96"/>
              <w:rPr>
                <w:sz w:val="24"/>
              </w:rPr>
            </w:pPr>
            <w:r w:rsidRPr="005F61CA">
              <w:rPr>
                <w:sz w:val="24"/>
              </w:rPr>
              <w:t>参与集中的经营者简介（每个限100字以内）</w:t>
            </w:r>
          </w:p>
        </w:tc>
        <w:tc>
          <w:tcPr>
            <w:tcW w:w="1607" w:type="dxa"/>
            <w:vAlign w:val="center"/>
          </w:tcPr>
          <w:p w14:paraId="4FB33441" w14:textId="5CC30D96" w:rsidR="005A2046" w:rsidRPr="005F61CA" w:rsidRDefault="005A2046" w:rsidP="005A2046">
            <w:pPr>
              <w:pStyle w:val="TableParagraph"/>
              <w:spacing w:before="232"/>
              <w:ind w:left="58" w:right="58"/>
              <w:rPr>
                <w:sz w:val="24"/>
              </w:rPr>
            </w:pPr>
            <w:r w:rsidRPr="005F61CA">
              <w:rPr>
                <w:sz w:val="24"/>
              </w:rPr>
              <w:t>1.</w:t>
            </w:r>
            <w:r w:rsidR="00B138E9" w:rsidRPr="005F61CA">
              <w:rPr>
                <w:rFonts w:hint="eastAsia"/>
                <w:sz w:val="24"/>
              </w:rPr>
              <w:t>格林美香港</w:t>
            </w:r>
          </w:p>
        </w:tc>
        <w:tc>
          <w:tcPr>
            <w:tcW w:w="6093" w:type="dxa"/>
          </w:tcPr>
          <w:p w14:paraId="576BA977" w14:textId="77777777" w:rsidR="00B138E9" w:rsidRPr="005F61CA" w:rsidRDefault="00B138E9" w:rsidP="00B138E9">
            <w:pPr>
              <w:pStyle w:val="TableParagraph"/>
              <w:spacing w:before="40"/>
              <w:ind w:left="108"/>
              <w:rPr>
                <w:sz w:val="24"/>
              </w:rPr>
            </w:pPr>
            <w:r w:rsidRPr="005F61CA">
              <w:rPr>
                <w:rFonts w:hint="eastAsia"/>
                <w:sz w:val="24"/>
              </w:rPr>
              <w:t>格林美香港于</w:t>
            </w:r>
            <w:r w:rsidRPr="005F61CA">
              <w:rPr>
                <w:sz w:val="24"/>
              </w:rPr>
              <w:t>2014年4月29日成立于中国香港，主要业务为</w:t>
            </w:r>
            <w:proofErr w:type="gramStart"/>
            <w:r w:rsidRPr="005F61CA">
              <w:rPr>
                <w:sz w:val="24"/>
              </w:rPr>
              <w:t>钴酸锂</w:t>
            </w:r>
            <w:proofErr w:type="gramEnd"/>
            <w:r w:rsidRPr="005F61CA">
              <w:rPr>
                <w:sz w:val="24"/>
              </w:rPr>
              <w:t>、三元材料的研发和生产。</w:t>
            </w:r>
          </w:p>
          <w:p w14:paraId="78BB2F7C" w14:textId="5B3D3D75" w:rsidR="00830D8A" w:rsidRPr="005F61CA" w:rsidRDefault="00B138E9" w:rsidP="00B138E9">
            <w:pPr>
              <w:pStyle w:val="TableParagraph"/>
              <w:spacing w:before="40"/>
              <w:ind w:left="108"/>
              <w:rPr>
                <w:sz w:val="24"/>
              </w:rPr>
            </w:pPr>
            <w:r w:rsidRPr="005F61CA">
              <w:rPr>
                <w:rFonts w:hint="eastAsia"/>
                <w:sz w:val="24"/>
              </w:rPr>
              <w:t>格林美香港最终控制人为自然人，其控制下的企业主要从事新能源材料与废弃资源综合利用业务。</w:t>
            </w:r>
          </w:p>
        </w:tc>
      </w:tr>
      <w:tr w:rsidR="005F61CA" w:rsidRPr="005F61CA" w14:paraId="0BBBBED4" w14:textId="77777777" w:rsidTr="00FC066A">
        <w:trPr>
          <w:trHeight w:val="1416"/>
        </w:trPr>
        <w:tc>
          <w:tcPr>
            <w:tcW w:w="1940" w:type="dxa"/>
            <w:vMerge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308F9112" w14:textId="77777777" w:rsidR="005A2046" w:rsidRPr="005F61CA" w:rsidRDefault="005A2046" w:rsidP="005A2046"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  <w:vAlign w:val="center"/>
          </w:tcPr>
          <w:p w14:paraId="0EBD321D" w14:textId="560A1ECE" w:rsidR="005A2046" w:rsidRPr="005F61CA" w:rsidRDefault="005A2046" w:rsidP="005A2046">
            <w:pPr>
              <w:pStyle w:val="TableParagraph"/>
              <w:ind w:left="58" w:right="58"/>
              <w:rPr>
                <w:sz w:val="24"/>
              </w:rPr>
            </w:pPr>
            <w:r w:rsidRPr="005F61CA">
              <w:rPr>
                <w:sz w:val="24"/>
              </w:rPr>
              <w:t>2.</w:t>
            </w:r>
            <w:r w:rsidR="00591A20" w:rsidRPr="005F61CA">
              <w:rPr>
                <w:rFonts w:hint="eastAsia"/>
                <w:sz w:val="24"/>
              </w:rPr>
              <w:t>淡水河谷印尼</w:t>
            </w:r>
          </w:p>
        </w:tc>
        <w:tc>
          <w:tcPr>
            <w:tcW w:w="6093" w:type="dxa"/>
          </w:tcPr>
          <w:p w14:paraId="3781A5D5" w14:textId="5D4CA378" w:rsidR="00B138E9" w:rsidRPr="005F61CA" w:rsidRDefault="00591A20" w:rsidP="00B138E9">
            <w:pPr>
              <w:pStyle w:val="TableParagraph"/>
              <w:spacing w:before="40"/>
              <w:ind w:left="108"/>
              <w:rPr>
                <w:sz w:val="24"/>
              </w:rPr>
            </w:pPr>
            <w:r w:rsidRPr="005F61CA">
              <w:rPr>
                <w:rFonts w:hint="eastAsia"/>
                <w:sz w:val="24"/>
              </w:rPr>
              <w:t>淡水河谷印尼</w:t>
            </w:r>
            <w:r w:rsidR="00B138E9" w:rsidRPr="005F61CA">
              <w:rPr>
                <w:rFonts w:hint="eastAsia"/>
                <w:sz w:val="24"/>
              </w:rPr>
              <w:t>于</w:t>
            </w:r>
            <w:r w:rsidR="00B138E9" w:rsidRPr="005F61CA">
              <w:rPr>
                <w:sz w:val="24"/>
              </w:rPr>
              <w:t>1968</w:t>
            </w:r>
            <w:r w:rsidR="00B138E9" w:rsidRPr="005F61CA">
              <w:rPr>
                <w:rFonts w:hint="eastAsia"/>
                <w:sz w:val="24"/>
              </w:rPr>
              <w:t>年</w:t>
            </w:r>
            <w:r w:rsidR="00B138E9" w:rsidRPr="005F61CA">
              <w:rPr>
                <w:sz w:val="24"/>
              </w:rPr>
              <w:t>7</w:t>
            </w:r>
            <w:r w:rsidR="00B138E9" w:rsidRPr="005F61CA">
              <w:rPr>
                <w:rFonts w:hint="eastAsia"/>
                <w:sz w:val="24"/>
              </w:rPr>
              <w:t>月</w:t>
            </w:r>
            <w:r w:rsidR="00B138E9" w:rsidRPr="005F61CA">
              <w:rPr>
                <w:sz w:val="24"/>
              </w:rPr>
              <w:t>25</w:t>
            </w:r>
            <w:r w:rsidR="00B138E9" w:rsidRPr="005F61CA">
              <w:rPr>
                <w:rFonts w:hint="eastAsia"/>
                <w:sz w:val="24"/>
              </w:rPr>
              <w:t>日成立于印度尼西亚，主要业务为镍矿开采、</w:t>
            </w:r>
            <w:proofErr w:type="gramStart"/>
            <w:r w:rsidR="00B138E9" w:rsidRPr="005F61CA">
              <w:rPr>
                <w:rFonts w:hint="eastAsia"/>
                <w:sz w:val="24"/>
              </w:rPr>
              <w:t>镍产品</w:t>
            </w:r>
            <w:proofErr w:type="gramEnd"/>
            <w:r w:rsidR="00B138E9" w:rsidRPr="005F61CA">
              <w:rPr>
                <w:rFonts w:hint="eastAsia"/>
                <w:sz w:val="24"/>
              </w:rPr>
              <w:t>的生产和销售。</w:t>
            </w:r>
          </w:p>
          <w:p w14:paraId="077417A5" w14:textId="0B36B4EC" w:rsidR="005A2046" w:rsidRPr="005F61CA" w:rsidRDefault="00591A20" w:rsidP="00B138E9">
            <w:pPr>
              <w:pStyle w:val="TableParagraph"/>
              <w:spacing w:before="40"/>
              <w:ind w:left="108"/>
              <w:rPr>
                <w:sz w:val="24"/>
              </w:rPr>
            </w:pPr>
            <w:r w:rsidRPr="005F61CA">
              <w:rPr>
                <w:rFonts w:hint="eastAsia"/>
                <w:sz w:val="24"/>
                <w:lang w:val="en-US"/>
              </w:rPr>
              <w:t>其</w:t>
            </w:r>
            <w:r w:rsidR="00C901F7">
              <w:rPr>
                <w:rFonts w:hint="eastAsia"/>
                <w:sz w:val="24"/>
                <w:lang w:val="en-US"/>
              </w:rPr>
              <w:t>最终控制人</w:t>
            </w:r>
            <w:r w:rsidR="00B138E9" w:rsidRPr="005F61CA">
              <w:rPr>
                <w:rFonts w:hint="eastAsia"/>
                <w:sz w:val="24"/>
              </w:rPr>
              <w:t>为印度尼西亚国有矿业产业公司（“印国矿”）和淡水河谷股份有限公司（</w:t>
            </w:r>
            <w:r w:rsidR="00B138E9" w:rsidRPr="005F61CA">
              <w:rPr>
                <w:sz w:val="24"/>
              </w:rPr>
              <w:t>“</w:t>
            </w:r>
            <w:r w:rsidR="00B138E9" w:rsidRPr="005F61CA">
              <w:rPr>
                <w:rFonts w:hint="eastAsia"/>
                <w:sz w:val="24"/>
              </w:rPr>
              <w:t>淡水河谷</w:t>
            </w:r>
            <w:r w:rsidR="00B138E9" w:rsidRPr="005F61CA">
              <w:rPr>
                <w:sz w:val="24"/>
              </w:rPr>
              <w:t>”</w:t>
            </w:r>
            <w:r w:rsidR="00B138E9" w:rsidRPr="005F61CA">
              <w:rPr>
                <w:rFonts w:hint="eastAsia"/>
                <w:sz w:val="24"/>
              </w:rPr>
              <w:t>）。</w:t>
            </w:r>
            <w:proofErr w:type="gramStart"/>
            <w:r w:rsidR="00B138E9" w:rsidRPr="005F61CA">
              <w:rPr>
                <w:rFonts w:hint="eastAsia"/>
                <w:sz w:val="24"/>
              </w:rPr>
              <w:t>印国矿</w:t>
            </w:r>
            <w:r w:rsidRPr="005F61CA">
              <w:rPr>
                <w:rFonts w:hint="eastAsia"/>
                <w:sz w:val="24"/>
              </w:rPr>
              <w:t>的</w:t>
            </w:r>
            <w:proofErr w:type="gramEnd"/>
            <w:r w:rsidRPr="005F61CA">
              <w:rPr>
                <w:rFonts w:hint="eastAsia"/>
                <w:sz w:val="24"/>
              </w:rPr>
              <w:t>主要业务为不同种类金属的开采和加工，包括镍、金、铝土矿等。</w:t>
            </w:r>
            <w:r w:rsidR="00B138E9" w:rsidRPr="005F61CA">
              <w:rPr>
                <w:rFonts w:hint="eastAsia"/>
                <w:sz w:val="24"/>
              </w:rPr>
              <w:t>淡水河谷的主要业务</w:t>
            </w:r>
            <w:r w:rsidR="002D286B" w:rsidRPr="005F61CA">
              <w:rPr>
                <w:rFonts w:hint="eastAsia"/>
                <w:sz w:val="24"/>
              </w:rPr>
              <w:t>为</w:t>
            </w:r>
            <w:r w:rsidR="00B138E9" w:rsidRPr="005F61CA">
              <w:rPr>
                <w:rFonts w:hint="eastAsia"/>
                <w:sz w:val="24"/>
              </w:rPr>
              <w:t>采矿及相关物流。</w:t>
            </w:r>
          </w:p>
        </w:tc>
      </w:tr>
      <w:tr w:rsidR="005F61CA" w:rsidRPr="005F61CA" w14:paraId="5374A3BC" w14:textId="77777777" w:rsidTr="00FC066A">
        <w:trPr>
          <w:trHeight w:val="347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949319" w14:textId="77777777" w:rsidR="005A2046" w:rsidRPr="005F61CA" w:rsidRDefault="005A2046" w:rsidP="005A2046">
            <w:pPr>
              <w:pStyle w:val="TableParagraph"/>
              <w:spacing w:before="196"/>
              <w:ind w:left="108"/>
              <w:rPr>
                <w:sz w:val="24"/>
              </w:rPr>
            </w:pPr>
            <w:r w:rsidRPr="005F61CA">
              <w:rPr>
                <w:sz w:val="24"/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tcBorders>
              <w:left w:val="single" w:sz="4" w:space="0" w:color="auto"/>
            </w:tcBorders>
          </w:tcPr>
          <w:p w14:paraId="2ADBF5E2" w14:textId="60B87198" w:rsidR="005A2046" w:rsidRPr="005F61CA" w:rsidRDefault="005A2046" w:rsidP="005A2046">
            <w:pPr>
              <w:pStyle w:val="TableParagraph"/>
              <w:spacing w:before="13"/>
              <w:ind w:right="-29"/>
              <w:rPr>
                <w:sz w:val="24"/>
              </w:rPr>
            </w:pPr>
            <w:r w:rsidRPr="005F61CA">
              <w:rPr>
                <w:rFonts w:eastAsia="楷体"/>
                <w:szCs w:val="21"/>
              </w:rPr>
              <w:sym w:font="Wingdings" w:char="F0FE"/>
            </w:r>
            <w:r w:rsidRPr="005F61CA">
              <w:rPr>
                <w:sz w:val="24"/>
              </w:rPr>
              <w:t>1</w:t>
            </w:r>
            <w:r w:rsidRPr="005F61CA">
              <w:rPr>
                <w:spacing w:val="-10"/>
                <w:sz w:val="24"/>
              </w:rPr>
              <w:t>.在同一相关市场，参与集中的经营者所占的市场份额之和小于</w:t>
            </w:r>
            <w:r w:rsidRPr="005F61CA">
              <w:rPr>
                <w:sz w:val="24"/>
              </w:rPr>
              <w:t>15%。</w:t>
            </w:r>
          </w:p>
        </w:tc>
      </w:tr>
      <w:tr w:rsidR="005F61CA" w:rsidRPr="005F61CA" w14:paraId="3D3776ED" w14:textId="77777777" w:rsidTr="00FC066A">
        <w:trPr>
          <w:trHeight w:val="347"/>
        </w:trPr>
        <w:tc>
          <w:tcPr>
            <w:tcW w:w="1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CBA4BD3" w14:textId="77777777" w:rsidR="005A2046" w:rsidRPr="005F61CA" w:rsidRDefault="005A2046" w:rsidP="005A2046">
            <w:pPr>
              <w:rPr>
                <w:sz w:val="2"/>
                <w:szCs w:val="2"/>
              </w:rPr>
            </w:pPr>
          </w:p>
        </w:tc>
        <w:tc>
          <w:tcPr>
            <w:tcW w:w="7700" w:type="dxa"/>
            <w:gridSpan w:val="2"/>
            <w:tcBorders>
              <w:left w:val="single" w:sz="4" w:space="0" w:color="auto"/>
            </w:tcBorders>
          </w:tcPr>
          <w:p w14:paraId="51FBA00A" w14:textId="1EEAC450" w:rsidR="005A2046" w:rsidRPr="005F61CA" w:rsidRDefault="005A2046" w:rsidP="005A2046">
            <w:pPr>
              <w:pStyle w:val="TableParagraph"/>
              <w:spacing w:before="14"/>
              <w:rPr>
                <w:sz w:val="24"/>
              </w:rPr>
            </w:pPr>
            <w:r w:rsidRPr="005F61CA">
              <w:rPr>
                <w:rFonts w:eastAsia="楷体"/>
                <w:szCs w:val="21"/>
              </w:rPr>
              <w:sym w:font="Wingdings" w:char="F0FE"/>
            </w:r>
            <w:r w:rsidRPr="005F61CA">
              <w:rPr>
                <w:sz w:val="24"/>
              </w:rPr>
              <w:t>2.</w:t>
            </w:r>
            <w:r w:rsidRPr="005F61CA">
              <w:rPr>
                <w:spacing w:val="-4"/>
                <w:w w:val="105"/>
                <w:sz w:val="24"/>
              </w:rPr>
              <w:t>在上下游市场，参与集中的经营者所占的市场份额均小于</w:t>
            </w:r>
            <w:r w:rsidRPr="005F61CA">
              <w:rPr>
                <w:w w:val="105"/>
                <w:sz w:val="24"/>
              </w:rPr>
              <w:t>25%。</w:t>
            </w:r>
          </w:p>
        </w:tc>
      </w:tr>
      <w:tr w:rsidR="005F61CA" w:rsidRPr="005F61CA" w14:paraId="39C17C12" w14:textId="77777777" w:rsidTr="00FC066A">
        <w:trPr>
          <w:trHeight w:val="543"/>
        </w:trPr>
        <w:tc>
          <w:tcPr>
            <w:tcW w:w="1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3DA2D07" w14:textId="77777777" w:rsidR="005A2046" w:rsidRPr="005F61CA" w:rsidRDefault="005A2046" w:rsidP="005A2046">
            <w:pPr>
              <w:rPr>
                <w:sz w:val="2"/>
                <w:szCs w:val="2"/>
              </w:rPr>
            </w:pPr>
          </w:p>
        </w:tc>
        <w:tc>
          <w:tcPr>
            <w:tcW w:w="7700" w:type="dxa"/>
            <w:gridSpan w:val="2"/>
            <w:tcBorders>
              <w:left w:val="single" w:sz="4" w:space="0" w:color="auto"/>
            </w:tcBorders>
          </w:tcPr>
          <w:p w14:paraId="33FE3199" w14:textId="77777777" w:rsidR="005A2046" w:rsidRPr="005F61CA" w:rsidRDefault="005A2046" w:rsidP="005A2046">
            <w:pPr>
              <w:pStyle w:val="TableParagraph"/>
              <w:tabs>
                <w:tab w:val="left" w:pos="386"/>
              </w:tabs>
              <w:spacing w:before="13"/>
              <w:rPr>
                <w:sz w:val="24"/>
              </w:rPr>
            </w:pPr>
            <w:r w:rsidRPr="005F61CA">
              <w:rPr>
                <w:rFonts w:hint="eastAsia"/>
                <w:bCs/>
              </w:rPr>
              <w:sym w:font="Wingdings" w:char="00A8"/>
            </w:r>
            <w:r w:rsidRPr="005F61CA">
              <w:rPr>
                <w:sz w:val="24"/>
              </w:rPr>
              <w:t>3.不在同一相关市场也不存在上下游关系的参与集中的经营者，在与</w:t>
            </w:r>
            <w:r w:rsidRPr="005F61CA">
              <w:rPr>
                <w:w w:val="105"/>
                <w:sz w:val="24"/>
              </w:rPr>
              <w:t>交易有关的每个市场所占的市场份额均小于25%。</w:t>
            </w:r>
          </w:p>
        </w:tc>
      </w:tr>
      <w:tr w:rsidR="005F61CA" w:rsidRPr="005F61CA" w14:paraId="680BAFCF" w14:textId="77777777" w:rsidTr="00FC066A">
        <w:trPr>
          <w:trHeight w:val="543"/>
        </w:trPr>
        <w:tc>
          <w:tcPr>
            <w:tcW w:w="1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EC18EF0" w14:textId="77777777" w:rsidR="005A2046" w:rsidRPr="005F61CA" w:rsidRDefault="005A2046" w:rsidP="005A2046">
            <w:pPr>
              <w:rPr>
                <w:sz w:val="2"/>
                <w:szCs w:val="2"/>
              </w:rPr>
            </w:pPr>
          </w:p>
        </w:tc>
        <w:tc>
          <w:tcPr>
            <w:tcW w:w="7700" w:type="dxa"/>
            <w:gridSpan w:val="2"/>
            <w:tcBorders>
              <w:left w:val="single" w:sz="4" w:space="0" w:color="auto"/>
            </w:tcBorders>
          </w:tcPr>
          <w:p w14:paraId="72956334" w14:textId="77777777" w:rsidR="005A2046" w:rsidRPr="005F61CA" w:rsidRDefault="005A2046" w:rsidP="005A2046">
            <w:pPr>
              <w:pStyle w:val="TableParagraph"/>
              <w:tabs>
                <w:tab w:val="left" w:pos="386"/>
              </w:tabs>
              <w:spacing w:before="13"/>
              <w:rPr>
                <w:sz w:val="24"/>
              </w:rPr>
            </w:pPr>
            <w:r w:rsidRPr="005F61CA">
              <w:rPr>
                <w:rFonts w:hint="eastAsia"/>
                <w:bCs/>
              </w:rPr>
              <w:sym w:font="Wingdings" w:char="00A8"/>
            </w:r>
            <w:r w:rsidRPr="005F61CA">
              <w:rPr>
                <w:sz w:val="24"/>
              </w:rPr>
              <w:t>4.参与集中的经营者在中国境外设立合营企业，合营企业不在中国境内从事经济活动。</w:t>
            </w:r>
          </w:p>
        </w:tc>
      </w:tr>
      <w:tr w:rsidR="005F61CA" w:rsidRPr="005F61CA" w14:paraId="0E047676" w14:textId="77777777" w:rsidTr="00FC066A">
        <w:trPr>
          <w:trHeight w:val="543"/>
        </w:trPr>
        <w:tc>
          <w:tcPr>
            <w:tcW w:w="1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3648406" w14:textId="77777777" w:rsidR="005A2046" w:rsidRPr="005F61CA" w:rsidRDefault="005A2046" w:rsidP="005A2046">
            <w:pPr>
              <w:rPr>
                <w:sz w:val="2"/>
                <w:szCs w:val="2"/>
              </w:rPr>
            </w:pPr>
          </w:p>
        </w:tc>
        <w:tc>
          <w:tcPr>
            <w:tcW w:w="7700" w:type="dxa"/>
            <w:gridSpan w:val="2"/>
            <w:tcBorders>
              <w:left w:val="single" w:sz="4" w:space="0" w:color="auto"/>
            </w:tcBorders>
          </w:tcPr>
          <w:p w14:paraId="715CBE7B" w14:textId="4FCD2B9B" w:rsidR="005A2046" w:rsidRPr="005F61CA" w:rsidRDefault="005A2046" w:rsidP="005A2046">
            <w:pPr>
              <w:pStyle w:val="TableParagraph"/>
              <w:tabs>
                <w:tab w:val="left" w:pos="386"/>
              </w:tabs>
              <w:spacing w:before="14"/>
              <w:rPr>
                <w:sz w:val="24"/>
              </w:rPr>
            </w:pPr>
            <w:r w:rsidRPr="005F61CA">
              <w:rPr>
                <w:rFonts w:hint="eastAsia"/>
                <w:bCs/>
              </w:rPr>
              <w:sym w:font="Wingdings" w:char="00A8"/>
            </w:r>
            <w:r w:rsidRPr="005F61CA">
              <w:rPr>
                <w:sz w:val="24"/>
              </w:rPr>
              <w:t>5.参与集中的经营者收购境外企业股权或资产的，该境外企业不在中国境内从事经济活动。</w:t>
            </w:r>
          </w:p>
        </w:tc>
      </w:tr>
      <w:tr w:rsidR="005F61CA" w:rsidRPr="005F61CA" w14:paraId="3E10BBC5" w14:textId="77777777" w:rsidTr="00FC066A">
        <w:trPr>
          <w:trHeight w:val="543"/>
        </w:trPr>
        <w:tc>
          <w:tcPr>
            <w:tcW w:w="1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41576B" w14:textId="77777777" w:rsidR="005A2046" w:rsidRPr="005F61CA" w:rsidRDefault="005A2046" w:rsidP="005A2046">
            <w:pPr>
              <w:rPr>
                <w:sz w:val="2"/>
                <w:szCs w:val="2"/>
              </w:rPr>
            </w:pPr>
          </w:p>
        </w:tc>
        <w:tc>
          <w:tcPr>
            <w:tcW w:w="7700" w:type="dxa"/>
            <w:gridSpan w:val="2"/>
            <w:tcBorders>
              <w:left w:val="single" w:sz="4" w:space="0" w:color="auto"/>
            </w:tcBorders>
          </w:tcPr>
          <w:p w14:paraId="57F0704A" w14:textId="0D0EB1F4" w:rsidR="005A2046" w:rsidRPr="005F61CA" w:rsidRDefault="005A2046" w:rsidP="005A2046">
            <w:pPr>
              <w:pStyle w:val="TableParagraph"/>
              <w:tabs>
                <w:tab w:val="left" w:pos="386"/>
              </w:tabs>
              <w:spacing w:before="14"/>
              <w:rPr>
                <w:sz w:val="24"/>
              </w:rPr>
            </w:pPr>
            <w:r w:rsidRPr="005F61CA">
              <w:rPr>
                <w:rFonts w:hint="eastAsia"/>
                <w:bCs/>
              </w:rPr>
              <w:sym w:font="Wingdings" w:char="00A8"/>
            </w:r>
            <w:r w:rsidRPr="005F61CA">
              <w:rPr>
                <w:sz w:val="24"/>
              </w:rPr>
              <w:t>6.由两个以上的经营者共同控制的合营企业，通过集中被其中一个或一个以上经营者控制。</w:t>
            </w:r>
          </w:p>
        </w:tc>
      </w:tr>
      <w:tr w:rsidR="005A2046" w:rsidRPr="005F61CA" w14:paraId="69814CD2" w14:textId="77777777" w:rsidTr="00FC066A">
        <w:trPr>
          <w:trHeight w:val="687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3005C32" w14:textId="77777777" w:rsidR="005A2046" w:rsidRPr="005F61CA" w:rsidRDefault="005A2046" w:rsidP="005A2046">
            <w:pPr>
              <w:pStyle w:val="TableParagraph"/>
              <w:ind w:left="0"/>
              <w:rPr>
                <w:rFonts w:ascii="Times New Roman"/>
                <w:sz w:val="26"/>
              </w:rPr>
            </w:pPr>
            <w:r w:rsidRPr="005F61CA">
              <w:rPr>
                <w:rFonts w:ascii="Times New Roman"/>
                <w:sz w:val="26"/>
              </w:rPr>
              <w:t>备注</w:t>
            </w:r>
          </w:p>
        </w:tc>
        <w:tc>
          <w:tcPr>
            <w:tcW w:w="7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55E00" w14:textId="77777777" w:rsidR="00813A0C" w:rsidRPr="005F61CA" w:rsidRDefault="00813A0C" w:rsidP="005A2046">
            <w:pPr>
              <w:pStyle w:val="TableParagraph"/>
              <w:tabs>
                <w:tab w:val="left" w:pos="386"/>
              </w:tabs>
              <w:spacing w:before="100" w:line="271" w:lineRule="auto"/>
              <w:ind w:right="97"/>
              <w:rPr>
                <w:b/>
                <w:sz w:val="24"/>
                <w:lang w:val="en-US"/>
              </w:rPr>
            </w:pPr>
            <w:r w:rsidRPr="005F61CA">
              <w:rPr>
                <w:rFonts w:hint="eastAsia"/>
                <w:b/>
                <w:sz w:val="24"/>
                <w:lang w:val="en-GB"/>
              </w:rPr>
              <w:t>横向重叠：</w:t>
            </w:r>
          </w:p>
          <w:p w14:paraId="5BCA93AE" w14:textId="3F659FF0" w:rsidR="00813A0C" w:rsidRPr="005F61CA" w:rsidRDefault="002D286B" w:rsidP="005A2046">
            <w:pPr>
              <w:pStyle w:val="TableParagraph"/>
              <w:tabs>
                <w:tab w:val="left" w:pos="386"/>
              </w:tabs>
              <w:spacing w:before="100" w:line="271" w:lineRule="auto"/>
              <w:ind w:right="97"/>
              <w:rPr>
                <w:b/>
                <w:sz w:val="24"/>
                <w:lang w:val="en-GB"/>
              </w:rPr>
            </w:pPr>
            <w:r w:rsidRPr="005F61CA">
              <w:rPr>
                <w:rFonts w:hint="eastAsia"/>
                <w:sz w:val="24"/>
              </w:rPr>
              <w:t>2024年</w:t>
            </w:r>
            <w:r w:rsidR="00813A0C" w:rsidRPr="005F61CA">
              <w:rPr>
                <w:rFonts w:hint="eastAsia"/>
                <w:sz w:val="24"/>
              </w:rPr>
              <w:t>全球氢氧化镍</w:t>
            </w:r>
            <w:proofErr w:type="gramStart"/>
            <w:r w:rsidR="00813A0C" w:rsidRPr="005F61CA">
              <w:rPr>
                <w:rFonts w:hint="eastAsia"/>
                <w:sz w:val="24"/>
              </w:rPr>
              <w:t>钴</w:t>
            </w:r>
            <w:proofErr w:type="gramEnd"/>
            <w:r w:rsidR="00813A0C" w:rsidRPr="005F61CA">
              <w:rPr>
                <w:rFonts w:hint="eastAsia"/>
                <w:sz w:val="24"/>
              </w:rPr>
              <w:t>市场</w:t>
            </w:r>
            <w:r w:rsidRPr="005F61CA">
              <w:rPr>
                <w:rFonts w:hint="eastAsia"/>
                <w:sz w:val="24"/>
              </w:rPr>
              <w:t>：</w:t>
            </w:r>
          </w:p>
          <w:p w14:paraId="1CCCD5DC" w14:textId="7D8FE1A1" w:rsidR="00813A0C" w:rsidRPr="005F61CA" w:rsidRDefault="00813A0C" w:rsidP="002D286B">
            <w:pPr>
              <w:pStyle w:val="TableParagraph"/>
              <w:tabs>
                <w:tab w:val="left" w:pos="386"/>
              </w:tabs>
              <w:spacing w:before="100" w:line="271" w:lineRule="auto"/>
              <w:ind w:right="97"/>
              <w:rPr>
                <w:sz w:val="24"/>
              </w:rPr>
            </w:pPr>
            <w:r w:rsidRPr="005F61CA">
              <w:rPr>
                <w:rFonts w:hint="eastAsia"/>
                <w:sz w:val="24"/>
              </w:rPr>
              <w:t>目标公司：0</w:t>
            </w:r>
            <w:r w:rsidRPr="005F61CA">
              <w:rPr>
                <w:sz w:val="24"/>
              </w:rPr>
              <w:t>%</w:t>
            </w:r>
            <w:r w:rsidR="002D286B" w:rsidRPr="005F61CA">
              <w:rPr>
                <w:rFonts w:hint="eastAsia"/>
                <w:sz w:val="24"/>
              </w:rPr>
              <w:t>，</w:t>
            </w:r>
            <w:r w:rsidRPr="005F61CA">
              <w:rPr>
                <w:rFonts w:hint="eastAsia"/>
                <w:sz w:val="24"/>
              </w:rPr>
              <w:t>格林美香港：</w:t>
            </w:r>
            <w:r w:rsidRPr="005F61CA">
              <w:rPr>
                <w:sz w:val="24"/>
              </w:rPr>
              <w:t>10-15%</w:t>
            </w:r>
            <w:r w:rsidR="002D286B" w:rsidRPr="005F61CA">
              <w:rPr>
                <w:rFonts w:hint="eastAsia"/>
                <w:sz w:val="24"/>
              </w:rPr>
              <w:t>，各方合计：10-15%</w:t>
            </w:r>
          </w:p>
          <w:p w14:paraId="13D11510" w14:textId="5AB81426" w:rsidR="002D286B" w:rsidRPr="005F61CA" w:rsidRDefault="002D286B" w:rsidP="002D286B">
            <w:pPr>
              <w:pStyle w:val="TableParagraph"/>
              <w:tabs>
                <w:tab w:val="left" w:pos="386"/>
              </w:tabs>
              <w:spacing w:before="100" w:line="271" w:lineRule="auto"/>
              <w:ind w:right="97"/>
              <w:rPr>
                <w:sz w:val="24"/>
              </w:rPr>
            </w:pPr>
            <w:r w:rsidRPr="005F61CA">
              <w:rPr>
                <w:rFonts w:hint="eastAsia"/>
                <w:sz w:val="24"/>
              </w:rPr>
              <w:t>2024年中国境内氢氧化镍</w:t>
            </w:r>
            <w:proofErr w:type="gramStart"/>
            <w:r w:rsidRPr="005F61CA">
              <w:rPr>
                <w:rFonts w:hint="eastAsia"/>
                <w:sz w:val="24"/>
              </w:rPr>
              <w:t>钴</w:t>
            </w:r>
            <w:proofErr w:type="gramEnd"/>
            <w:r w:rsidRPr="005F61CA">
              <w:rPr>
                <w:rFonts w:hint="eastAsia"/>
                <w:sz w:val="24"/>
              </w:rPr>
              <w:t>市场：</w:t>
            </w:r>
          </w:p>
          <w:p w14:paraId="57301F29" w14:textId="77D32453" w:rsidR="002D286B" w:rsidRPr="005F61CA" w:rsidRDefault="002D286B" w:rsidP="002D286B">
            <w:pPr>
              <w:pStyle w:val="TableParagraph"/>
              <w:tabs>
                <w:tab w:val="left" w:pos="386"/>
              </w:tabs>
              <w:spacing w:before="100" w:line="271" w:lineRule="auto"/>
              <w:ind w:right="97"/>
              <w:rPr>
                <w:sz w:val="24"/>
              </w:rPr>
            </w:pPr>
            <w:r w:rsidRPr="005F61CA">
              <w:rPr>
                <w:rFonts w:hint="eastAsia"/>
                <w:sz w:val="24"/>
              </w:rPr>
              <w:t>目标公司：0</w:t>
            </w:r>
            <w:r w:rsidRPr="005F61CA">
              <w:rPr>
                <w:sz w:val="24"/>
              </w:rPr>
              <w:t>%</w:t>
            </w:r>
            <w:r w:rsidRPr="005F61CA">
              <w:rPr>
                <w:rFonts w:hint="eastAsia"/>
                <w:sz w:val="24"/>
              </w:rPr>
              <w:t>，格林美香港：</w:t>
            </w:r>
            <w:r w:rsidRPr="005F61CA">
              <w:rPr>
                <w:sz w:val="24"/>
              </w:rPr>
              <w:t>10-15%</w:t>
            </w:r>
            <w:r w:rsidRPr="005F61CA">
              <w:rPr>
                <w:rFonts w:hint="eastAsia"/>
                <w:sz w:val="24"/>
              </w:rPr>
              <w:t>，各方合计：10-15%</w:t>
            </w:r>
          </w:p>
          <w:p w14:paraId="2D8E02C4" w14:textId="77777777" w:rsidR="002D286B" w:rsidRPr="005F61CA" w:rsidRDefault="002D286B" w:rsidP="002D286B">
            <w:pPr>
              <w:pStyle w:val="TableParagraph"/>
              <w:tabs>
                <w:tab w:val="left" w:pos="386"/>
              </w:tabs>
              <w:spacing w:before="100" w:line="271" w:lineRule="auto"/>
              <w:ind w:right="97"/>
              <w:rPr>
                <w:bCs/>
                <w:sz w:val="24"/>
                <w:lang w:val="en-GB"/>
              </w:rPr>
            </w:pPr>
            <w:r w:rsidRPr="005F61CA">
              <w:rPr>
                <w:rFonts w:hint="eastAsia"/>
                <w:b/>
                <w:sz w:val="24"/>
                <w:lang w:val="en-GB"/>
              </w:rPr>
              <w:t>纵向关联：</w:t>
            </w:r>
          </w:p>
          <w:p w14:paraId="3C0CF657" w14:textId="77777777" w:rsidR="002D286B" w:rsidRPr="005F61CA" w:rsidRDefault="002D286B" w:rsidP="002D286B">
            <w:pPr>
              <w:pStyle w:val="TableParagraph"/>
              <w:tabs>
                <w:tab w:val="left" w:pos="386"/>
              </w:tabs>
              <w:spacing w:before="100"/>
              <w:ind w:right="97"/>
              <w:rPr>
                <w:sz w:val="24"/>
              </w:rPr>
            </w:pPr>
            <w:r w:rsidRPr="005F61CA">
              <w:rPr>
                <w:sz w:val="24"/>
              </w:rPr>
              <w:t>上游：2024年</w:t>
            </w:r>
            <w:r w:rsidRPr="005F61CA">
              <w:rPr>
                <w:rFonts w:hint="eastAsia"/>
                <w:sz w:val="24"/>
              </w:rPr>
              <w:t>全球氢氧化镍</w:t>
            </w:r>
            <w:proofErr w:type="gramStart"/>
            <w:r w:rsidRPr="005F61CA">
              <w:rPr>
                <w:rFonts w:hint="eastAsia"/>
                <w:sz w:val="24"/>
              </w:rPr>
              <w:t>钴</w:t>
            </w:r>
            <w:proofErr w:type="gramEnd"/>
            <w:r w:rsidRPr="005F61CA">
              <w:rPr>
                <w:rFonts w:hint="eastAsia"/>
                <w:sz w:val="24"/>
              </w:rPr>
              <w:t>市场</w:t>
            </w:r>
            <w:r w:rsidRPr="005F61CA">
              <w:rPr>
                <w:sz w:val="24"/>
              </w:rPr>
              <w:t>：</w:t>
            </w:r>
          </w:p>
          <w:p w14:paraId="585338FA" w14:textId="24D7B732" w:rsidR="002D286B" w:rsidRPr="005F61CA" w:rsidRDefault="002D286B" w:rsidP="002D286B">
            <w:pPr>
              <w:pStyle w:val="TableParagraph"/>
              <w:tabs>
                <w:tab w:val="left" w:pos="386"/>
              </w:tabs>
              <w:spacing w:before="100"/>
              <w:ind w:right="97"/>
              <w:rPr>
                <w:sz w:val="24"/>
              </w:rPr>
            </w:pPr>
            <w:r w:rsidRPr="005F61CA">
              <w:rPr>
                <w:rFonts w:hint="eastAsia"/>
                <w:sz w:val="24"/>
              </w:rPr>
              <w:t>目标公司：如上所述</w:t>
            </w:r>
          </w:p>
          <w:p w14:paraId="0BBDB2B4" w14:textId="77777777" w:rsidR="002D286B" w:rsidRPr="005F61CA" w:rsidRDefault="002D286B" w:rsidP="002D286B">
            <w:pPr>
              <w:pStyle w:val="TableParagraph"/>
              <w:tabs>
                <w:tab w:val="left" w:pos="386"/>
              </w:tabs>
              <w:spacing w:before="100" w:line="271" w:lineRule="auto"/>
              <w:ind w:right="97"/>
              <w:rPr>
                <w:sz w:val="24"/>
              </w:rPr>
            </w:pPr>
            <w:r w:rsidRPr="005F61CA">
              <w:rPr>
                <w:sz w:val="24"/>
              </w:rPr>
              <w:t>下游：2024年中国境内</w:t>
            </w:r>
            <w:r w:rsidRPr="005F61CA">
              <w:rPr>
                <w:rFonts w:hint="eastAsia"/>
                <w:sz w:val="24"/>
              </w:rPr>
              <w:t>硫酸镍</w:t>
            </w:r>
            <w:r w:rsidRPr="005F61CA">
              <w:rPr>
                <w:sz w:val="24"/>
              </w:rPr>
              <w:t>市场：</w:t>
            </w:r>
          </w:p>
          <w:p w14:paraId="3A690212" w14:textId="7AFBC6ED" w:rsidR="002D286B" w:rsidRPr="005F61CA" w:rsidRDefault="002D286B" w:rsidP="002D286B">
            <w:pPr>
              <w:pStyle w:val="TableParagraph"/>
              <w:tabs>
                <w:tab w:val="left" w:pos="386"/>
              </w:tabs>
              <w:spacing w:before="100" w:line="271" w:lineRule="auto"/>
              <w:ind w:right="97"/>
              <w:rPr>
                <w:sz w:val="24"/>
              </w:rPr>
            </w:pPr>
            <w:r w:rsidRPr="005F61CA">
              <w:rPr>
                <w:rFonts w:hint="eastAsia"/>
                <w:sz w:val="24"/>
              </w:rPr>
              <w:t>格林美香港：</w:t>
            </w:r>
            <w:r w:rsidRPr="005F61CA">
              <w:rPr>
                <w:sz w:val="24"/>
              </w:rPr>
              <w:t>10-15%</w:t>
            </w:r>
          </w:p>
        </w:tc>
      </w:tr>
    </w:tbl>
    <w:p w14:paraId="7CBE1ED0" w14:textId="77777777" w:rsidR="007D5E61" w:rsidRPr="005F61CA" w:rsidRDefault="007D5E61">
      <w:pPr>
        <w:rPr>
          <w:sz w:val="12"/>
          <w:szCs w:val="12"/>
        </w:rPr>
      </w:pPr>
    </w:p>
    <w:sectPr w:rsidR="007D5E61" w:rsidRPr="005F61CA" w:rsidSect="00DE54A8">
      <w:pgSz w:w="11910" w:h="16840"/>
      <w:pgMar w:top="1580" w:right="96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F81C1" w14:textId="77777777" w:rsidR="00AD5191" w:rsidRDefault="00AD5191" w:rsidP="00DE54A8">
      <w:r>
        <w:separator/>
      </w:r>
    </w:p>
  </w:endnote>
  <w:endnote w:type="continuationSeparator" w:id="0">
    <w:p w14:paraId="38CB8F23" w14:textId="77777777" w:rsidR="00AD5191" w:rsidRDefault="00AD5191" w:rsidP="00DE5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2E9C2" w14:textId="77777777" w:rsidR="00AD5191" w:rsidRDefault="00AD5191" w:rsidP="00DE54A8">
      <w:r>
        <w:separator/>
      </w:r>
    </w:p>
  </w:footnote>
  <w:footnote w:type="continuationSeparator" w:id="0">
    <w:p w14:paraId="0519A66E" w14:textId="77777777" w:rsidR="00AD5191" w:rsidRDefault="00AD5191" w:rsidP="00DE5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2650"/>
    <w:multiLevelType w:val="multilevel"/>
    <w:tmpl w:val="69AF2650"/>
    <w:lvl w:ilvl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  <w:sz w:val="10"/>
      </w:rPr>
    </w:lvl>
    <w:lvl w:ilvl="1">
      <w:start w:val="1"/>
      <w:numFmt w:val="bullet"/>
      <w:lvlText w:val="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num w:numId="1" w16cid:durableId="1443375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50E"/>
    <w:rsid w:val="00054859"/>
    <w:rsid w:val="00057FC3"/>
    <w:rsid w:val="0009073E"/>
    <w:rsid w:val="000D4057"/>
    <w:rsid w:val="00102A0A"/>
    <w:rsid w:val="001034D9"/>
    <w:rsid w:val="0013010E"/>
    <w:rsid w:val="002D286B"/>
    <w:rsid w:val="003028E0"/>
    <w:rsid w:val="003A5209"/>
    <w:rsid w:val="004905EC"/>
    <w:rsid w:val="00591A20"/>
    <w:rsid w:val="00596ADF"/>
    <w:rsid w:val="00596B05"/>
    <w:rsid w:val="005A2046"/>
    <w:rsid w:val="005F1C9A"/>
    <w:rsid w:val="005F4318"/>
    <w:rsid w:val="005F61CA"/>
    <w:rsid w:val="00625E45"/>
    <w:rsid w:val="00637856"/>
    <w:rsid w:val="00686FB4"/>
    <w:rsid w:val="006E0375"/>
    <w:rsid w:val="00701E3E"/>
    <w:rsid w:val="00795B70"/>
    <w:rsid w:val="007D5E61"/>
    <w:rsid w:val="00813A0C"/>
    <w:rsid w:val="00830B84"/>
    <w:rsid w:val="00830D8A"/>
    <w:rsid w:val="00831B74"/>
    <w:rsid w:val="008409C6"/>
    <w:rsid w:val="00885416"/>
    <w:rsid w:val="00A00BE5"/>
    <w:rsid w:val="00A45232"/>
    <w:rsid w:val="00AD5191"/>
    <w:rsid w:val="00AE4FA1"/>
    <w:rsid w:val="00B0350E"/>
    <w:rsid w:val="00B138E9"/>
    <w:rsid w:val="00B3010A"/>
    <w:rsid w:val="00B72008"/>
    <w:rsid w:val="00B82A53"/>
    <w:rsid w:val="00BC1FC6"/>
    <w:rsid w:val="00BF6EBD"/>
    <w:rsid w:val="00C03B64"/>
    <w:rsid w:val="00C1232D"/>
    <w:rsid w:val="00C41B5B"/>
    <w:rsid w:val="00C51888"/>
    <w:rsid w:val="00C901F7"/>
    <w:rsid w:val="00CD2EF0"/>
    <w:rsid w:val="00D26EBB"/>
    <w:rsid w:val="00D40C5A"/>
    <w:rsid w:val="00DB08F0"/>
    <w:rsid w:val="00DE1570"/>
    <w:rsid w:val="00DE54A8"/>
    <w:rsid w:val="00EC5FFA"/>
    <w:rsid w:val="00EE6CC4"/>
    <w:rsid w:val="00F30642"/>
    <w:rsid w:val="00F36CE3"/>
    <w:rsid w:val="00F72047"/>
    <w:rsid w:val="00FC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FF4501"/>
  <w15:chartTrackingRefBased/>
  <w15:docId w15:val="{7CA16312-7BA7-457C-8929-FA20DC272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4A8"/>
    <w:pPr>
      <w:widowControl w:val="0"/>
      <w:autoSpaceDE w:val="0"/>
      <w:autoSpaceDN w:val="0"/>
      <w:spacing w:after="0" w:line="240" w:lineRule="auto"/>
    </w:pPr>
    <w:rPr>
      <w:rFonts w:ascii="宋体" w:eastAsia="宋体" w:hAnsi="宋体" w:cs="宋体"/>
      <w:kern w:val="0"/>
      <w:sz w:val="22"/>
      <w:szCs w:val="22"/>
      <w:lang w:val="zh-CN" w:bidi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350E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350E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350E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350E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350E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350E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350E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350E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350E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35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35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35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35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35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35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35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35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35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350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03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350E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03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350E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:lang w:val="en-US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035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350E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:lang w:val="en-US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035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350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4"/>
      <w:szCs w:val="24"/>
      <w:lang w:val="en-US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35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350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E54A8"/>
    <w:pPr>
      <w:widowControl/>
      <w:tabs>
        <w:tab w:val="center" w:pos="4320"/>
        <w:tab w:val="right" w:pos="8640"/>
      </w:tabs>
      <w:autoSpaceDE/>
      <w:autoSpaceDN/>
    </w:pPr>
    <w:rPr>
      <w:rFonts w:asciiTheme="minorHAnsi" w:eastAsiaTheme="minorEastAsia" w:hAnsiTheme="minorHAnsi" w:cstheme="minorBidi"/>
      <w:kern w:val="2"/>
      <w:sz w:val="24"/>
      <w:szCs w:val="24"/>
      <w:lang w:val="en-US" w:bidi="ar-SA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DE54A8"/>
  </w:style>
  <w:style w:type="paragraph" w:styleId="Footer">
    <w:name w:val="footer"/>
    <w:basedOn w:val="Normal"/>
    <w:link w:val="FooterChar"/>
    <w:uiPriority w:val="99"/>
    <w:unhideWhenUsed/>
    <w:rsid w:val="00DE54A8"/>
    <w:pPr>
      <w:widowControl/>
      <w:tabs>
        <w:tab w:val="center" w:pos="4320"/>
        <w:tab w:val="right" w:pos="8640"/>
      </w:tabs>
      <w:autoSpaceDE/>
      <w:autoSpaceDN/>
    </w:pPr>
    <w:rPr>
      <w:rFonts w:asciiTheme="minorHAnsi" w:eastAsiaTheme="minorEastAsia" w:hAnsiTheme="minorHAnsi" w:cstheme="minorBidi"/>
      <w:kern w:val="2"/>
      <w:sz w:val="24"/>
      <w:szCs w:val="24"/>
      <w:lang w:val="en-US" w:bidi="ar-SA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DE54A8"/>
  </w:style>
  <w:style w:type="paragraph" w:styleId="BodyText">
    <w:name w:val="Body Text"/>
    <w:basedOn w:val="Normal"/>
    <w:link w:val="BodyTextChar"/>
    <w:uiPriority w:val="1"/>
    <w:qFormat/>
    <w:rsid w:val="00DE54A8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DE54A8"/>
    <w:rPr>
      <w:rFonts w:ascii="宋体" w:eastAsia="宋体" w:hAnsi="宋体" w:cs="宋体"/>
      <w:kern w:val="0"/>
      <w:sz w:val="28"/>
      <w:szCs w:val="28"/>
      <w:lang w:val="zh-CN" w:bidi="zh-CN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E54A8"/>
    <w:pPr>
      <w:ind w:left="107"/>
    </w:pPr>
  </w:style>
  <w:style w:type="paragraph" w:styleId="Revision">
    <w:name w:val="Revision"/>
    <w:hidden/>
    <w:uiPriority w:val="99"/>
    <w:semiHidden/>
    <w:rsid w:val="00637856"/>
    <w:pPr>
      <w:spacing w:after="0" w:line="240" w:lineRule="auto"/>
    </w:pPr>
    <w:rPr>
      <w:rFonts w:ascii="宋体" w:eastAsia="宋体" w:hAnsi="宋体" w:cs="宋体"/>
      <w:kern w:val="0"/>
      <w:sz w:val="22"/>
      <w:szCs w:val="22"/>
      <w:lang w:val="zh-CN" w:bidi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DaHui">
      <a:majorFont>
        <a:latin typeface="Times New Roman"/>
        <a:ea typeface="SimSun"/>
        <a:cs typeface=""/>
      </a:majorFont>
      <a:minorFont>
        <a:latin typeface="Times New Roman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874</Characters>
  <Application>Microsoft Office Word</Application>
  <DocSecurity>0</DocSecurity>
  <Lines>7</Lines>
  <Paragraphs>2</Paragraphs>
  <ScaleCrop>false</ScaleCrop>
  <Company>DaHui Lawyers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DaHui Lawyers</cp:lastModifiedBy>
  <cp:revision>5</cp:revision>
  <dcterms:created xsi:type="dcterms:W3CDTF">1899-12-31T23:00:00Z</dcterms:created>
  <dcterms:modified xsi:type="dcterms:W3CDTF">2025-10-16T02:22:00Z</dcterms:modified>
</cp:coreProperties>
</file>