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Times New Roman" w:hAnsi="Times New Roman" w:eastAsia="宋体" w:cs="Times New Roman"/>
          <w:color w:val="000000" w:themeColor="text1"/>
          <w:sz w:val="24"/>
          <w:szCs w:val="24"/>
          <w:lang w:eastAsia="zh-CN"/>
          <w14:textFill>
            <w14:solidFill>
              <w14:schemeClr w14:val="tx1"/>
            </w14:solidFill>
          </w14:textFill>
        </w:rPr>
      </w:pPr>
    </w:p>
    <w:p>
      <w:pPr>
        <w:spacing w:after="0"/>
        <w:ind w:left="603"/>
        <w:jc w:val="center"/>
        <w:rPr>
          <w:rFonts w:ascii="Times New Roman" w:hAnsi="Times New Roman" w:eastAsia="宋体" w:cs="Times New Roman"/>
          <w:b/>
          <w:bCs/>
          <w:color w:val="000000" w:themeColor="text1"/>
          <w:spacing w:val="9"/>
          <w:sz w:val="36"/>
          <w:szCs w:val="36"/>
          <w:lang w:eastAsia="zh-CN"/>
          <w14:textFill>
            <w14:solidFill>
              <w14:schemeClr w14:val="tx1"/>
            </w14:solidFill>
          </w14:textFill>
        </w:rPr>
      </w:pPr>
      <w:r>
        <w:rPr>
          <w:rFonts w:hint="eastAsia" w:ascii="Times New Roman" w:hAnsi="Times New Roman" w:eastAsia="宋体" w:cs="Times New Roman"/>
          <w:b/>
          <w:bCs/>
          <w:color w:val="000000" w:themeColor="text1"/>
          <w:spacing w:val="9"/>
          <w:sz w:val="36"/>
          <w:szCs w:val="36"/>
          <w:lang w:eastAsia="zh-CN"/>
          <w14:textFill>
            <w14:solidFill>
              <w14:schemeClr w14:val="tx1"/>
            </w14:solidFill>
          </w14:textFill>
        </w:rPr>
        <w:t>经营者集中简易案件公示表</w:t>
      </w:r>
    </w:p>
    <w:p>
      <w:pPr>
        <w:spacing w:after="0"/>
        <w:rPr>
          <w:rFonts w:ascii="Times New Roman" w:hAnsi="Times New Roman" w:cs="Times New Roman"/>
          <w:color w:val="000000" w:themeColor="text1"/>
          <w:lang w:eastAsia="zh-CN"/>
          <w14:textFill>
            <w14:solidFill>
              <w14:schemeClr w14:val="tx1"/>
            </w14:solidFill>
          </w14:textFill>
        </w:rPr>
      </w:pPr>
    </w:p>
    <w:tbl>
      <w:tblPr>
        <w:tblStyle w:val="10"/>
        <w:tblW w:w="5372" w:type="pct"/>
        <w:tblInd w:w="-2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68"/>
        <w:gridCol w:w="1498"/>
        <w:gridCol w:w="5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270" w:type="pct"/>
            <w:shd w:val="clear" w:color="auto" w:fill="D9D9D9"/>
            <w:vAlign w:val="center"/>
          </w:tcPr>
          <w:p>
            <w:pPr>
              <w:pStyle w:val="11"/>
              <w:spacing w:after="0"/>
              <w:ind w:left="105" w:leftChars="50" w:right="105" w:rightChars="50"/>
              <w:jc w:val="both"/>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bCs/>
                <w:color w:val="000000" w:themeColor="text1"/>
                <w:lang w:eastAsia="en-GB" w:bidi="ar-AE"/>
                <w14:textFill>
                  <w14:solidFill>
                    <w14:schemeClr w14:val="tx1"/>
                  </w14:solidFill>
                </w14:textFill>
              </w:rPr>
              <w:t>案件名称</w:t>
            </w:r>
          </w:p>
        </w:tc>
        <w:tc>
          <w:tcPr>
            <w:tcW w:w="3730" w:type="pct"/>
            <w:gridSpan w:val="2"/>
            <w:vAlign w:val="center"/>
          </w:tcPr>
          <w:p>
            <w:pPr>
              <w:pStyle w:val="11"/>
              <w:spacing w:after="0"/>
              <w:ind w:left="105" w:leftChars="50" w:right="105" w:rightChars="50"/>
              <w:jc w:val="both"/>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斯泰兰蒂斯汽车</w:t>
            </w:r>
            <w:bookmarkStart w:id="0" w:name="OLE_LINK17"/>
            <w:r>
              <w:rPr>
                <w:rFonts w:hint="eastAsia" w:ascii="Times New Roman" w:hAnsi="Times New Roman" w:eastAsia="宋体" w:cs="Times New Roman"/>
                <w:color w:val="000000" w:themeColor="text1"/>
                <w:lang w:eastAsia="zh-CN"/>
                <w14:textFill>
                  <w14:solidFill>
                    <w14:schemeClr w14:val="tx1"/>
                  </w14:solidFill>
                </w14:textFill>
              </w:rPr>
              <w:t>简易股份公司</w:t>
            </w:r>
            <w:bookmarkEnd w:id="0"/>
            <w:r>
              <w:rPr>
                <w:rFonts w:hint="eastAsia" w:ascii="Times New Roman" w:hAnsi="Times New Roman" w:eastAsia="宋体" w:cs="Times New Roman"/>
                <w:color w:val="000000" w:themeColor="text1"/>
                <w:lang w:eastAsia="zh-CN"/>
                <w14:textFill>
                  <w14:solidFill>
                    <w14:schemeClr w14:val="tx1"/>
                  </w14:solidFill>
                </w14:textFill>
              </w:rPr>
              <w:t>与太平洋收购有限公司新设合营企业案</w:t>
            </w:r>
            <w:bookmarkStart w:id="2" w:name="_GoBack"/>
            <w:bookmarkEnd w:id="2"/>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5" w:hRule="atLeast"/>
        </w:trPr>
        <w:tc>
          <w:tcPr>
            <w:tcW w:w="1270" w:type="pct"/>
            <w:shd w:val="clear" w:color="auto" w:fill="D9D9D9"/>
            <w:vAlign w:val="center"/>
          </w:tcPr>
          <w:p>
            <w:pPr>
              <w:pStyle w:val="11"/>
              <w:spacing w:after="0"/>
              <w:ind w:left="105" w:leftChars="50" w:right="105" w:rightChars="5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bCs/>
                <w:color w:val="000000" w:themeColor="text1"/>
                <w:lang w:bidi="ar-AE"/>
                <w14:textFill>
                  <w14:solidFill>
                    <w14:schemeClr w14:val="tx1"/>
                  </w14:solidFill>
                </w14:textFill>
              </w:rPr>
              <w:t>交易概况（限200字内）</w:t>
            </w:r>
          </w:p>
        </w:tc>
        <w:tc>
          <w:tcPr>
            <w:tcW w:w="3730" w:type="pct"/>
            <w:gridSpan w:val="2"/>
            <w:vAlign w:val="center"/>
          </w:tcPr>
          <w:p>
            <w:pPr>
              <w:pStyle w:val="11"/>
              <w:spacing w:after="0"/>
              <w:ind w:left="105" w:leftChars="50" w:right="105" w:rightChars="50"/>
              <w:jc w:val="both"/>
              <w:rPr>
                <w:rFonts w:ascii="Times New Roman" w:hAnsi="Times New Roman" w:eastAsia="宋体" w:cs="Times New Roman"/>
                <w:color w:val="000000" w:themeColor="text1"/>
                <w:spacing w:val="-2"/>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斯泰兰蒂斯汽车简易股份公司</w:t>
            </w:r>
            <w:r>
              <w:rPr>
                <w:rFonts w:ascii="宋体" w:hAnsi="宋体" w:eastAsia="宋体" w:cs="Times New Roman"/>
                <w:color w:val="000000" w:themeColor="text1"/>
                <w:lang w:eastAsia="zh-CN"/>
                <w14:textFill>
                  <w14:solidFill>
                    <w14:schemeClr w14:val="tx1"/>
                  </w14:solidFill>
                </w14:textFill>
              </w:rPr>
              <w:t>（“</w:t>
            </w:r>
            <w:r>
              <w:rPr>
                <w:rFonts w:ascii="宋体" w:hAnsi="宋体" w:eastAsia="宋体" w:cs="Times New Roman"/>
                <w:b/>
                <w:bCs/>
                <w:color w:val="000000" w:themeColor="text1"/>
                <w:lang w:eastAsia="zh-CN"/>
                <w14:textFill>
                  <w14:solidFill>
                    <w14:schemeClr w14:val="tx1"/>
                  </w14:solidFill>
                </w14:textFill>
              </w:rPr>
              <w:t>斯泰兰蒂斯汽车</w:t>
            </w:r>
            <w:r>
              <w:rPr>
                <w:rFonts w:ascii="宋体" w:hAnsi="宋体" w:eastAsia="宋体" w:cs="Times New Roman"/>
                <w:color w:val="000000" w:themeColor="text1"/>
                <w:lang w:eastAsia="zh-CN"/>
                <w14:textFill>
                  <w14:solidFill>
                    <w14:schemeClr w14:val="tx1"/>
                  </w14:solidFill>
                </w14:textFill>
              </w:rPr>
              <w:t>”）和太平洋收购有限公司（“</w:t>
            </w:r>
            <w:r>
              <w:rPr>
                <w:rFonts w:ascii="宋体" w:hAnsi="宋体" w:eastAsia="宋体" w:cs="Times New Roman"/>
                <w:b/>
                <w:bCs/>
                <w:color w:val="000000" w:themeColor="text1"/>
                <w:lang w:eastAsia="zh-CN"/>
                <w14:textFill>
                  <w14:solidFill>
                    <w14:schemeClr w14:val="tx1"/>
                  </w14:solidFill>
                </w14:textFill>
              </w:rPr>
              <w:t>太平洋收购</w:t>
            </w:r>
            <w:r>
              <w:rPr>
                <w:rFonts w:ascii="宋体" w:hAnsi="宋体" w:eastAsia="宋体" w:cs="Times New Roman"/>
                <w:color w:val="000000" w:themeColor="text1"/>
                <w:lang w:eastAsia="zh-CN"/>
                <w14:textFill>
                  <w14:solidFill>
                    <w14:schemeClr w14:val="tx1"/>
                  </w14:solidFill>
                </w14:textFill>
              </w:rPr>
              <w:t>”）</w:t>
            </w:r>
            <w:r>
              <w:rPr>
                <w:rFonts w:hint="eastAsia" w:ascii="宋体" w:hAnsi="宋体" w:eastAsia="宋体" w:cs="Times New Roman"/>
                <w:color w:val="000000" w:themeColor="text1"/>
                <w:lang w:eastAsia="zh-CN"/>
                <w14:textFill>
                  <w14:solidFill>
                    <w14:schemeClr w14:val="tx1"/>
                  </w14:solidFill>
                </w14:textFill>
              </w:rPr>
              <w:t>签署协议，拟通过依英格兰和威尔士法设立一家私人有限公司的方式在英国</w:t>
            </w:r>
            <w:r>
              <w:rPr>
                <w:rFonts w:ascii="宋体" w:hAnsi="宋体" w:eastAsia="宋体" w:cs="Times New Roman"/>
                <w:color w:val="000000" w:themeColor="text1"/>
                <w:lang w:eastAsia="zh-CN"/>
                <w14:textFill>
                  <w14:solidFill>
                    <w14:schemeClr w14:val="tx1"/>
                  </w14:solidFill>
                </w14:textFill>
              </w:rPr>
              <w:t>设立一家合营企业即</w:t>
            </w:r>
            <w:r>
              <w:rPr>
                <w:rFonts w:ascii="宋体" w:hAnsi="宋体" w:eastAsia="宋体" w:cs="Times New Roman"/>
                <w:i/>
                <w:iCs/>
                <w:color w:val="000000" w:themeColor="text1"/>
                <w:lang w:eastAsia="zh-CN"/>
                <w14:textFill>
                  <w14:solidFill>
                    <w14:schemeClr w14:val="tx1"/>
                  </w14:solidFill>
                </w14:textFill>
              </w:rPr>
              <w:t>OCTAGO</w:t>
            </w:r>
            <w:r>
              <w:rPr>
                <w:rFonts w:hint="eastAsia" w:ascii="宋体" w:hAnsi="宋体" w:eastAsia="宋体" w:cs="Times New Roman"/>
                <w:color w:val="000000" w:themeColor="text1"/>
                <w:lang w:eastAsia="zh-CN"/>
                <w14:textFill>
                  <w14:solidFill>
                    <w14:schemeClr w14:val="tx1"/>
                  </w14:solidFill>
                </w14:textFill>
              </w:rPr>
              <w:t>有限公司</w:t>
            </w:r>
            <w:r>
              <w:rPr>
                <w:rFonts w:ascii="宋体" w:hAnsi="宋体" w:eastAsia="宋体" w:cs="Times New Roman"/>
                <w:color w:val="000000" w:themeColor="text1"/>
                <w:lang w:eastAsia="zh-CN"/>
                <w14:textFill>
                  <w14:solidFill>
                    <w14:schemeClr w14:val="tx1"/>
                  </w14:solidFill>
                </w14:textFill>
              </w:rPr>
              <w:t>（“</w:t>
            </w:r>
            <w:r>
              <w:rPr>
                <w:rFonts w:ascii="宋体" w:hAnsi="宋体" w:eastAsia="宋体" w:cs="Times New Roman"/>
                <w:b/>
                <w:bCs/>
                <w:color w:val="000000" w:themeColor="text1"/>
                <w:lang w:eastAsia="zh-CN"/>
                <w14:textFill>
                  <w14:solidFill>
                    <w14:schemeClr w14:val="tx1"/>
                  </w14:solidFill>
                </w14:textFill>
              </w:rPr>
              <w:t>合营企业</w:t>
            </w:r>
            <w:r>
              <w:rPr>
                <w:rFonts w:ascii="宋体" w:hAnsi="宋体" w:eastAsia="宋体" w:cs="Times New Roman"/>
                <w:color w:val="000000" w:themeColor="text1"/>
                <w:lang w:eastAsia="zh-CN"/>
                <w14:textFill>
                  <w14:solidFill>
                    <w14:schemeClr w14:val="tx1"/>
                  </w14:solidFill>
                </w14:textFill>
              </w:rPr>
              <w:t>”）</w:t>
            </w:r>
            <w:r>
              <w:rPr>
                <w:rFonts w:hint="eastAsia" w:ascii="宋体" w:hAnsi="宋体"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eastAsia="zh-CN"/>
                <w14:textFill>
                  <w14:solidFill>
                    <w14:schemeClr w14:val="tx1"/>
                  </w14:solidFill>
                </w14:textFill>
              </w:rPr>
              <w:t>合营企业的唯一目的是向斯泰兰蒂斯的售后网络提供服务，以推动并提高斯泰兰蒂斯在奥地利、比利时、法国、德国、意大利、荷兰、波兰、葡萄牙、西班牙和英国的售后服务。交易后，太平洋收购持有51%的股权，斯泰兰蒂斯持有49%的股权，根据中国的经营者集中法律法规，合营企业可被视为由斯泰兰蒂斯和太平洋收购共同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2" w:hRule="atLeast"/>
        </w:trPr>
        <w:tc>
          <w:tcPr>
            <w:tcW w:w="1270" w:type="pct"/>
            <w:vMerge w:val="restart"/>
            <w:tcBorders>
              <w:bottom w:val="nil"/>
            </w:tcBorders>
            <w:shd w:val="clear" w:color="auto" w:fill="D9D9D9"/>
            <w:vAlign w:val="center"/>
          </w:tcPr>
          <w:p>
            <w:pPr>
              <w:pStyle w:val="11"/>
              <w:kinsoku/>
              <w:autoSpaceDE/>
              <w:spacing w:after="0"/>
              <w:ind w:left="111" w:leftChars="50" w:right="105" w:rightChars="50" w:hanging="6"/>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bCs/>
                <w:color w:val="000000" w:themeColor="text1"/>
                <w:lang w:eastAsia="zh-CN" w:bidi="ar-AE"/>
                <w14:textFill>
                  <w14:solidFill>
                    <w14:schemeClr w14:val="tx1"/>
                  </w14:solidFill>
                </w14:textFill>
              </w:rPr>
              <w:t>参与集中的经营者简介（每个限100字以内）</w:t>
            </w:r>
          </w:p>
        </w:tc>
        <w:tc>
          <w:tcPr>
            <w:tcW w:w="839" w:type="pct"/>
            <w:vAlign w:val="center"/>
          </w:tcPr>
          <w:p>
            <w:pPr>
              <w:pStyle w:val="11"/>
              <w:spacing w:after="0"/>
              <w:ind w:left="105" w:leftChars="50" w:right="105" w:rightChars="50"/>
              <w:jc w:val="both"/>
              <w:rPr>
                <w:rFonts w:ascii="Times New Roman" w:hAnsi="Times New Roman" w:eastAsia="宋体" w:cs="Times New Roman"/>
                <w:color w:val="000000" w:themeColor="text1"/>
                <w:lang w:eastAsia="zh-CN"/>
                <w14:textFill>
                  <w14:solidFill>
                    <w14:schemeClr w14:val="tx1"/>
                  </w14:solidFill>
                </w14:textFill>
              </w:rPr>
            </w:pPr>
            <w:bookmarkStart w:id="1" w:name="OLE_LINK1"/>
            <w:r>
              <w:rPr>
                <w:rFonts w:ascii="Times New Roman" w:hAnsi="Times New Roman" w:eastAsia="宋体" w:cs="Times New Roman"/>
                <w:color w:val="000000" w:themeColor="text1"/>
                <w:spacing w:val="-2"/>
                <w:lang w:eastAsia="zh-CN"/>
                <w14:textFill>
                  <w14:solidFill>
                    <w14:schemeClr w14:val="tx1"/>
                  </w14:solidFill>
                </w14:textFill>
              </w:rPr>
              <w:t xml:space="preserve">1. </w:t>
            </w:r>
            <w:r>
              <w:rPr>
                <w:rFonts w:hint="eastAsia" w:ascii="Times New Roman" w:hAnsi="Times New Roman" w:eastAsia="宋体" w:cs="Times New Roman"/>
                <w:color w:val="000000" w:themeColor="text1"/>
                <w:lang w:eastAsia="zh-CN"/>
                <w14:textFill>
                  <w14:solidFill>
                    <w14:schemeClr w14:val="tx1"/>
                  </w14:solidFill>
                </w14:textFill>
              </w:rPr>
              <w:t>斯泰兰蒂斯汽车</w:t>
            </w:r>
            <w:bookmarkEnd w:id="1"/>
          </w:p>
        </w:tc>
        <w:tc>
          <w:tcPr>
            <w:tcW w:w="2891" w:type="pct"/>
          </w:tcPr>
          <w:p>
            <w:pPr>
              <w:pStyle w:val="11"/>
              <w:spacing w:after="0"/>
              <w:ind w:left="105" w:leftChars="50" w:right="105" w:rightChars="50"/>
              <w:jc w:val="both"/>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斯泰兰蒂斯汽车于1999年2月11日在法国注册成立，是一家股份制公司。作为斯泰兰蒂斯在法国的运营子公司，其主要业务是管理位于法国的汽车工业、商业及行政相关活动。该公司在中国没有开展任何业务。</w:t>
            </w:r>
          </w:p>
          <w:p>
            <w:pPr>
              <w:pStyle w:val="11"/>
              <w:spacing w:after="0"/>
              <w:ind w:left="105" w:leftChars="50" w:right="105" w:rightChars="50"/>
              <w:jc w:val="both"/>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斯泰兰蒂斯汽车的最终控制人为斯泰兰蒂斯集团，这是一家在米兰泛欧交易所、巴黎泛欧交易所和纽约证券交易所上市的公司，主要业务为汽车的研发、制造与销售。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1270" w:type="pct"/>
            <w:vMerge w:val="continue"/>
            <w:tcBorders>
              <w:top w:val="nil"/>
            </w:tcBorders>
            <w:vAlign w:val="center"/>
          </w:tcPr>
          <w:p>
            <w:pPr>
              <w:spacing w:after="0"/>
              <w:ind w:left="105" w:leftChars="50" w:right="105" w:rightChars="50"/>
              <w:rPr>
                <w:rFonts w:ascii="Times New Roman" w:hAnsi="Times New Roman" w:eastAsia="宋体" w:cs="Times New Roman"/>
                <w:color w:val="000000" w:themeColor="text1"/>
                <w:sz w:val="24"/>
                <w:szCs w:val="24"/>
                <w:lang w:eastAsia="zh-CN"/>
                <w14:textFill>
                  <w14:solidFill>
                    <w14:schemeClr w14:val="tx1"/>
                  </w14:solidFill>
                </w14:textFill>
              </w:rPr>
            </w:pPr>
          </w:p>
        </w:tc>
        <w:tc>
          <w:tcPr>
            <w:tcW w:w="839" w:type="pct"/>
            <w:vAlign w:val="center"/>
          </w:tcPr>
          <w:p>
            <w:pPr>
              <w:pStyle w:val="11"/>
              <w:spacing w:after="0"/>
              <w:ind w:left="105" w:leftChars="50" w:right="105" w:rightChars="50"/>
              <w:jc w:val="both"/>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spacing w:val="-2"/>
                <w:lang w:eastAsia="zh-CN"/>
                <w14:textFill>
                  <w14:solidFill>
                    <w14:schemeClr w14:val="tx1"/>
                  </w14:solidFill>
                </w14:textFill>
              </w:rPr>
              <w:t xml:space="preserve">2. </w:t>
            </w:r>
            <w:r>
              <w:rPr>
                <w:rFonts w:hint="eastAsia" w:ascii="Times New Roman" w:hAnsi="Times New Roman" w:eastAsia="宋体" w:cs="Times New Roman"/>
                <w:color w:val="000000" w:themeColor="text1"/>
                <w:lang w:eastAsia="zh-CN"/>
                <w14:textFill>
                  <w14:solidFill>
                    <w14:schemeClr w14:val="tx1"/>
                  </w14:solidFill>
                </w14:textFill>
              </w:rPr>
              <w:t>太平洋收购</w:t>
            </w:r>
          </w:p>
        </w:tc>
        <w:tc>
          <w:tcPr>
            <w:tcW w:w="2891" w:type="pct"/>
          </w:tcPr>
          <w:p>
            <w:pPr>
              <w:pStyle w:val="11"/>
              <w:spacing w:after="0"/>
              <w:ind w:left="105" w:leftChars="50" w:right="105" w:rightChars="50"/>
              <w:jc w:val="both"/>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太平洋收购于2016年10月26日在英国注册成立，作为一家投资控股公司，向由太平洋收购及其控股子公司（“劢思可国际”）组成的交易集团提供管理和资金服务。劢思可国际是一家主要为汽车行业提供外包商业服务及相关自有软件工具的服务商。</w:t>
            </w:r>
          </w:p>
          <w:p>
            <w:pPr>
              <w:pStyle w:val="11"/>
              <w:spacing w:after="0"/>
              <w:ind w:left="105" w:leftChars="50" w:right="105" w:rightChars="50"/>
              <w:jc w:val="both"/>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劢思可国际的最终控制人为由贝恩资本（“贝恩资本”）管理和/或提供咨询服务的基金。</w:t>
            </w:r>
            <w:r>
              <w:rPr>
                <w:rFonts w:ascii="Times New Roman" w:hAnsi="Times New Roman" w:eastAsia="宋体" w:cs="Times New Roman"/>
                <w:color w:val="000000" w:themeColor="text1"/>
                <w:lang w:eastAsia="zh-CN"/>
                <w14:textFill>
                  <w14:solidFill>
                    <w14:schemeClr w14:val="tx1"/>
                  </w14:solidFill>
                </w14:textFill>
              </w:rPr>
              <w:t>贝恩资本是一家总部位于美国的私募股权投资公司，通过其旗下基金在全球范围内对多个行业的企业进行投资，这些行业包括信息技术、医疗健康、零售与消费品、通信、金融以及工业/制造业。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270" w:type="pct"/>
            <w:vMerge w:val="restart"/>
            <w:shd w:val="clear" w:color="auto" w:fill="D9D9D9"/>
            <w:vAlign w:val="center"/>
          </w:tcPr>
          <w:p>
            <w:pPr>
              <w:pStyle w:val="11"/>
              <w:spacing w:after="0"/>
              <w:ind w:left="105" w:leftChars="50" w:right="105" w:rightChars="50" w:firstLine="11"/>
              <w:jc w:val="both"/>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bCs/>
                <w:color w:val="000000" w:themeColor="text1"/>
                <w:lang w:eastAsia="zh-CN" w:bidi="ar-AE"/>
                <w14:textFill>
                  <w14:solidFill>
                    <w14:schemeClr w14:val="tx1"/>
                  </w14:solidFill>
                </w14:textFill>
              </w:rPr>
              <w:t>简易案件理由（可以单选，也可以多选）</w:t>
            </w:r>
          </w:p>
        </w:tc>
        <w:tc>
          <w:tcPr>
            <w:tcW w:w="3730" w:type="pct"/>
            <w:gridSpan w:val="2"/>
          </w:tcPr>
          <w:p>
            <w:pPr>
              <w:pStyle w:val="11"/>
              <w:spacing w:after="0"/>
              <w:ind w:left="105" w:leftChars="50" w:right="105" w:rightChars="50" w:firstLine="242" w:firstLineChars="100"/>
              <w:jc w:val="both"/>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sym w:font="Wingdings" w:char="F06F"/>
            </w:r>
            <w:r>
              <w:rPr>
                <w:rFonts w:ascii="Times New Roman" w:hAnsi="Times New Roman" w:eastAsia="宋体" w:cs="Times New Roman"/>
                <w:bCs/>
                <w:color w:val="000000" w:themeColor="text1"/>
                <w:lang w:eastAsia="zh-CN" w:bidi="ar-AE"/>
                <w14:textFill>
                  <w14:solidFill>
                    <w14:schemeClr w14:val="tx1"/>
                  </w14:solidFill>
                </w14:textFill>
              </w:rPr>
              <w:t>1、在同一相关市场，所有参与集中的经营者所占市场份额之和小于15%。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270" w:type="pct"/>
            <w:vMerge w:val="continue"/>
          </w:tcPr>
          <w:p>
            <w:pPr>
              <w:spacing w:after="0"/>
              <w:ind w:left="105" w:leftChars="50" w:right="105" w:rightChars="50"/>
              <w:rPr>
                <w:rFonts w:ascii="Times New Roman" w:hAnsi="Times New Roman" w:eastAsia="宋体" w:cs="Times New Roman"/>
                <w:color w:val="000000" w:themeColor="text1"/>
                <w:sz w:val="24"/>
                <w:szCs w:val="24"/>
                <w:lang w:eastAsia="zh-CN"/>
                <w14:textFill>
                  <w14:solidFill>
                    <w14:schemeClr w14:val="tx1"/>
                  </w14:solidFill>
                </w14:textFill>
              </w:rPr>
            </w:pPr>
          </w:p>
        </w:tc>
        <w:tc>
          <w:tcPr>
            <w:tcW w:w="3730" w:type="pct"/>
            <w:gridSpan w:val="2"/>
          </w:tcPr>
          <w:p>
            <w:pPr>
              <w:pStyle w:val="11"/>
              <w:spacing w:after="0"/>
              <w:ind w:left="105" w:leftChars="50" w:right="105" w:rightChars="50" w:firstLine="242" w:firstLineChars="100"/>
              <w:jc w:val="both"/>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sym w:font="Wingdings" w:char="F06F"/>
            </w:r>
            <w:r>
              <w:rPr>
                <w:rFonts w:ascii="Times New Roman" w:hAnsi="Times New Roman" w:eastAsia="宋体" w:cs="Times New Roman"/>
                <w:bCs/>
                <w:color w:val="000000" w:themeColor="text1"/>
                <w:lang w:eastAsia="zh-CN" w:bidi="ar-AE"/>
                <w14:textFill>
                  <w14:solidFill>
                    <w14:schemeClr w14:val="tx1"/>
                  </w14:solidFill>
                </w14:textFill>
              </w:rPr>
              <w:t>2、存在上下游关系的参与集中的经营者，在上下游市场所占的市场份额均小于25%。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70" w:type="pct"/>
            <w:vMerge w:val="continue"/>
          </w:tcPr>
          <w:p>
            <w:pPr>
              <w:spacing w:after="0"/>
              <w:ind w:left="105" w:leftChars="50" w:right="105" w:rightChars="50"/>
              <w:rPr>
                <w:rFonts w:ascii="Times New Roman" w:hAnsi="Times New Roman" w:eastAsia="宋体" w:cs="Times New Roman"/>
                <w:color w:val="000000" w:themeColor="text1"/>
                <w:sz w:val="24"/>
                <w:szCs w:val="24"/>
                <w:lang w:eastAsia="zh-CN"/>
                <w14:textFill>
                  <w14:solidFill>
                    <w14:schemeClr w14:val="tx1"/>
                  </w14:solidFill>
                </w14:textFill>
              </w:rPr>
            </w:pPr>
          </w:p>
        </w:tc>
        <w:tc>
          <w:tcPr>
            <w:tcW w:w="3730" w:type="pct"/>
            <w:gridSpan w:val="2"/>
          </w:tcPr>
          <w:p>
            <w:pPr>
              <w:pStyle w:val="11"/>
              <w:spacing w:after="0"/>
              <w:ind w:left="105" w:leftChars="50" w:right="105" w:rightChars="50" w:firstLine="242" w:firstLineChars="100"/>
              <w:rPr>
                <w:rFonts w:ascii="Times New Roman" w:hAnsi="Times New Roman" w:eastAsia="宋体" w:cs="Times New Roman"/>
                <w:color w:val="000000" w:themeColor="text1"/>
                <w:spacing w:val="-2"/>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sym w:font="Wingdings" w:char="F06F"/>
            </w:r>
            <w:r>
              <w:rPr>
                <w:rFonts w:ascii="Times New Roman" w:hAnsi="Times New Roman" w:eastAsia="宋体" w:cs="Times New Roman"/>
                <w:bCs/>
                <w:color w:val="000000" w:themeColor="text1"/>
                <w:lang w:eastAsia="zh-CN" w:bidi="ar-AE"/>
                <w14:textFill>
                  <w14:solidFill>
                    <w14:schemeClr w14:val="tx1"/>
                  </w14:solidFill>
                </w14:textFill>
              </w:rPr>
              <w:t>3、不在同一相关市场、也不存在上下游关系的参与集中的经营者，在与交易有关的每个市场所占的份额均小于25%。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270" w:type="pct"/>
            <w:vMerge w:val="continue"/>
            <w:shd w:val="clear" w:color="auto" w:fill="D9D9D9"/>
          </w:tcPr>
          <w:p>
            <w:pPr>
              <w:spacing w:after="0"/>
              <w:ind w:left="105" w:leftChars="50" w:right="105" w:rightChars="50"/>
              <w:rPr>
                <w:rFonts w:ascii="Times New Roman" w:hAnsi="Times New Roman" w:eastAsia="宋体" w:cs="Times New Roman"/>
                <w:color w:val="000000" w:themeColor="text1"/>
                <w:sz w:val="24"/>
                <w:szCs w:val="24"/>
                <w:lang w:eastAsia="zh-CN"/>
                <w14:textFill>
                  <w14:solidFill>
                    <w14:schemeClr w14:val="tx1"/>
                  </w14:solidFill>
                </w14:textFill>
              </w:rPr>
            </w:pPr>
          </w:p>
        </w:tc>
        <w:tc>
          <w:tcPr>
            <w:tcW w:w="3730" w:type="pct"/>
            <w:gridSpan w:val="2"/>
          </w:tcPr>
          <w:p>
            <w:pPr>
              <w:pStyle w:val="11"/>
              <w:spacing w:after="0"/>
              <w:ind w:left="105" w:leftChars="50" w:right="105" w:rightChars="50" w:firstLine="240" w:firstLineChars="10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sym w:font="Wingdings" w:char="F0FE"/>
            </w:r>
            <w:r>
              <w:rPr>
                <w:rFonts w:ascii="Times New Roman" w:hAnsi="Times New Roman" w:eastAsia="宋体" w:cs="Times New Roman"/>
                <w:bCs/>
                <w:color w:val="000000" w:themeColor="text1"/>
                <w:lang w:eastAsia="zh-CN" w:bidi="ar-AE"/>
                <w14:textFill>
                  <w14:solidFill>
                    <w14:schemeClr w14:val="tx1"/>
                  </w14:solidFill>
                </w14:textFill>
              </w:rPr>
              <w:t>4、参与集中的经营者在中国境外设立合营企业，合营企业不在中国境内从事经济活动。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270" w:type="pct"/>
            <w:vMerge w:val="continue"/>
          </w:tcPr>
          <w:p>
            <w:pPr>
              <w:spacing w:after="0"/>
              <w:ind w:left="105" w:leftChars="50" w:right="105" w:rightChars="50"/>
              <w:rPr>
                <w:rFonts w:ascii="Times New Roman" w:hAnsi="Times New Roman" w:eastAsia="宋体" w:cs="Times New Roman"/>
                <w:color w:val="000000" w:themeColor="text1"/>
                <w:sz w:val="24"/>
                <w:szCs w:val="24"/>
                <w:lang w:eastAsia="zh-CN"/>
                <w14:textFill>
                  <w14:solidFill>
                    <w14:schemeClr w14:val="tx1"/>
                  </w14:solidFill>
                </w14:textFill>
              </w:rPr>
            </w:pPr>
          </w:p>
        </w:tc>
        <w:tc>
          <w:tcPr>
            <w:tcW w:w="3730" w:type="pct"/>
            <w:gridSpan w:val="2"/>
          </w:tcPr>
          <w:p>
            <w:pPr>
              <w:pStyle w:val="11"/>
              <w:spacing w:after="0"/>
              <w:ind w:left="105" w:leftChars="50" w:right="105" w:rightChars="50" w:firstLine="240" w:firstLineChars="10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sym w:font="Wingdings" w:char="F0FE"/>
            </w:r>
            <w:r>
              <w:rPr>
                <w:rFonts w:ascii="Times New Roman" w:hAnsi="Times New Roman" w:eastAsia="宋体" w:cs="Times New Roman"/>
                <w:bCs/>
                <w:color w:val="000000" w:themeColor="text1"/>
                <w:lang w:eastAsia="zh-CN" w:bidi="ar-AE"/>
                <w14:textFill>
                  <w14:solidFill>
                    <w14:schemeClr w14:val="tx1"/>
                  </w14:solidFill>
                </w14:textFill>
              </w:rPr>
              <w:t>5、参与集中的经营者收购境外企业股权或资产的，该境外企业不在中国境内从事经济活动。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270" w:type="pct"/>
            <w:vMerge w:val="continue"/>
          </w:tcPr>
          <w:p>
            <w:pPr>
              <w:spacing w:after="0"/>
              <w:ind w:left="105" w:leftChars="50" w:right="105" w:rightChars="50"/>
              <w:rPr>
                <w:rFonts w:ascii="Times New Roman" w:hAnsi="Times New Roman" w:eastAsia="宋体" w:cs="Times New Roman"/>
                <w:color w:val="000000" w:themeColor="text1"/>
                <w:sz w:val="24"/>
                <w:szCs w:val="24"/>
                <w:lang w:eastAsia="zh-CN"/>
                <w14:textFill>
                  <w14:solidFill>
                    <w14:schemeClr w14:val="tx1"/>
                  </w14:solidFill>
                </w14:textFill>
              </w:rPr>
            </w:pPr>
          </w:p>
        </w:tc>
        <w:tc>
          <w:tcPr>
            <w:tcW w:w="3730" w:type="pct"/>
            <w:gridSpan w:val="2"/>
          </w:tcPr>
          <w:p>
            <w:pPr>
              <w:pStyle w:val="11"/>
              <w:spacing w:after="0"/>
              <w:ind w:left="105" w:leftChars="50" w:right="105" w:rightChars="50" w:firstLine="242" w:firstLineChars="10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sym w:font="Wingdings" w:char="F06F"/>
            </w:r>
            <w:r>
              <w:rPr>
                <w:rFonts w:ascii="Times New Roman" w:hAnsi="Times New Roman" w:eastAsia="宋体" w:cs="Times New Roman"/>
                <w:bCs/>
                <w:color w:val="000000" w:themeColor="text1"/>
                <w:lang w:eastAsia="zh-CN" w:bidi="ar-AE"/>
                <w14:textFill>
                  <w14:solidFill>
                    <w14:schemeClr w14:val="tx1"/>
                  </w14:solidFill>
                </w14:textFill>
              </w:rPr>
              <w:t>6、由两个以上的经营者共同控制的合营企业，通过集中被其中一个或一个以上经营者控制。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70" w:type="pct"/>
            <w:shd w:val="clear" w:color="auto" w:fill="D9D9D9"/>
            <w:vAlign w:val="center"/>
          </w:tcPr>
          <w:p>
            <w:pPr>
              <w:pStyle w:val="11"/>
              <w:spacing w:after="0"/>
              <w:ind w:left="105" w:leftChars="50" w:right="105" w:rightChars="5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备注</w:t>
            </w:r>
          </w:p>
        </w:tc>
        <w:tc>
          <w:tcPr>
            <w:tcW w:w="3730" w:type="pct"/>
            <w:gridSpan w:val="2"/>
            <w:vAlign w:val="center"/>
          </w:tcPr>
          <w:p>
            <w:pPr>
              <w:spacing w:after="0"/>
              <w:ind w:left="113" w:right="86" w:rightChars="41"/>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不适用</w:t>
            </w:r>
          </w:p>
        </w:tc>
      </w:tr>
    </w:tbl>
    <w:p>
      <w:pPr>
        <w:pStyle w:val="3"/>
        <w:spacing w:after="0"/>
        <w:jc w:val="both"/>
        <w:outlineLvl w:val="1"/>
        <w:rPr>
          <w:rFonts w:ascii="Times New Roman" w:hAnsi="Times New Roman" w:eastAsia="宋体" w:cs="Times New Roman"/>
          <w:color w:val="000000" w:themeColor="text1"/>
          <w:sz w:val="24"/>
          <w:szCs w:val="24"/>
          <w:lang w:eastAsia="zh-CN"/>
          <w14:textFill>
            <w14:solidFill>
              <w14:schemeClr w14:val="tx1"/>
            </w14:solidFill>
          </w14:textFill>
        </w:rPr>
      </w:pPr>
    </w:p>
    <w:sectPr>
      <w:pgSz w:w="11906" w:h="16839"/>
      <w:pgMar w:top="1440" w:right="1800" w:bottom="1440" w:left="1800" w:header="0" w:footer="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Wingdings">
    <w:panose1 w:val="05000000000000000000"/>
    <w:charset w:val="00"/>
    <w:family w:val="decorative"/>
    <w:pitch w:val="default"/>
    <w:sig w:usb0="00000000" w:usb1="00000000" w:usb2="00000000" w:usb3="00000000" w:csb0="8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hideSpellingErrors/>
  <w:hideGrammaticalErrors/>
  <w:documentProtection w:enforcement="0"/>
  <w:defaultTabStop w:val="420"/>
  <w:hyphenationZone w:val="425"/>
  <w:characterSpacingControl w:val="doNotCompress"/>
  <w:footnotePr>
    <w:footnote w:id="0"/>
    <w:footnote w:id="1"/>
  </w:footnotePr>
  <w:endnotePr>
    <w:endnote w:id="0"/>
    <w:endnote w:id="1"/>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EOutsideDoc" w:val="True"/>
    <w:docVar w:name="TMS_CultureId" w:val="en-GB"/>
    <w:docVar w:name="TMS_OfficeId" w:val="London"/>
  </w:docVars>
  <w:rsids>
    <w:rsidRoot w:val="00822E51"/>
    <w:rsid w:val="00000527"/>
    <w:rsid w:val="0000642A"/>
    <w:rsid w:val="0001275B"/>
    <w:rsid w:val="00015499"/>
    <w:rsid w:val="00017DE1"/>
    <w:rsid w:val="00022839"/>
    <w:rsid w:val="00032914"/>
    <w:rsid w:val="00046548"/>
    <w:rsid w:val="00065460"/>
    <w:rsid w:val="00077B46"/>
    <w:rsid w:val="00084DC3"/>
    <w:rsid w:val="00094258"/>
    <w:rsid w:val="000A0512"/>
    <w:rsid w:val="000A147C"/>
    <w:rsid w:val="000B28A7"/>
    <w:rsid w:val="000D0369"/>
    <w:rsid w:val="000D5C22"/>
    <w:rsid w:val="000F41CE"/>
    <w:rsid w:val="001108FE"/>
    <w:rsid w:val="00116E0E"/>
    <w:rsid w:val="0012424B"/>
    <w:rsid w:val="001255B2"/>
    <w:rsid w:val="00134064"/>
    <w:rsid w:val="00136C49"/>
    <w:rsid w:val="00137BB8"/>
    <w:rsid w:val="00151656"/>
    <w:rsid w:val="00151B4A"/>
    <w:rsid w:val="00157F92"/>
    <w:rsid w:val="001659D0"/>
    <w:rsid w:val="00177B88"/>
    <w:rsid w:val="00187889"/>
    <w:rsid w:val="00193DD5"/>
    <w:rsid w:val="001947D9"/>
    <w:rsid w:val="001A4B56"/>
    <w:rsid w:val="001B7F89"/>
    <w:rsid w:val="001C083C"/>
    <w:rsid w:val="001C7EFB"/>
    <w:rsid w:val="001D2AF5"/>
    <w:rsid w:val="001F1FF1"/>
    <w:rsid w:val="001F3EB4"/>
    <w:rsid w:val="00224E98"/>
    <w:rsid w:val="002350DF"/>
    <w:rsid w:val="002637E7"/>
    <w:rsid w:val="00265EAF"/>
    <w:rsid w:val="00286420"/>
    <w:rsid w:val="002A216D"/>
    <w:rsid w:val="002A406C"/>
    <w:rsid w:val="002C056B"/>
    <w:rsid w:val="002D03DD"/>
    <w:rsid w:val="002D3875"/>
    <w:rsid w:val="002D4B2C"/>
    <w:rsid w:val="002F1DC9"/>
    <w:rsid w:val="00301809"/>
    <w:rsid w:val="00301B9C"/>
    <w:rsid w:val="00306D7C"/>
    <w:rsid w:val="00312375"/>
    <w:rsid w:val="00332E03"/>
    <w:rsid w:val="00334261"/>
    <w:rsid w:val="00337B35"/>
    <w:rsid w:val="00354B79"/>
    <w:rsid w:val="00364F2A"/>
    <w:rsid w:val="00370D09"/>
    <w:rsid w:val="00390D5C"/>
    <w:rsid w:val="003A3B3A"/>
    <w:rsid w:val="003A690C"/>
    <w:rsid w:val="003C2495"/>
    <w:rsid w:val="003C60B3"/>
    <w:rsid w:val="003D04B8"/>
    <w:rsid w:val="003F3C68"/>
    <w:rsid w:val="0041001A"/>
    <w:rsid w:val="0042629E"/>
    <w:rsid w:val="00435F7F"/>
    <w:rsid w:val="0044107D"/>
    <w:rsid w:val="0044386D"/>
    <w:rsid w:val="0044433A"/>
    <w:rsid w:val="004452B6"/>
    <w:rsid w:val="00451889"/>
    <w:rsid w:val="00453E4A"/>
    <w:rsid w:val="004548BE"/>
    <w:rsid w:val="00454D20"/>
    <w:rsid w:val="00455E5A"/>
    <w:rsid w:val="00460950"/>
    <w:rsid w:val="00460E07"/>
    <w:rsid w:val="004632E1"/>
    <w:rsid w:val="004737E1"/>
    <w:rsid w:val="00484D1B"/>
    <w:rsid w:val="00495D64"/>
    <w:rsid w:val="00497B5C"/>
    <w:rsid w:val="004B24C8"/>
    <w:rsid w:val="004B5317"/>
    <w:rsid w:val="004C1EEA"/>
    <w:rsid w:val="004C382F"/>
    <w:rsid w:val="004C3B20"/>
    <w:rsid w:val="004C6B75"/>
    <w:rsid w:val="004D5E15"/>
    <w:rsid w:val="00503005"/>
    <w:rsid w:val="00506058"/>
    <w:rsid w:val="00506865"/>
    <w:rsid w:val="00520A2A"/>
    <w:rsid w:val="00520C8C"/>
    <w:rsid w:val="0052537E"/>
    <w:rsid w:val="00527D21"/>
    <w:rsid w:val="00545290"/>
    <w:rsid w:val="00547630"/>
    <w:rsid w:val="00563F92"/>
    <w:rsid w:val="00564F28"/>
    <w:rsid w:val="0057299E"/>
    <w:rsid w:val="00574D86"/>
    <w:rsid w:val="00581E5B"/>
    <w:rsid w:val="0059116B"/>
    <w:rsid w:val="005935E2"/>
    <w:rsid w:val="005953C1"/>
    <w:rsid w:val="005979D7"/>
    <w:rsid w:val="005B2219"/>
    <w:rsid w:val="005C633E"/>
    <w:rsid w:val="005D1980"/>
    <w:rsid w:val="005E034F"/>
    <w:rsid w:val="005F03AB"/>
    <w:rsid w:val="005F0BED"/>
    <w:rsid w:val="005F3415"/>
    <w:rsid w:val="005F6DE3"/>
    <w:rsid w:val="00602A43"/>
    <w:rsid w:val="00603319"/>
    <w:rsid w:val="00614295"/>
    <w:rsid w:val="00615C5A"/>
    <w:rsid w:val="00616800"/>
    <w:rsid w:val="00617082"/>
    <w:rsid w:val="00626FB1"/>
    <w:rsid w:val="006344A8"/>
    <w:rsid w:val="00652333"/>
    <w:rsid w:val="006632C4"/>
    <w:rsid w:val="00664A59"/>
    <w:rsid w:val="0067082C"/>
    <w:rsid w:val="006756F9"/>
    <w:rsid w:val="00676431"/>
    <w:rsid w:val="006814BE"/>
    <w:rsid w:val="006879D7"/>
    <w:rsid w:val="00693F75"/>
    <w:rsid w:val="006A2A87"/>
    <w:rsid w:val="006A6B39"/>
    <w:rsid w:val="006B1B06"/>
    <w:rsid w:val="006C03B1"/>
    <w:rsid w:val="006D52CD"/>
    <w:rsid w:val="006D635E"/>
    <w:rsid w:val="006E3C5E"/>
    <w:rsid w:val="006F72E2"/>
    <w:rsid w:val="007063BA"/>
    <w:rsid w:val="007115E3"/>
    <w:rsid w:val="007175DA"/>
    <w:rsid w:val="00724C11"/>
    <w:rsid w:val="0072522D"/>
    <w:rsid w:val="007401BC"/>
    <w:rsid w:val="007636CB"/>
    <w:rsid w:val="00773DC9"/>
    <w:rsid w:val="007B025A"/>
    <w:rsid w:val="007B3932"/>
    <w:rsid w:val="007C3635"/>
    <w:rsid w:val="007D512F"/>
    <w:rsid w:val="007D6271"/>
    <w:rsid w:val="007E3C44"/>
    <w:rsid w:val="007F27E1"/>
    <w:rsid w:val="007F3F9D"/>
    <w:rsid w:val="007F6536"/>
    <w:rsid w:val="00801A7E"/>
    <w:rsid w:val="008061EA"/>
    <w:rsid w:val="0081475E"/>
    <w:rsid w:val="00822E51"/>
    <w:rsid w:val="00826136"/>
    <w:rsid w:val="0083751C"/>
    <w:rsid w:val="00837F2F"/>
    <w:rsid w:val="008426A2"/>
    <w:rsid w:val="00861474"/>
    <w:rsid w:val="008723D0"/>
    <w:rsid w:val="00875108"/>
    <w:rsid w:val="00875EA5"/>
    <w:rsid w:val="00877BE9"/>
    <w:rsid w:val="0088403A"/>
    <w:rsid w:val="0089046E"/>
    <w:rsid w:val="008A1764"/>
    <w:rsid w:val="008C2FB0"/>
    <w:rsid w:val="008C6B98"/>
    <w:rsid w:val="008D38C9"/>
    <w:rsid w:val="008D6443"/>
    <w:rsid w:val="008E420E"/>
    <w:rsid w:val="008F534F"/>
    <w:rsid w:val="0090184D"/>
    <w:rsid w:val="00913DF5"/>
    <w:rsid w:val="00924E4B"/>
    <w:rsid w:val="00930C08"/>
    <w:rsid w:val="00946580"/>
    <w:rsid w:val="00946A49"/>
    <w:rsid w:val="00956DCC"/>
    <w:rsid w:val="009757EB"/>
    <w:rsid w:val="0099649F"/>
    <w:rsid w:val="009A1A2F"/>
    <w:rsid w:val="009A262E"/>
    <w:rsid w:val="009A79F9"/>
    <w:rsid w:val="009B4DE1"/>
    <w:rsid w:val="009C14D3"/>
    <w:rsid w:val="009C4B32"/>
    <w:rsid w:val="009C5FC3"/>
    <w:rsid w:val="009D0F63"/>
    <w:rsid w:val="009E73F5"/>
    <w:rsid w:val="009F6900"/>
    <w:rsid w:val="00A25E5D"/>
    <w:rsid w:val="00A32195"/>
    <w:rsid w:val="00A36914"/>
    <w:rsid w:val="00A36BE2"/>
    <w:rsid w:val="00A3793B"/>
    <w:rsid w:val="00A558C0"/>
    <w:rsid w:val="00A60601"/>
    <w:rsid w:val="00A7140E"/>
    <w:rsid w:val="00A72AE6"/>
    <w:rsid w:val="00A75ED3"/>
    <w:rsid w:val="00A84943"/>
    <w:rsid w:val="00A87467"/>
    <w:rsid w:val="00A936C3"/>
    <w:rsid w:val="00AC0BA1"/>
    <w:rsid w:val="00AD42D3"/>
    <w:rsid w:val="00AE0F54"/>
    <w:rsid w:val="00AE0FEF"/>
    <w:rsid w:val="00AE3DBF"/>
    <w:rsid w:val="00AF17CC"/>
    <w:rsid w:val="00B01336"/>
    <w:rsid w:val="00B01EBB"/>
    <w:rsid w:val="00B14298"/>
    <w:rsid w:val="00B16292"/>
    <w:rsid w:val="00B23A02"/>
    <w:rsid w:val="00B30301"/>
    <w:rsid w:val="00B368D0"/>
    <w:rsid w:val="00BB1E37"/>
    <w:rsid w:val="00C05F3B"/>
    <w:rsid w:val="00C178B2"/>
    <w:rsid w:val="00C307E4"/>
    <w:rsid w:val="00C616F8"/>
    <w:rsid w:val="00C738CE"/>
    <w:rsid w:val="00C80AB3"/>
    <w:rsid w:val="00C87B5E"/>
    <w:rsid w:val="00C971F3"/>
    <w:rsid w:val="00CA2897"/>
    <w:rsid w:val="00CA6FE7"/>
    <w:rsid w:val="00CB1831"/>
    <w:rsid w:val="00CB3491"/>
    <w:rsid w:val="00CB46EC"/>
    <w:rsid w:val="00CB61D0"/>
    <w:rsid w:val="00CC7A15"/>
    <w:rsid w:val="00CE159C"/>
    <w:rsid w:val="00CE49CB"/>
    <w:rsid w:val="00CE5DC7"/>
    <w:rsid w:val="00CE74BC"/>
    <w:rsid w:val="00CF742E"/>
    <w:rsid w:val="00D059C4"/>
    <w:rsid w:val="00D16AB9"/>
    <w:rsid w:val="00D22933"/>
    <w:rsid w:val="00D272C8"/>
    <w:rsid w:val="00D37806"/>
    <w:rsid w:val="00D67923"/>
    <w:rsid w:val="00D715B0"/>
    <w:rsid w:val="00D80E2E"/>
    <w:rsid w:val="00D872D9"/>
    <w:rsid w:val="00D94ADF"/>
    <w:rsid w:val="00DC4960"/>
    <w:rsid w:val="00DD6B02"/>
    <w:rsid w:val="00DD6B0B"/>
    <w:rsid w:val="00DD6C46"/>
    <w:rsid w:val="00DD762E"/>
    <w:rsid w:val="00DE01D2"/>
    <w:rsid w:val="00DE2486"/>
    <w:rsid w:val="00DF6F3C"/>
    <w:rsid w:val="00E1262F"/>
    <w:rsid w:val="00E12D12"/>
    <w:rsid w:val="00E13B59"/>
    <w:rsid w:val="00E17C68"/>
    <w:rsid w:val="00E17FE8"/>
    <w:rsid w:val="00E271FE"/>
    <w:rsid w:val="00E31E58"/>
    <w:rsid w:val="00E35787"/>
    <w:rsid w:val="00E358C6"/>
    <w:rsid w:val="00E57047"/>
    <w:rsid w:val="00E71948"/>
    <w:rsid w:val="00E91069"/>
    <w:rsid w:val="00EA7798"/>
    <w:rsid w:val="00EB23FD"/>
    <w:rsid w:val="00EC6426"/>
    <w:rsid w:val="00EE4571"/>
    <w:rsid w:val="00EE6375"/>
    <w:rsid w:val="00F20108"/>
    <w:rsid w:val="00F22B13"/>
    <w:rsid w:val="00F24866"/>
    <w:rsid w:val="00F341FA"/>
    <w:rsid w:val="00F37C7C"/>
    <w:rsid w:val="00F42B43"/>
    <w:rsid w:val="00F4698A"/>
    <w:rsid w:val="00F47EDA"/>
    <w:rsid w:val="00F54837"/>
    <w:rsid w:val="00F609F6"/>
    <w:rsid w:val="00F62793"/>
    <w:rsid w:val="00F70EA7"/>
    <w:rsid w:val="00F81F92"/>
    <w:rsid w:val="00F82574"/>
    <w:rsid w:val="00F909E4"/>
    <w:rsid w:val="00FB5221"/>
    <w:rsid w:val="00FD3039"/>
    <w:rsid w:val="00FE5EF6"/>
    <w:rsid w:val="00FF31BB"/>
    <w:rsid w:val="832C148C"/>
    <w:rsid w:val="C47FE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GB"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rPr>
      <w:sz w:val="20"/>
      <w:szCs w:val="20"/>
    </w:rPr>
  </w:style>
  <w:style w:type="paragraph" w:styleId="3">
    <w:name w:val="Body Text"/>
    <w:basedOn w:val="1"/>
    <w:link w:val="12"/>
    <w:semiHidden/>
    <w:qFormat/>
    <w:uiPriority w:val="0"/>
    <w:rPr>
      <w:rFonts w:ascii="微软雅黑" w:hAnsi="微软雅黑" w:eastAsia="微软雅黑" w:cs="微软雅黑"/>
      <w:sz w:val="28"/>
      <w:szCs w:val="28"/>
    </w:rPr>
  </w:style>
  <w:style w:type="paragraph" w:styleId="4">
    <w:name w:val="footer"/>
    <w:basedOn w:val="1"/>
    <w:link w:val="14"/>
    <w:unhideWhenUsed/>
    <w:qFormat/>
    <w:uiPriority w:val="99"/>
    <w:pPr>
      <w:tabs>
        <w:tab w:val="center" w:pos="4153"/>
        <w:tab w:val="right" w:pos="8306"/>
      </w:tabs>
    </w:pPr>
    <w:rPr>
      <w:sz w:val="18"/>
      <w:szCs w:val="18"/>
    </w:rPr>
  </w:style>
  <w:style w:type="paragraph" w:styleId="5">
    <w:name w:val="header"/>
    <w:basedOn w:val="1"/>
    <w:link w:val="13"/>
    <w:unhideWhenUsed/>
    <w:qFormat/>
    <w:uiPriority w:val="99"/>
    <w:pPr>
      <w:tabs>
        <w:tab w:val="center" w:pos="4153"/>
        <w:tab w:val="right" w:pos="8306"/>
      </w:tabs>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annotation reference"/>
    <w:basedOn w:val="8"/>
    <w:semiHidden/>
    <w:unhideWhenUsed/>
    <w:qFormat/>
    <w:uiPriority w:val="99"/>
    <w:rPr>
      <w:sz w:val="16"/>
      <w:szCs w:val="16"/>
    </w:rPr>
  </w:style>
  <w:style w:type="table" w:customStyle="1" w:styleId="10">
    <w:name w:val="Table Normal1"/>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微软雅黑" w:hAnsi="微软雅黑" w:eastAsia="微软雅黑" w:cs="微软雅黑"/>
      <w:sz w:val="24"/>
      <w:szCs w:val="24"/>
    </w:rPr>
  </w:style>
  <w:style w:type="character" w:customStyle="1" w:styleId="12">
    <w:name w:val="正文文本 字符"/>
    <w:basedOn w:val="8"/>
    <w:link w:val="3"/>
    <w:semiHidden/>
    <w:qFormat/>
    <w:uiPriority w:val="0"/>
    <w:rPr>
      <w:rFonts w:ascii="微软雅黑" w:hAnsi="微软雅黑" w:eastAsia="微软雅黑" w:cs="微软雅黑"/>
      <w:sz w:val="28"/>
      <w:szCs w:val="28"/>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paragraph" w:customStyle="1" w:styleId="15">
    <w:name w:val="Revision"/>
    <w:hidden/>
    <w:semiHidden/>
    <w:qFormat/>
    <w:uiPriority w:val="99"/>
    <w:pPr>
      <w:spacing w:after="0" w:line="240" w:lineRule="auto"/>
    </w:pPr>
    <w:rPr>
      <w:rFonts w:ascii="Arial" w:hAnsi="Arial" w:cs="Arial" w:eastAsiaTheme="minorEastAsia"/>
      <w:snapToGrid w:val="0"/>
      <w:color w:val="000000"/>
      <w:sz w:val="21"/>
      <w:szCs w:val="21"/>
      <w:lang w:val="en-US" w:eastAsia="en-US" w:bidi="ar-SA"/>
    </w:rPr>
  </w:style>
  <w:style w:type="character" w:customStyle="1" w:styleId="16">
    <w:name w:val="批注文字 字符"/>
    <w:basedOn w:val="8"/>
    <w:link w:val="2"/>
    <w:qFormat/>
    <w:uiPriority w:val="99"/>
    <w:rPr>
      <w:sz w:val="20"/>
      <w:szCs w:val="20"/>
    </w:rPr>
  </w:style>
  <w:style w:type="character" w:customStyle="1" w:styleId="17">
    <w:name w:val="批注主题 字符"/>
    <w:basedOn w:val="16"/>
    <w:link w:val="6"/>
    <w:semiHidden/>
    <w:qFormat/>
    <w:uiPriority w:val="99"/>
    <w:rPr>
      <w:b/>
      <w:bC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Words>
  <Characters>915</Characters>
  <Lines>7</Lines>
  <Paragraphs>2</Paragraphs>
  <TotalTime>3</TotalTime>
  <ScaleCrop>false</ScaleCrop>
  <LinksUpToDate>false</LinksUpToDate>
  <CharactersWithSpaces>1073</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2025-10-23T15:55:00Z</dcterms:created>
  <dc:creator>Taiyang LI</dc:creator>
  <cp:lastModifiedBy>oa</cp:lastModifiedBy>
  <cp:lastPrinted>1900-01-01T13:57:00Z</cp:lastPrinted>
  <dcterms:modified xsi:type="dcterms:W3CDTF">2025-10-31T16:19:00Z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2025-07-16T12:01:33Z</vt:filetime>
  </property>
  <property fmtid="{D5CDD505-2E9C-101B-9397-08002B2CF9AE}" pid="4" name="ContentTypeId">
    <vt:lpwstr>0x010100CAC3AC1C94AC58469FDA996E8D99497A</vt:lpwstr>
  </property>
  <property fmtid="{D5CDD505-2E9C-101B-9397-08002B2CF9AE}" pid="5" name="BBIManageDocNumber">
    <vt:lpwstr>90011520</vt:lpwstr>
  </property>
  <property fmtid="{D5CDD505-2E9C-101B-9397-08002B2CF9AE}" pid="6" name="BBIManageDocVersion">
    <vt:lpwstr>1</vt:lpwstr>
  </property>
  <property fmtid="{D5CDD505-2E9C-101B-9397-08002B2CF9AE}" pid="7" name="BBIManageDocWorkspace">
    <vt:lpwstr>STEAA.0003 - Joint Venture</vt:lpwstr>
  </property>
  <property fmtid="{D5CDD505-2E9C-101B-9397-08002B2CF9AE}" pid="8" name="BBIManageDocClient">
    <vt:lpwstr>STEAA</vt:lpwstr>
  </property>
  <property fmtid="{D5CDD505-2E9C-101B-9397-08002B2CF9AE}" pid="9" name="BBIManageDocMatter">
    <vt:lpwstr>0003</vt:lpwstr>
  </property>
  <property fmtid="{D5CDD505-2E9C-101B-9397-08002B2CF9AE}" pid="10" name="BBIManageDocLibrary">
    <vt:lpwstr>Matters</vt:lpwstr>
  </property>
  <property fmtid="{D5CDD505-2E9C-101B-9397-08002B2CF9AE}" pid="11" name="BBIManageDocDescription">
    <vt:lpwstr>250915_Publication Form for Simplified Cases in China（for both parties）_EN</vt:lpwstr>
  </property>
  <property fmtid="{D5CDD505-2E9C-101B-9397-08002B2CF9AE}" pid="12" name="BBIManageDocFolder">
    <vt:lpwstr>STEAA.0003 - Joint Venture\Documents\1. Competition - merger control and NSIA\9. China merger control\</vt:lpwstr>
  </property>
  <property fmtid="{D5CDD505-2E9C-101B-9397-08002B2CF9AE}" pid="13" name="BBDocRef">
    <vt:lpwstr>Matters\90011520.1</vt:lpwstr>
  </property>
  <property fmtid="{D5CDD505-2E9C-101B-9397-08002B2CF9AE}" pid="14" name="KSOProductBuildVer">
    <vt:lpwstr>2052-11.8.2.10552</vt:lpwstr>
  </property>
</Properties>
</file>