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6A16" w14:textId="77777777" w:rsidR="009D7026" w:rsidRDefault="00000000">
      <w:pPr>
        <w:pStyle w:val="1"/>
        <w:ind w:left="672" w:right="793"/>
        <w:jc w:val="center"/>
        <w:rPr>
          <w:rFonts w:hint="eastAsia"/>
        </w:rPr>
      </w:pPr>
      <w:r>
        <w:t>经营者集中简易案件公示表</w:t>
      </w:r>
    </w:p>
    <w:p w14:paraId="1496A2BD" w14:textId="77777777" w:rsidR="009D7026" w:rsidRDefault="009D7026">
      <w:pPr>
        <w:pStyle w:val="a5"/>
        <w:spacing w:before="1"/>
        <w:rPr>
          <w:rFonts w:ascii="黑体" w:hint="eastAsia"/>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40"/>
        <w:gridCol w:w="1607"/>
        <w:gridCol w:w="6093"/>
      </w:tblGrid>
      <w:tr w:rsidR="009D7026" w14:paraId="2743B160" w14:textId="77777777">
        <w:trPr>
          <w:trHeight w:val="426"/>
        </w:trPr>
        <w:tc>
          <w:tcPr>
            <w:tcW w:w="1940" w:type="dxa"/>
            <w:shd w:val="clear" w:color="auto" w:fill="D9D9D9"/>
            <w:vAlign w:val="center"/>
          </w:tcPr>
          <w:p w14:paraId="503D738C" w14:textId="77777777" w:rsidR="009D7026" w:rsidRDefault="00000000">
            <w:pPr>
              <w:pStyle w:val="TableParagraph"/>
              <w:spacing w:before="1"/>
              <w:ind w:left="108"/>
              <w:rPr>
                <w:rFonts w:hint="eastAsia"/>
                <w:sz w:val="24"/>
              </w:rPr>
            </w:pPr>
            <w:r>
              <w:rPr>
                <w:sz w:val="24"/>
              </w:rPr>
              <w:t>案件名称</w:t>
            </w:r>
          </w:p>
        </w:tc>
        <w:tc>
          <w:tcPr>
            <w:tcW w:w="7700" w:type="dxa"/>
            <w:gridSpan w:val="2"/>
            <w:vAlign w:val="center"/>
          </w:tcPr>
          <w:p w14:paraId="60869D0C" w14:textId="77777777" w:rsidR="009D7026" w:rsidRDefault="00000000">
            <w:pPr>
              <w:pStyle w:val="TableParagraph"/>
              <w:spacing w:before="13" w:line="271" w:lineRule="auto"/>
              <w:ind w:left="0" w:right="97"/>
              <w:rPr>
                <w:rFonts w:hint="eastAsia"/>
                <w:sz w:val="24"/>
              </w:rPr>
            </w:pPr>
            <w:r>
              <w:rPr>
                <w:rFonts w:hint="eastAsia"/>
                <w:sz w:val="24"/>
              </w:rPr>
              <w:t>北京市广域方圆商贸有限责任公司收购北京海新致低碳科技发展有限公司股权案</w:t>
            </w:r>
          </w:p>
        </w:tc>
      </w:tr>
      <w:tr w:rsidR="009D7026" w14:paraId="12C2F358" w14:textId="77777777">
        <w:trPr>
          <w:trHeight w:val="1686"/>
        </w:trPr>
        <w:tc>
          <w:tcPr>
            <w:tcW w:w="1940" w:type="dxa"/>
            <w:shd w:val="clear" w:color="auto" w:fill="D9D9D9"/>
            <w:vAlign w:val="center"/>
          </w:tcPr>
          <w:p w14:paraId="260D95A1" w14:textId="77777777" w:rsidR="009D7026" w:rsidRDefault="00000000">
            <w:pPr>
              <w:pStyle w:val="TableParagraph"/>
              <w:spacing w:before="216" w:line="271" w:lineRule="auto"/>
              <w:ind w:left="108" w:right="96"/>
              <w:rPr>
                <w:rFonts w:hint="eastAsia"/>
                <w:sz w:val="24"/>
              </w:rPr>
            </w:pPr>
            <w:r>
              <w:rPr>
                <w:spacing w:val="-30"/>
                <w:sz w:val="24"/>
              </w:rPr>
              <w:t>交易概况</w:t>
            </w:r>
            <w:r>
              <w:rPr>
                <w:sz w:val="24"/>
              </w:rPr>
              <w:t>（</w:t>
            </w:r>
            <w:r>
              <w:rPr>
                <w:spacing w:val="-38"/>
                <w:sz w:val="24"/>
              </w:rPr>
              <w:t>限</w:t>
            </w:r>
            <w:r>
              <w:rPr>
                <w:spacing w:val="-7"/>
                <w:sz w:val="24"/>
              </w:rPr>
              <w:t>200</w:t>
            </w:r>
            <w:r>
              <w:rPr>
                <w:sz w:val="24"/>
              </w:rPr>
              <w:t>字内）</w:t>
            </w:r>
          </w:p>
        </w:tc>
        <w:tc>
          <w:tcPr>
            <w:tcW w:w="7700" w:type="dxa"/>
            <w:gridSpan w:val="2"/>
            <w:vAlign w:val="center"/>
          </w:tcPr>
          <w:p w14:paraId="48196EF8" w14:textId="77777777" w:rsidR="009D7026" w:rsidRDefault="00000000">
            <w:pPr>
              <w:pStyle w:val="TableParagraph"/>
              <w:spacing w:line="307" w:lineRule="exact"/>
              <w:ind w:left="0"/>
              <w:rPr>
                <w:rFonts w:hint="eastAsia"/>
                <w:bCs/>
                <w:sz w:val="24"/>
                <w:lang w:val="en-US"/>
              </w:rPr>
            </w:pPr>
            <w:r>
              <w:rPr>
                <w:rFonts w:hint="eastAsia"/>
                <w:sz w:val="24"/>
              </w:rPr>
              <w:t>北京市广域方圆商贸有限责任公司（</w:t>
            </w:r>
            <w:r>
              <w:rPr>
                <w:rFonts w:hint="eastAsia"/>
                <w:b/>
                <w:bCs/>
                <w:sz w:val="24"/>
              </w:rPr>
              <w:t>“广域方圆”</w:t>
            </w:r>
            <w:r>
              <w:rPr>
                <w:rFonts w:hint="eastAsia"/>
                <w:sz w:val="24"/>
              </w:rPr>
              <w:t>）和北京市海淀区国有资产投资集团有限公司（</w:t>
            </w:r>
            <w:r>
              <w:rPr>
                <w:rFonts w:hint="eastAsia"/>
                <w:b/>
                <w:bCs/>
                <w:sz w:val="24"/>
              </w:rPr>
              <w:t>“海国投”</w:t>
            </w:r>
            <w:r>
              <w:rPr>
                <w:rFonts w:hint="eastAsia"/>
                <w:sz w:val="24"/>
              </w:rPr>
              <w:t>）签署协议，广域方圆受让北京海新致低碳科技发展有限公司（</w:t>
            </w:r>
            <w:r>
              <w:rPr>
                <w:rFonts w:hint="eastAsia"/>
                <w:b/>
                <w:bCs/>
                <w:sz w:val="24"/>
              </w:rPr>
              <w:t>“海新致”</w:t>
            </w:r>
            <w:r>
              <w:rPr>
                <w:rFonts w:hint="eastAsia"/>
                <w:sz w:val="24"/>
              </w:rPr>
              <w:t>）</w:t>
            </w:r>
            <w:r>
              <w:rPr>
                <w:bCs/>
                <w:sz w:val="24"/>
                <w:lang w:val="en-US"/>
              </w:rPr>
              <w:t>100%股权</w:t>
            </w:r>
            <w:r>
              <w:rPr>
                <w:rFonts w:hint="eastAsia"/>
                <w:bCs/>
                <w:sz w:val="24"/>
                <w:lang w:val="en-US"/>
              </w:rPr>
              <w:t>。交易前，</w:t>
            </w:r>
            <w:proofErr w:type="gramStart"/>
            <w:r>
              <w:rPr>
                <w:rFonts w:hint="eastAsia"/>
                <w:bCs/>
                <w:sz w:val="24"/>
                <w:lang w:val="en-US"/>
              </w:rPr>
              <w:t>海国投</w:t>
            </w:r>
            <w:proofErr w:type="gramEnd"/>
            <w:r>
              <w:rPr>
                <w:rFonts w:hint="eastAsia"/>
                <w:bCs/>
                <w:sz w:val="24"/>
                <w:lang w:val="en-US"/>
              </w:rPr>
              <w:t>持有海新致</w:t>
            </w:r>
            <w:r>
              <w:rPr>
                <w:bCs/>
                <w:sz w:val="24"/>
                <w:lang w:val="en-US"/>
              </w:rPr>
              <w:t>100%股权，</w:t>
            </w:r>
            <w:r>
              <w:rPr>
                <w:rFonts w:hint="eastAsia"/>
                <w:bCs/>
                <w:sz w:val="24"/>
                <w:lang w:val="en-US"/>
              </w:rPr>
              <w:t>单独控制海新致</w:t>
            </w:r>
            <w:r>
              <w:rPr>
                <w:bCs/>
                <w:sz w:val="24"/>
                <w:lang w:val="en-US"/>
              </w:rPr>
              <w:t>。</w:t>
            </w:r>
            <w:r>
              <w:rPr>
                <w:rFonts w:hint="eastAsia"/>
                <w:bCs/>
                <w:sz w:val="24"/>
                <w:lang w:val="en-US"/>
              </w:rPr>
              <w:t>交易后，广域方圆持有海新致</w:t>
            </w:r>
            <w:r>
              <w:rPr>
                <w:bCs/>
                <w:sz w:val="24"/>
                <w:lang w:val="en-US"/>
              </w:rPr>
              <w:t>100%股权，</w:t>
            </w:r>
            <w:r>
              <w:rPr>
                <w:rFonts w:hint="eastAsia"/>
                <w:bCs/>
                <w:sz w:val="24"/>
                <w:lang w:val="en-US"/>
              </w:rPr>
              <w:t>单独控制海新致</w:t>
            </w:r>
            <w:r>
              <w:rPr>
                <w:bCs/>
                <w:sz w:val="24"/>
                <w:lang w:val="en-US"/>
              </w:rPr>
              <w:t>。</w:t>
            </w:r>
          </w:p>
        </w:tc>
      </w:tr>
      <w:tr w:rsidR="009D7026" w14:paraId="143EBC9F" w14:textId="77777777">
        <w:trPr>
          <w:trHeight w:val="1074"/>
        </w:trPr>
        <w:tc>
          <w:tcPr>
            <w:tcW w:w="1940" w:type="dxa"/>
            <w:vMerge w:val="restart"/>
            <w:shd w:val="clear" w:color="auto" w:fill="D9D9D9"/>
            <w:vAlign w:val="center"/>
          </w:tcPr>
          <w:p w14:paraId="002BFDC8" w14:textId="77777777" w:rsidR="009D7026" w:rsidRDefault="00000000">
            <w:pPr>
              <w:pStyle w:val="TableParagraph"/>
              <w:spacing w:line="271" w:lineRule="auto"/>
              <w:ind w:left="108" w:right="96"/>
              <w:rPr>
                <w:rFonts w:hint="eastAsia"/>
                <w:sz w:val="24"/>
              </w:rPr>
            </w:pPr>
            <w:r>
              <w:rPr>
                <w:sz w:val="24"/>
              </w:rPr>
              <w:t>参与集中的经营者简介（每个限100字以内）</w:t>
            </w:r>
          </w:p>
        </w:tc>
        <w:tc>
          <w:tcPr>
            <w:tcW w:w="1607" w:type="dxa"/>
            <w:vAlign w:val="center"/>
          </w:tcPr>
          <w:p w14:paraId="16C2B325" w14:textId="77777777" w:rsidR="009D7026" w:rsidRDefault="00000000">
            <w:pPr>
              <w:pStyle w:val="TableParagraph"/>
              <w:spacing w:before="232"/>
              <w:ind w:left="58" w:right="58"/>
              <w:rPr>
                <w:rFonts w:hint="eastAsia"/>
                <w:sz w:val="24"/>
              </w:rPr>
            </w:pPr>
            <w:r>
              <w:rPr>
                <w:sz w:val="24"/>
              </w:rPr>
              <w:t>1.</w:t>
            </w:r>
            <w:r>
              <w:rPr>
                <w:rFonts w:hint="eastAsia"/>
                <w:sz w:val="24"/>
              </w:rPr>
              <w:t xml:space="preserve"> 广域方圆</w:t>
            </w:r>
          </w:p>
        </w:tc>
        <w:tc>
          <w:tcPr>
            <w:tcW w:w="6093" w:type="dxa"/>
            <w:vAlign w:val="center"/>
          </w:tcPr>
          <w:p w14:paraId="43C2BBF5" w14:textId="77777777" w:rsidR="009D7026" w:rsidRDefault="00000000">
            <w:pPr>
              <w:pStyle w:val="TableParagraph"/>
              <w:spacing w:before="1"/>
              <w:ind w:left="108"/>
              <w:rPr>
                <w:rFonts w:hint="eastAsia"/>
                <w:sz w:val="24"/>
              </w:rPr>
            </w:pPr>
            <w:r>
              <w:rPr>
                <w:rFonts w:hint="eastAsia"/>
                <w:sz w:val="24"/>
              </w:rPr>
              <w:t>广域方圆于</w:t>
            </w:r>
            <w:r>
              <w:rPr>
                <w:sz w:val="24"/>
              </w:rPr>
              <w:t>1999年12月2日</w:t>
            </w:r>
            <w:r>
              <w:rPr>
                <w:rFonts w:hint="eastAsia"/>
                <w:sz w:val="24"/>
              </w:rPr>
              <w:t>成立于北京市，主要业务为房屋出租、房地产开发、电子支付设备服务、信息技术软件服务及滑雪场运营等行业投资。</w:t>
            </w:r>
          </w:p>
          <w:p w14:paraId="07EC6BA2" w14:textId="77777777" w:rsidR="009D7026" w:rsidRDefault="00000000">
            <w:pPr>
              <w:pStyle w:val="TableParagraph"/>
              <w:spacing w:before="1"/>
              <w:ind w:left="108"/>
              <w:rPr>
                <w:rFonts w:hint="eastAsia"/>
                <w:sz w:val="24"/>
              </w:rPr>
            </w:pPr>
            <w:r>
              <w:rPr>
                <w:rFonts w:hint="eastAsia"/>
                <w:sz w:val="24"/>
              </w:rPr>
              <w:t>广域方圆为北京市海淀区国资委下属企业。</w:t>
            </w:r>
          </w:p>
        </w:tc>
      </w:tr>
      <w:tr w:rsidR="009D7026" w14:paraId="09979386" w14:textId="77777777">
        <w:trPr>
          <w:trHeight w:val="1056"/>
        </w:trPr>
        <w:tc>
          <w:tcPr>
            <w:tcW w:w="1940" w:type="dxa"/>
            <w:vMerge/>
            <w:tcBorders>
              <w:top w:val="nil"/>
              <w:bottom w:val="single" w:sz="4" w:space="0" w:color="auto"/>
            </w:tcBorders>
            <w:shd w:val="clear" w:color="auto" w:fill="D9D9D9"/>
          </w:tcPr>
          <w:p w14:paraId="45D6E5D2" w14:textId="77777777" w:rsidR="009D7026" w:rsidRDefault="009D7026">
            <w:pPr>
              <w:rPr>
                <w:rFonts w:hint="eastAsia"/>
                <w:sz w:val="2"/>
                <w:szCs w:val="2"/>
              </w:rPr>
            </w:pPr>
          </w:p>
        </w:tc>
        <w:tc>
          <w:tcPr>
            <w:tcW w:w="1607" w:type="dxa"/>
            <w:vAlign w:val="center"/>
          </w:tcPr>
          <w:p w14:paraId="319BB614" w14:textId="77777777" w:rsidR="009D7026" w:rsidRDefault="00000000">
            <w:pPr>
              <w:pStyle w:val="TableParagraph"/>
              <w:ind w:left="58" w:right="58"/>
              <w:rPr>
                <w:rFonts w:hint="eastAsia"/>
                <w:sz w:val="24"/>
              </w:rPr>
            </w:pPr>
            <w:r>
              <w:rPr>
                <w:sz w:val="24"/>
              </w:rPr>
              <w:t>2.</w:t>
            </w:r>
            <w:r>
              <w:rPr>
                <w:bCs/>
                <w:sz w:val="24"/>
                <w:lang w:val="en-US"/>
              </w:rPr>
              <w:t xml:space="preserve"> 海新致</w:t>
            </w:r>
          </w:p>
        </w:tc>
        <w:tc>
          <w:tcPr>
            <w:tcW w:w="6093" w:type="dxa"/>
          </w:tcPr>
          <w:p w14:paraId="7153020E" w14:textId="77777777" w:rsidR="009D7026" w:rsidRDefault="00000000">
            <w:pPr>
              <w:pStyle w:val="TableParagraph"/>
              <w:spacing w:before="40"/>
              <w:ind w:left="108"/>
              <w:rPr>
                <w:rFonts w:hint="eastAsia"/>
                <w:sz w:val="24"/>
                <w:highlight w:val="yellow"/>
              </w:rPr>
            </w:pPr>
            <w:r>
              <w:rPr>
                <w:bCs/>
                <w:sz w:val="24"/>
                <w:lang w:val="en-US"/>
              </w:rPr>
              <w:t>海新</w:t>
            </w:r>
            <w:proofErr w:type="gramStart"/>
            <w:r>
              <w:rPr>
                <w:bCs/>
                <w:sz w:val="24"/>
                <w:lang w:val="en-US"/>
              </w:rPr>
              <w:t>致</w:t>
            </w:r>
            <w:r>
              <w:rPr>
                <w:rFonts w:hint="eastAsia"/>
                <w:sz w:val="24"/>
              </w:rPr>
              <w:t>于</w:t>
            </w:r>
            <w:proofErr w:type="gramEnd"/>
            <w:r>
              <w:rPr>
                <w:sz w:val="24"/>
              </w:rPr>
              <w:t>2021年9月13日成立于</w:t>
            </w:r>
            <w:r>
              <w:rPr>
                <w:rFonts w:hint="eastAsia"/>
                <w:sz w:val="24"/>
              </w:rPr>
              <w:t>北京市</w:t>
            </w:r>
            <w:r>
              <w:rPr>
                <w:sz w:val="24"/>
              </w:rPr>
              <w:t>，</w:t>
            </w:r>
            <w:r>
              <w:rPr>
                <w:rFonts w:hint="eastAsia"/>
                <w:sz w:val="24"/>
              </w:rPr>
              <w:t>主要业务为生物柴油等生物燃料、LNG、新戊二醇等。</w:t>
            </w:r>
          </w:p>
          <w:p w14:paraId="42364151" w14:textId="77777777" w:rsidR="009D7026" w:rsidRDefault="00000000">
            <w:pPr>
              <w:pStyle w:val="TableParagraph"/>
              <w:spacing w:before="40"/>
              <w:ind w:left="108"/>
              <w:rPr>
                <w:rFonts w:hint="eastAsia"/>
                <w:sz w:val="24"/>
                <w:lang w:val="en-US"/>
              </w:rPr>
            </w:pPr>
            <w:r>
              <w:rPr>
                <w:rFonts w:hint="eastAsia"/>
                <w:sz w:val="24"/>
              </w:rPr>
              <w:t>海新致</w:t>
            </w:r>
            <w:r>
              <w:rPr>
                <w:rFonts w:hint="eastAsia"/>
                <w:sz w:val="24"/>
                <w:lang w:val="en-US"/>
              </w:rPr>
              <w:t>最终控制人为北京市海淀区国有资本运营有限公司</w:t>
            </w:r>
            <w:r>
              <w:rPr>
                <w:rFonts w:hint="eastAsia"/>
                <w:sz w:val="24"/>
              </w:rPr>
              <w:t>，</w:t>
            </w:r>
            <w:r>
              <w:rPr>
                <w:rFonts w:hint="eastAsia"/>
                <w:sz w:val="24"/>
                <w:lang w:val="en-US"/>
              </w:rPr>
              <w:t>主</w:t>
            </w:r>
            <w:r>
              <w:rPr>
                <w:rFonts w:hint="eastAsia"/>
                <w:sz w:val="24"/>
              </w:rPr>
              <w:t>要</w:t>
            </w:r>
            <w:r>
              <w:rPr>
                <w:rFonts w:hint="eastAsia"/>
                <w:sz w:val="24"/>
                <w:lang w:val="en-US"/>
              </w:rPr>
              <w:t>业务为房地产开发、物业管理、水果苗木和不动产租赁、基础设施建设、</w:t>
            </w:r>
            <w:r>
              <w:rPr>
                <w:rFonts w:hint="eastAsia"/>
                <w:sz w:val="24"/>
              </w:rPr>
              <w:t>固体废物污染治理、商业服务业、科技推广和应用服务业、其他居民服务</w:t>
            </w:r>
            <w:r>
              <w:rPr>
                <w:rFonts w:hint="eastAsia"/>
                <w:sz w:val="24"/>
                <w:lang w:val="en-US"/>
              </w:rPr>
              <w:t>等行业投资</w:t>
            </w:r>
            <w:r>
              <w:rPr>
                <w:rFonts w:hint="eastAsia"/>
                <w:sz w:val="24"/>
              </w:rPr>
              <w:t>。</w:t>
            </w:r>
          </w:p>
        </w:tc>
      </w:tr>
      <w:tr w:rsidR="009D7026" w14:paraId="60652D22" w14:textId="77777777">
        <w:trPr>
          <w:trHeight w:val="347"/>
        </w:trPr>
        <w:tc>
          <w:tcPr>
            <w:tcW w:w="1940" w:type="dxa"/>
            <w:vMerge w:val="restart"/>
            <w:tcBorders>
              <w:top w:val="single" w:sz="4" w:space="0" w:color="auto"/>
              <w:left w:val="single" w:sz="4" w:space="0" w:color="auto"/>
              <w:right w:val="single" w:sz="4" w:space="0" w:color="auto"/>
            </w:tcBorders>
            <w:shd w:val="clear" w:color="auto" w:fill="D9D9D9"/>
            <w:vAlign w:val="center"/>
          </w:tcPr>
          <w:p w14:paraId="70855F94" w14:textId="77777777" w:rsidR="009D7026" w:rsidRDefault="00000000">
            <w:pPr>
              <w:pStyle w:val="TableParagraph"/>
              <w:spacing w:before="196"/>
              <w:ind w:left="108"/>
              <w:rPr>
                <w:rFonts w:hint="eastAsia"/>
                <w:sz w:val="24"/>
              </w:rPr>
            </w:pPr>
            <w:r>
              <w:rPr>
                <w:sz w:val="24"/>
              </w:rPr>
              <w:t>简易案件理由（可以单选，也可以多选）</w:t>
            </w:r>
          </w:p>
        </w:tc>
        <w:tc>
          <w:tcPr>
            <w:tcW w:w="7700" w:type="dxa"/>
            <w:gridSpan w:val="2"/>
            <w:tcBorders>
              <w:left w:val="single" w:sz="4" w:space="0" w:color="auto"/>
            </w:tcBorders>
          </w:tcPr>
          <w:p w14:paraId="47B0B038" w14:textId="77777777" w:rsidR="009D7026" w:rsidRDefault="00000000">
            <w:pPr>
              <w:pStyle w:val="TableParagraph"/>
              <w:spacing w:before="13"/>
              <w:ind w:right="-29"/>
              <w:rPr>
                <w:rFonts w:hint="eastAsia"/>
                <w:sz w:val="24"/>
              </w:rPr>
            </w:pPr>
            <w:r>
              <w:rPr>
                <w:rFonts w:hint="eastAsia"/>
                <w:bCs/>
              </w:rPr>
              <w:sym w:font="Wingdings" w:char="00A8"/>
            </w:r>
            <w:r>
              <w:rPr>
                <w:sz w:val="24"/>
              </w:rPr>
              <w:t>1</w:t>
            </w:r>
            <w:r>
              <w:rPr>
                <w:spacing w:val="-10"/>
                <w:sz w:val="24"/>
              </w:rPr>
              <w:t>.在同一相关市场，参与集中的经营者所占的市场份额之和小于</w:t>
            </w:r>
            <w:r>
              <w:rPr>
                <w:sz w:val="24"/>
              </w:rPr>
              <w:t>15%。</w:t>
            </w:r>
          </w:p>
        </w:tc>
      </w:tr>
      <w:tr w:rsidR="009D7026" w14:paraId="5ACC77AE" w14:textId="77777777">
        <w:trPr>
          <w:trHeight w:val="347"/>
        </w:trPr>
        <w:tc>
          <w:tcPr>
            <w:tcW w:w="1940" w:type="dxa"/>
            <w:vMerge/>
            <w:tcBorders>
              <w:left w:val="single" w:sz="4" w:space="0" w:color="auto"/>
              <w:right w:val="single" w:sz="4" w:space="0" w:color="auto"/>
            </w:tcBorders>
            <w:shd w:val="clear" w:color="auto" w:fill="D9D9D9"/>
          </w:tcPr>
          <w:p w14:paraId="2481548F" w14:textId="77777777" w:rsidR="009D7026" w:rsidRDefault="009D7026">
            <w:pPr>
              <w:rPr>
                <w:rFonts w:hint="eastAsia"/>
                <w:sz w:val="2"/>
                <w:szCs w:val="2"/>
              </w:rPr>
            </w:pPr>
          </w:p>
        </w:tc>
        <w:tc>
          <w:tcPr>
            <w:tcW w:w="7700" w:type="dxa"/>
            <w:gridSpan w:val="2"/>
            <w:tcBorders>
              <w:left w:val="single" w:sz="4" w:space="0" w:color="auto"/>
            </w:tcBorders>
          </w:tcPr>
          <w:p w14:paraId="1095B84F" w14:textId="77777777" w:rsidR="009D7026" w:rsidRDefault="00000000">
            <w:pPr>
              <w:pStyle w:val="TableParagraph"/>
              <w:spacing w:before="14"/>
              <w:rPr>
                <w:rFonts w:hint="eastAsia"/>
                <w:sz w:val="24"/>
              </w:rPr>
            </w:pPr>
            <w:r>
              <w:rPr>
                <w:rFonts w:hint="eastAsia"/>
                <w:bCs/>
              </w:rPr>
              <w:sym w:font="Wingdings" w:char="00A8"/>
            </w:r>
            <w:r>
              <w:rPr>
                <w:sz w:val="24"/>
              </w:rPr>
              <w:t>2.</w:t>
            </w:r>
            <w:r>
              <w:rPr>
                <w:spacing w:val="-4"/>
                <w:w w:val="105"/>
                <w:sz w:val="24"/>
              </w:rPr>
              <w:t>在上下游市场，参与集中的经营者所占的市场份额均小于</w:t>
            </w:r>
            <w:r>
              <w:rPr>
                <w:w w:val="105"/>
                <w:sz w:val="24"/>
              </w:rPr>
              <w:t>25%。</w:t>
            </w:r>
          </w:p>
        </w:tc>
      </w:tr>
      <w:tr w:rsidR="009D7026" w14:paraId="7F220356" w14:textId="77777777">
        <w:trPr>
          <w:trHeight w:val="543"/>
        </w:trPr>
        <w:tc>
          <w:tcPr>
            <w:tcW w:w="1940" w:type="dxa"/>
            <w:vMerge/>
            <w:tcBorders>
              <w:left w:val="single" w:sz="4" w:space="0" w:color="auto"/>
              <w:right w:val="single" w:sz="4" w:space="0" w:color="auto"/>
            </w:tcBorders>
            <w:shd w:val="clear" w:color="auto" w:fill="D9D9D9"/>
          </w:tcPr>
          <w:p w14:paraId="711824E6" w14:textId="77777777" w:rsidR="009D7026" w:rsidRDefault="009D7026">
            <w:pPr>
              <w:rPr>
                <w:rFonts w:hint="eastAsia"/>
                <w:sz w:val="2"/>
                <w:szCs w:val="2"/>
              </w:rPr>
            </w:pPr>
          </w:p>
        </w:tc>
        <w:tc>
          <w:tcPr>
            <w:tcW w:w="7700" w:type="dxa"/>
            <w:gridSpan w:val="2"/>
            <w:tcBorders>
              <w:left w:val="single" w:sz="4" w:space="0" w:color="auto"/>
            </w:tcBorders>
          </w:tcPr>
          <w:p w14:paraId="028338AD" w14:textId="77777777" w:rsidR="009D7026" w:rsidRDefault="00000000">
            <w:pPr>
              <w:pStyle w:val="TableParagraph"/>
              <w:tabs>
                <w:tab w:val="left" w:pos="386"/>
              </w:tabs>
              <w:spacing w:before="13"/>
              <w:rPr>
                <w:rFonts w:hint="eastAsia"/>
                <w:sz w:val="24"/>
              </w:rPr>
            </w:pPr>
            <w:r>
              <w:rPr>
                <w:rFonts w:ascii="Wingdings" w:eastAsia="Wingdings" w:hAnsi="Wingdings"/>
                <w:sz w:val="24"/>
              </w:rPr>
              <w:t></w:t>
            </w:r>
            <w:r>
              <w:rPr>
                <w:sz w:val="24"/>
              </w:rPr>
              <w:t>3.不在同一相关市场也不存在上下游关系的参与集中的经营者，在与</w:t>
            </w:r>
            <w:r>
              <w:rPr>
                <w:w w:val="105"/>
                <w:sz w:val="24"/>
              </w:rPr>
              <w:t>交易有关的每个市场所占的市场份额均小于25%。</w:t>
            </w:r>
          </w:p>
        </w:tc>
      </w:tr>
      <w:tr w:rsidR="009D7026" w14:paraId="4C39A0CA" w14:textId="77777777">
        <w:trPr>
          <w:trHeight w:val="543"/>
        </w:trPr>
        <w:tc>
          <w:tcPr>
            <w:tcW w:w="1940" w:type="dxa"/>
            <w:vMerge/>
            <w:tcBorders>
              <w:left w:val="single" w:sz="4" w:space="0" w:color="auto"/>
              <w:right w:val="single" w:sz="4" w:space="0" w:color="auto"/>
            </w:tcBorders>
            <w:shd w:val="clear" w:color="auto" w:fill="D9D9D9"/>
          </w:tcPr>
          <w:p w14:paraId="189E097B" w14:textId="77777777" w:rsidR="009D7026" w:rsidRDefault="009D7026">
            <w:pPr>
              <w:rPr>
                <w:rFonts w:hint="eastAsia"/>
                <w:sz w:val="2"/>
                <w:szCs w:val="2"/>
              </w:rPr>
            </w:pPr>
          </w:p>
        </w:tc>
        <w:tc>
          <w:tcPr>
            <w:tcW w:w="7700" w:type="dxa"/>
            <w:gridSpan w:val="2"/>
            <w:tcBorders>
              <w:left w:val="single" w:sz="4" w:space="0" w:color="auto"/>
            </w:tcBorders>
          </w:tcPr>
          <w:p w14:paraId="01DE679D" w14:textId="77777777" w:rsidR="009D7026" w:rsidRDefault="00000000">
            <w:pPr>
              <w:pStyle w:val="TableParagraph"/>
              <w:tabs>
                <w:tab w:val="left" w:pos="386"/>
              </w:tabs>
              <w:spacing w:before="13"/>
              <w:rPr>
                <w:rFonts w:hint="eastAsia"/>
                <w:sz w:val="24"/>
              </w:rPr>
            </w:pPr>
            <w:r>
              <w:rPr>
                <w:rFonts w:hint="eastAsia"/>
                <w:bCs/>
              </w:rPr>
              <w:sym w:font="Wingdings" w:char="00A8"/>
            </w:r>
            <w:r>
              <w:rPr>
                <w:sz w:val="24"/>
              </w:rPr>
              <w:t>4.参与集中的经营者在中国境外设立合营企业，合营企业不在中国境内从事经济活动。</w:t>
            </w:r>
          </w:p>
        </w:tc>
      </w:tr>
      <w:tr w:rsidR="009D7026" w14:paraId="29AA1A6D" w14:textId="77777777">
        <w:trPr>
          <w:trHeight w:val="543"/>
        </w:trPr>
        <w:tc>
          <w:tcPr>
            <w:tcW w:w="1940" w:type="dxa"/>
            <w:vMerge/>
            <w:tcBorders>
              <w:left w:val="single" w:sz="4" w:space="0" w:color="auto"/>
              <w:right w:val="single" w:sz="4" w:space="0" w:color="auto"/>
            </w:tcBorders>
            <w:shd w:val="clear" w:color="auto" w:fill="D9D9D9"/>
          </w:tcPr>
          <w:p w14:paraId="1F3F8AAF" w14:textId="77777777" w:rsidR="009D7026" w:rsidRDefault="009D7026">
            <w:pPr>
              <w:rPr>
                <w:rFonts w:hint="eastAsia"/>
                <w:sz w:val="2"/>
                <w:szCs w:val="2"/>
              </w:rPr>
            </w:pPr>
          </w:p>
        </w:tc>
        <w:tc>
          <w:tcPr>
            <w:tcW w:w="7700" w:type="dxa"/>
            <w:gridSpan w:val="2"/>
            <w:tcBorders>
              <w:left w:val="single" w:sz="4" w:space="0" w:color="auto"/>
            </w:tcBorders>
          </w:tcPr>
          <w:p w14:paraId="2343BA47" w14:textId="77777777" w:rsidR="009D7026" w:rsidRDefault="00000000">
            <w:pPr>
              <w:pStyle w:val="TableParagraph"/>
              <w:tabs>
                <w:tab w:val="left" w:pos="386"/>
              </w:tabs>
              <w:spacing w:before="14"/>
              <w:rPr>
                <w:rFonts w:hint="eastAsia"/>
                <w:sz w:val="24"/>
              </w:rPr>
            </w:pPr>
            <w:r>
              <w:rPr>
                <w:rFonts w:hint="eastAsia"/>
                <w:bCs/>
              </w:rPr>
              <w:sym w:font="Wingdings" w:char="00A8"/>
            </w:r>
            <w:r>
              <w:rPr>
                <w:sz w:val="24"/>
              </w:rPr>
              <w:t>5.参与集中的经营者收购境外企业股权或资产的，该境外企业不在中</w:t>
            </w:r>
          </w:p>
          <w:p w14:paraId="63B81FD5" w14:textId="77777777" w:rsidR="009D7026" w:rsidRDefault="00000000">
            <w:pPr>
              <w:pStyle w:val="TableParagraph"/>
              <w:tabs>
                <w:tab w:val="left" w:pos="386"/>
              </w:tabs>
              <w:spacing w:before="13"/>
              <w:ind w:left="385"/>
              <w:rPr>
                <w:rFonts w:hint="eastAsia"/>
                <w:sz w:val="24"/>
              </w:rPr>
            </w:pPr>
            <w:r>
              <w:rPr>
                <w:sz w:val="24"/>
              </w:rPr>
              <w:t>国境内从事经济活动。</w:t>
            </w:r>
          </w:p>
        </w:tc>
      </w:tr>
      <w:tr w:rsidR="009D7026" w14:paraId="54F312FC" w14:textId="77777777">
        <w:trPr>
          <w:trHeight w:val="543"/>
        </w:trPr>
        <w:tc>
          <w:tcPr>
            <w:tcW w:w="1940" w:type="dxa"/>
            <w:vMerge/>
            <w:tcBorders>
              <w:left w:val="single" w:sz="4" w:space="0" w:color="auto"/>
              <w:bottom w:val="single" w:sz="4" w:space="0" w:color="auto"/>
              <w:right w:val="single" w:sz="4" w:space="0" w:color="auto"/>
            </w:tcBorders>
            <w:shd w:val="clear" w:color="auto" w:fill="D9D9D9"/>
          </w:tcPr>
          <w:p w14:paraId="048345F8" w14:textId="77777777" w:rsidR="009D7026" w:rsidRDefault="009D7026">
            <w:pPr>
              <w:rPr>
                <w:rFonts w:hint="eastAsia"/>
                <w:sz w:val="2"/>
                <w:szCs w:val="2"/>
              </w:rPr>
            </w:pPr>
          </w:p>
        </w:tc>
        <w:tc>
          <w:tcPr>
            <w:tcW w:w="7700" w:type="dxa"/>
            <w:gridSpan w:val="2"/>
            <w:tcBorders>
              <w:left w:val="single" w:sz="4" w:space="0" w:color="auto"/>
            </w:tcBorders>
          </w:tcPr>
          <w:p w14:paraId="60EC42E0" w14:textId="77777777" w:rsidR="009D7026" w:rsidRDefault="00000000">
            <w:pPr>
              <w:pStyle w:val="TableParagraph"/>
              <w:tabs>
                <w:tab w:val="left" w:pos="386"/>
              </w:tabs>
              <w:spacing w:before="14"/>
              <w:rPr>
                <w:rFonts w:hint="eastAsia"/>
                <w:sz w:val="24"/>
              </w:rPr>
            </w:pPr>
            <w:r>
              <w:rPr>
                <w:rFonts w:hint="eastAsia"/>
                <w:bCs/>
              </w:rPr>
              <w:sym w:font="Wingdings" w:char="00A8"/>
            </w:r>
            <w:r>
              <w:rPr>
                <w:sz w:val="24"/>
              </w:rPr>
              <w:t>6.由两个以上的经营者共同控制的合营企业，通过集中被其中一个或</w:t>
            </w:r>
          </w:p>
          <w:p w14:paraId="3B1FFB28" w14:textId="77777777" w:rsidR="009D7026" w:rsidRDefault="00000000">
            <w:pPr>
              <w:pStyle w:val="TableParagraph"/>
              <w:tabs>
                <w:tab w:val="left" w:pos="386"/>
              </w:tabs>
              <w:spacing w:before="13"/>
              <w:ind w:left="385"/>
              <w:rPr>
                <w:rFonts w:hint="eastAsia"/>
                <w:sz w:val="24"/>
              </w:rPr>
            </w:pPr>
            <w:r>
              <w:rPr>
                <w:sz w:val="24"/>
              </w:rPr>
              <w:t>一个以上经营者控制。</w:t>
            </w:r>
          </w:p>
        </w:tc>
      </w:tr>
      <w:tr w:rsidR="009D7026" w14:paraId="76E75465" w14:textId="77777777">
        <w:trPr>
          <w:trHeight w:val="687"/>
        </w:trPr>
        <w:tc>
          <w:tcPr>
            <w:tcW w:w="19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61AC25" w14:textId="77777777" w:rsidR="009D7026" w:rsidRDefault="00000000">
            <w:pPr>
              <w:pStyle w:val="TableParagraph"/>
              <w:ind w:left="0"/>
              <w:rPr>
                <w:rFonts w:ascii="Times New Roman" w:hint="eastAsia"/>
                <w:sz w:val="26"/>
              </w:rPr>
            </w:pPr>
            <w:r>
              <w:rPr>
                <w:rFonts w:ascii="Times New Roman"/>
                <w:sz w:val="26"/>
              </w:rPr>
              <w:t>备注</w:t>
            </w:r>
          </w:p>
        </w:tc>
        <w:tc>
          <w:tcPr>
            <w:tcW w:w="7700" w:type="dxa"/>
            <w:gridSpan w:val="2"/>
            <w:tcBorders>
              <w:top w:val="single" w:sz="4" w:space="0" w:color="000000"/>
              <w:left w:val="single" w:sz="4" w:space="0" w:color="000000"/>
              <w:bottom w:val="single" w:sz="4" w:space="0" w:color="000000"/>
              <w:right w:val="single" w:sz="4" w:space="0" w:color="000000"/>
            </w:tcBorders>
          </w:tcPr>
          <w:p w14:paraId="269925B5" w14:textId="77777777" w:rsidR="009D7026" w:rsidRDefault="00000000">
            <w:pPr>
              <w:pStyle w:val="TableParagraph"/>
              <w:tabs>
                <w:tab w:val="left" w:pos="386"/>
              </w:tabs>
              <w:spacing w:before="100" w:line="271" w:lineRule="auto"/>
              <w:ind w:right="97"/>
              <w:rPr>
                <w:rFonts w:hint="eastAsia"/>
                <w:bCs/>
                <w:sz w:val="24"/>
                <w:lang w:val="en-GB"/>
              </w:rPr>
            </w:pPr>
            <w:r>
              <w:rPr>
                <w:rFonts w:hint="eastAsia"/>
                <w:b/>
                <w:sz w:val="24"/>
                <w:lang w:val="en-GB"/>
              </w:rPr>
              <w:t>混合集中：</w:t>
            </w:r>
          </w:p>
          <w:p w14:paraId="2BB87356" w14:textId="77777777" w:rsidR="009D7026" w:rsidRDefault="00000000">
            <w:pPr>
              <w:pStyle w:val="TableParagraph"/>
              <w:tabs>
                <w:tab w:val="left" w:pos="386"/>
              </w:tabs>
              <w:spacing w:before="100"/>
              <w:ind w:right="97"/>
              <w:rPr>
                <w:rFonts w:hint="eastAsia"/>
                <w:sz w:val="24"/>
              </w:rPr>
            </w:pPr>
            <w:r>
              <w:rPr>
                <w:sz w:val="24"/>
              </w:rPr>
              <w:t>2024年</w:t>
            </w:r>
            <w:r>
              <w:rPr>
                <w:rFonts w:hint="eastAsia"/>
                <w:sz w:val="24"/>
              </w:rPr>
              <w:t>全球</w:t>
            </w:r>
            <w:r>
              <w:rPr>
                <w:rFonts w:hint="eastAsia"/>
                <w:sz w:val="24"/>
                <w:lang w:val="en-US"/>
              </w:rPr>
              <w:t>烃基</w:t>
            </w:r>
            <w:r>
              <w:rPr>
                <w:rFonts w:hint="eastAsia"/>
                <w:sz w:val="24"/>
              </w:rPr>
              <w:t>生物柴油市场</w:t>
            </w:r>
            <w:r>
              <w:rPr>
                <w:sz w:val="24"/>
              </w:rPr>
              <w:t>：</w:t>
            </w:r>
          </w:p>
          <w:p w14:paraId="6852A9F3" w14:textId="77777777" w:rsidR="009D7026" w:rsidRDefault="00000000">
            <w:pPr>
              <w:pStyle w:val="TableParagraph"/>
              <w:tabs>
                <w:tab w:val="left" w:pos="386"/>
              </w:tabs>
              <w:spacing w:before="100"/>
              <w:ind w:right="97"/>
              <w:rPr>
                <w:rFonts w:hint="eastAsia"/>
                <w:sz w:val="24"/>
              </w:rPr>
            </w:pPr>
            <w:r>
              <w:rPr>
                <w:rFonts w:hint="eastAsia"/>
                <w:sz w:val="24"/>
              </w:rPr>
              <w:t>海新致：0-5</w:t>
            </w:r>
            <w:r>
              <w:rPr>
                <w:sz w:val="24"/>
              </w:rPr>
              <w:t>%（全球），</w:t>
            </w:r>
            <w:r>
              <w:rPr>
                <w:rFonts w:hint="eastAsia"/>
                <w:sz w:val="24"/>
                <w:lang w:val="en-US"/>
              </w:rPr>
              <w:t>10</w:t>
            </w:r>
            <w:r>
              <w:rPr>
                <w:rFonts w:hint="eastAsia"/>
                <w:sz w:val="24"/>
              </w:rPr>
              <w:t>-</w:t>
            </w:r>
            <w:r>
              <w:rPr>
                <w:rFonts w:hint="eastAsia"/>
                <w:sz w:val="24"/>
                <w:lang w:val="en-US"/>
              </w:rPr>
              <w:t>15</w:t>
            </w:r>
            <w:r>
              <w:rPr>
                <w:sz w:val="24"/>
              </w:rPr>
              <w:t>%（中国境内）</w:t>
            </w:r>
          </w:p>
          <w:p w14:paraId="5E2D6788" w14:textId="77777777" w:rsidR="009D7026" w:rsidRDefault="00000000">
            <w:pPr>
              <w:pStyle w:val="TableParagraph"/>
              <w:tabs>
                <w:tab w:val="left" w:pos="386"/>
              </w:tabs>
              <w:spacing w:before="100" w:line="271" w:lineRule="auto"/>
              <w:ind w:right="97"/>
              <w:rPr>
                <w:rFonts w:hint="eastAsia"/>
                <w:sz w:val="24"/>
              </w:rPr>
            </w:pPr>
            <w:r>
              <w:rPr>
                <w:sz w:val="24"/>
              </w:rPr>
              <w:t>2024年</w:t>
            </w:r>
            <w:r>
              <w:rPr>
                <w:rFonts w:hint="eastAsia"/>
                <w:sz w:val="24"/>
                <w:lang w:val="en-US"/>
              </w:rPr>
              <w:t>全球</w:t>
            </w:r>
            <w:r>
              <w:rPr>
                <w:rFonts w:hint="eastAsia"/>
                <w:sz w:val="24"/>
              </w:rPr>
              <w:t>LNG供应</w:t>
            </w:r>
            <w:r>
              <w:rPr>
                <w:sz w:val="24"/>
              </w:rPr>
              <w:t>市场：</w:t>
            </w:r>
          </w:p>
          <w:p w14:paraId="798589B7" w14:textId="77777777" w:rsidR="009D7026" w:rsidRDefault="00000000">
            <w:pPr>
              <w:pStyle w:val="TableParagraph"/>
              <w:tabs>
                <w:tab w:val="left" w:pos="386"/>
              </w:tabs>
              <w:spacing w:before="100"/>
              <w:ind w:right="97"/>
              <w:rPr>
                <w:rFonts w:hint="eastAsia"/>
                <w:sz w:val="24"/>
              </w:rPr>
            </w:pPr>
            <w:r>
              <w:rPr>
                <w:rFonts w:hint="eastAsia"/>
                <w:sz w:val="24"/>
              </w:rPr>
              <w:t>海新致：0-5%（</w:t>
            </w:r>
            <w:r>
              <w:rPr>
                <w:rFonts w:hint="eastAsia"/>
                <w:sz w:val="24"/>
                <w:lang w:val="en-US"/>
              </w:rPr>
              <w:t>全球</w:t>
            </w:r>
            <w:r>
              <w:rPr>
                <w:rFonts w:hint="eastAsia"/>
                <w:sz w:val="24"/>
              </w:rPr>
              <w:t>），海新致：0-5%（</w:t>
            </w:r>
            <w:r>
              <w:rPr>
                <w:rFonts w:hint="eastAsia"/>
                <w:sz w:val="24"/>
                <w:lang w:val="en-US"/>
              </w:rPr>
              <w:t>中国境内</w:t>
            </w:r>
            <w:r>
              <w:rPr>
                <w:rFonts w:hint="eastAsia"/>
                <w:sz w:val="24"/>
              </w:rPr>
              <w:t>）</w:t>
            </w:r>
          </w:p>
          <w:p w14:paraId="2FAAFA99" w14:textId="77777777" w:rsidR="009D7026" w:rsidRDefault="00000000">
            <w:pPr>
              <w:pStyle w:val="TableParagraph"/>
              <w:tabs>
                <w:tab w:val="left" w:pos="386"/>
              </w:tabs>
              <w:spacing w:before="100" w:line="271" w:lineRule="auto"/>
              <w:ind w:right="97"/>
              <w:rPr>
                <w:rFonts w:hint="eastAsia"/>
                <w:sz w:val="24"/>
              </w:rPr>
            </w:pPr>
            <w:r>
              <w:rPr>
                <w:sz w:val="24"/>
              </w:rPr>
              <w:t>2024年中国境内</w:t>
            </w:r>
            <w:r>
              <w:rPr>
                <w:rFonts w:hint="eastAsia"/>
                <w:sz w:val="24"/>
              </w:rPr>
              <w:t>新戊二醇</w:t>
            </w:r>
            <w:r>
              <w:rPr>
                <w:sz w:val="24"/>
              </w:rPr>
              <w:t>市场：</w:t>
            </w:r>
          </w:p>
          <w:p w14:paraId="256A37B1" w14:textId="77777777" w:rsidR="009D7026" w:rsidRDefault="00000000">
            <w:pPr>
              <w:pStyle w:val="TableParagraph"/>
              <w:tabs>
                <w:tab w:val="left" w:pos="386"/>
              </w:tabs>
              <w:spacing w:before="100" w:line="271" w:lineRule="auto"/>
              <w:ind w:right="97"/>
              <w:rPr>
                <w:rFonts w:hint="eastAsia"/>
                <w:sz w:val="24"/>
              </w:rPr>
            </w:pPr>
            <w:r>
              <w:rPr>
                <w:rFonts w:hint="eastAsia"/>
                <w:sz w:val="24"/>
              </w:rPr>
              <w:t>海新致：5-10%</w:t>
            </w:r>
          </w:p>
        </w:tc>
      </w:tr>
    </w:tbl>
    <w:p w14:paraId="75A5A12C" w14:textId="77777777" w:rsidR="009D7026" w:rsidRDefault="009D7026">
      <w:pPr>
        <w:pStyle w:val="a5"/>
        <w:spacing w:line="228" w:lineRule="auto"/>
        <w:ind w:right="511"/>
        <w:jc w:val="both"/>
        <w:rPr>
          <w:rFonts w:hint="eastAsia"/>
          <w:sz w:val="24"/>
          <w:szCs w:val="24"/>
        </w:rPr>
      </w:pPr>
    </w:p>
    <w:sectPr w:rsidR="009D7026">
      <w:pgSz w:w="11910" w:h="16840"/>
      <w:pgMar w:top="1580" w:right="96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D2D7" w14:textId="77777777" w:rsidR="0044152B" w:rsidRDefault="0044152B" w:rsidP="00B8705A">
      <w:pPr>
        <w:rPr>
          <w:rFonts w:hint="eastAsia"/>
        </w:rPr>
      </w:pPr>
      <w:r>
        <w:separator/>
      </w:r>
    </w:p>
  </w:endnote>
  <w:endnote w:type="continuationSeparator" w:id="0">
    <w:p w14:paraId="2FEDE674" w14:textId="77777777" w:rsidR="0044152B" w:rsidRDefault="0044152B" w:rsidP="00B870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434A" w14:textId="77777777" w:rsidR="0044152B" w:rsidRDefault="0044152B" w:rsidP="00B8705A">
      <w:pPr>
        <w:rPr>
          <w:rFonts w:hint="eastAsia"/>
        </w:rPr>
      </w:pPr>
      <w:r>
        <w:separator/>
      </w:r>
    </w:p>
  </w:footnote>
  <w:footnote w:type="continuationSeparator" w:id="0">
    <w:p w14:paraId="7CD63C03" w14:textId="77777777" w:rsidR="0044152B" w:rsidRDefault="0044152B" w:rsidP="00B8705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98"/>
    <w:rsid w:val="BFF77D9C"/>
    <w:rsid w:val="FEF77F90"/>
    <w:rsid w:val="FFAB25F8"/>
    <w:rsid w:val="000003C8"/>
    <w:rsid w:val="00013908"/>
    <w:rsid w:val="00077E52"/>
    <w:rsid w:val="000816F7"/>
    <w:rsid w:val="00134F0F"/>
    <w:rsid w:val="001627C9"/>
    <w:rsid w:val="001E492F"/>
    <w:rsid w:val="002047DF"/>
    <w:rsid w:val="002311F7"/>
    <w:rsid w:val="00240108"/>
    <w:rsid w:val="002B79B6"/>
    <w:rsid w:val="002D3E31"/>
    <w:rsid w:val="002E5C61"/>
    <w:rsid w:val="00326106"/>
    <w:rsid w:val="003C4CE5"/>
    <w:rsid w:val="003C6F36"/>
    <w:rsid w:val="003D710F"/>
    <w:rsid w:val="0044152B"/>
    <w:rsid w:val="0046561D"/>
    <w:rsid w:val="0047565D"/>
    <w:rsid w:val="00507F75"/>
    <w:rsid w:val="00544998"/>
    <w:rsid w:val="0059204A"/>
    <w:rsid w:val="005B5EB1"/>
    <w:rsid w:val="006538CC"/>
    <w:rsid w:val="00677955"/>
    <w:rsid w:val="006E04F5"/>
    <w:rsid w:val="006E6298"/>
    <w:rsid w:val="006F2F22"/>
    <w:rsid w:val="007A4DCC"/>
    <w:rsid w:val="00826C00"/>
    <w:rsid w:val="00854E55"/>
    <w:rsid w:val="008942E9"/>
    <w:rsid w:val="0091678F"/>
    <w:rsid w:val="00940AE2"/>
    <w:rsid w:val="00965BCB"/>
    <w:rsid w:val="009803B6"/>
    <w:rsid w:val="009D7026"/>
    <w:rsid w:val="00A9147F"/>
    <w:rsid w:val="00AA4091"/>
    <w:rsid w:val="00B47D8D"/>
    <w:rsid w:val="00B72DF8"/>
    <w:rsid w:val="00B8705A"/>
    <w:rsid w:val="00BC7026"/>
    <w:rsid w:val="00C7286B"/>
    <w:rsid w:val="00CD07B3"/>
    <w:rsid w:val="00D0414F"/>
    <w:rsid w:val="00D5585E"/>
    <w:rsid w:val="00D67310"/>
    <w:rsid w:val="00E47931"/>
    <w:rsid w:val="00E70EF1"/>
    <w:rsid w:val="00F55D50"/>
    <w:rsid w:val="00FC2D4B"/>
    <w:rsid w:val="27B8D8C7"/>
    <w:rsid w:val="45F76B0D"/>
    <w:rsid w:val="5FE37CE2"/>
    <w:rsid w:val="64CF2D32"/>
    <w:rsid w:val="6DFF6D71"/>
    <w:rsid w:val="77FF9AAB"/>
    <w:rsid w:val="7ACF8C83"/>
    <w:rsid w:val="7EDDF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BE186A4-3133-48F6-B42D-E6CD99AD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uiPriority w:val="9"/>
    <w:qFormat/>
    <w:pPr>
      <w:ind w:left="393"/>
      <w:outlineLvl w:val="0"/>
    </w:pPr>
    <w:rPr>
      <w:rFonts w:ascii="黑体" w:eastAsia="黑体" w:hAnsi="黑体" w:cs="黑体"/>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ody Text"/>
    <w:basedOn w:val="a"/>
    <w:uiPriority w:val="1"/>
    <w:qFormat/>
    <w:rPr>
      <w:sz w:val="28"/>
      <w:szCs w:val="28"/>
    </w:rPr>
  </w:style>
  <w:style w:type="paragraph" w:styleId="a6">
    <w:name w:val="footer"/>
    <w:basedOn w:val="a"/>
    <w:link w:val="a7"/>
    <w:uiPriority w:val="99"/>
    <w:unhideWhenUsed/>
    <w:pPr>
      <w:tabs>
        <w:tab w:val="center" w:pos="4320"/>
        <w:tab w:val="right" w:pos="8640"/>
      </w:tabs>
    </w:pPr>
  </w:style>
  <w:style w:type="paragraph" w:styleId="a8">
    <w:name w:val="header"/>
    <w:basedOn w:val="a"/>
    <w:link w:val="a9"/>
    <w:uiPriority w:val="99"/>
    <w:unhideWhenUsed/>
    <w:pPr>
      <w:tabs>
        <w:tab w:val="center" w:pos="4320"/>
        <w:tab w:val="right" w:pos="8640"/>
      </w:tabs>
    </w:pPr>
  </w:style>
  <w:style w:type="paragraph" w:styleId="aa">
    <w:name w:val="Title"/>
    <w:basedOn w:val="a"/>
    <w:uiPriority w:val="10"/>
    <w:qFormat/>
    <w:pPr>
      <w:spacing w:before="41"/>
      <w:ind w:left="676" w:right="793"/>
      <w:jc w:val="center"/>
    </w:pPr>
    <w:rPr>
      <w:sz w:val="44"/>
      <w:szCs w:val="44"/>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unhideWhenUsed/>
    <w:rPr>
      <w:sz w:val="21"/>
      <w:szCs w:val="21"/>
    </w:rPr>
  </w:style>
  <w:style w:type="paragraph" w:styleId="ae">
    <w:name w:val="List Paragraph"/>
    <w:basedOn w:val="a"/>
    <w:uiPriority w:val="1"/>
    <w:qFormat/>
  </w:style>
  <w:style w:type="paragraph" w:customStyle="1" w:styleId="TableParagraph">
    <w:name w:val="Table Paragraph"/>
    <w:basedOn w:val="a"/>
    <w:uiPriority w:val="1"/>
    <w:qFormat/>
    <w:pPr>
      <w:ind w:left="107"/>
    </w:pPr>
  </w:style>
  <w:style w:type="character" w:customStyle="1" w:styleId="a9">
    <w:name w:val="页眉 字符"/>
    <w:basedOn w:val="a0"/>
    <w:link w:val="a8"/>
    <w:uiPriority w:val="99"/>
    <w:rPr>
      <w:rFonts w:ascii="宋体" w:eastAsia="宋体" w:hAnsi="宋体" w:cs="宋体"/>
      <w:lang w:val="zh-CN" w:eastAsia="zh-CN" w:bidi="zh-CN"/>
    </w:rPr>
  </w:style>
  <w:style w:type="character" w:customStyle="1" w:styleId="a7">
    <w:name w:val="页脚 字符"/>
    <w:basedOn w:val="a0"/>
    <w:link w:val="a6"/>
    <w:uiPriority w:val="99"/>
    <w:qFormat/>
    <w:rPr>
      <w:rFonts w:ascii="宋体" w:eastAsia="宋体" w:hAnsi="宋体" w:cs="宋体"/>
      <w:lang w:val="zh-CN" w:eastAsia="zh-CN" w:bidi="zh-CN"/>
    </w:rPr>
  </w:style>
  <w:style w:type="paragraph" w:customStyle="1" w:styleId="10">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uiPriority w:val="99"/>
    <w:rPr>
      <w:rFonts w:ascii="宋体" w:hAnsi="宋体" w:cs="宋体"/>
      <w:sz w:val="22"/>
      <w:szCs w:val="22"/>
      <w:lang w:val="zh-CN" w:bidi="zh-CN"/>
    </w:rPr>
  </w:style>
  <w:style w:type="character" w:customStyle="1" w:styleId="ac">
    <w:name w:val="批注主题 字符"/>
    <w:basedOn w:val="a4"/>
    <w:link w:val="ab"/>
    <w:uiPriority w:val="99"/>
    <w:semiHidden/>
    <w:rPr>
      <w:rFonts w:ascii="宋体" w:hAnsi="宋体" w:cs="宋体"/>
      <w:b/>
      <w:bCs/>
      <w:sz w:val="22"/>
      <w:szCs w:val="22"/>
      <w:lang w:val="zh-CN" w:bidi="zh-CN"/>
    </w:rPr>
  </w:style>
  <w:style w:type="paragraph" w:customStyle="1" w:styleId="2">
    <w:name w:val="修订2"/>
    <w:hidden/>
    <w:uiPriority w:val="99"/>
    <w:unhideWhenUsed/>
    <w:rPr>
      <w:rFonts w:ascii="宋体" w:hAnsi="宋体" w:cs="宋体"/>
      <w:sz w:val="22"/>
      <w:szCs w:val="22"/>
      <w:lang w:val="zh-CN" w:bidi="zh-CN"/>
    </w:rPr>
  </w:style>
  <w:style w:type="paragraph" w:customStyle="1" w:styleId="3">
    <w:name w:val="修订3"/>
    <w:hidden/>
    <w:uiPriority w:val="99"/>
    <w:unhideWhenUsed/>
    <w:rPr>
      <w:rFonts w:ascii="宋体" w:hAnsi="宋体" w:cs="宋体"/>
      <w:sz w:val="22"/>
      <w:szCs w:val="22"/>
      <w:lang w:val="zh-CN" w:bidi="zh-CN"/>
    </w:rPr>
  </w:style>
  <w:style w:type="paragraph" w:styleId="af">
    <w:name w:val="Revision"/>
    <w:hidden/>
    <w:uiPriority w:val="99"/>
    <w:unhideWhenUsed/>
    <w:rsid w:val="00B8705A"/>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350</Words>
  <Characters>547</Characters>
  <Application>Microsoft Office Word</Application>
  <DocSecurity>0</DocSecurity>
  <Lines>30</Lines>
  <Paragraphs>20</Paragraphs>
  <ScaleCrop>false</ScaleCrop>
  <Company>DaHui Lawyers</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oa</dc:creator>
  <cp:lastModifiedBy>DaHui Lawyers</cp:lastModifiedBy>
  <cp:revision>13</cp:revision>
  <dcterms:created xsi:type="dcterms:W3CDTF">2025-07-31T02:30:00Z</dcterms:created>
  <dcterms:modified xsi:type="dcterms:W3CDTF">2025-10-29T13:30:00Z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eyJoZGlkIjoiZWMxOTQyNzY5YjAwODRmYzQ5ZTNjYTkxNTU3N2Q2MmQiLCJ1c2VySWQiOiI4OTEyMDQxMjUifQ==</vt:lpwstr>
  </property>
  <property fmtid="{D5CDD505-2E9C-101B-9397-08002B2CF9AE}" pid="6" name="KSOProductBuildVer">
    <vt:lpwstr>2052-12.1.22218.22218</vt:lpwstr>
  </property>
  <property fmtid="{D5CDD505-2E9C-101B-9397-08002B2CF9AE}" pid="7" name="ICV">
    <vt:lpwstr>1274BE7198EA94257B7C006904D140BC_43</vt:lpwstr>
  </property>
</Properties>
</file>