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2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森六株式会社收购Resonac Automotive Products (Thailand) Co., Ltd.股权案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森六株式会社（“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森六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”）与株式会社R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R</w:t>
            </w:r>
            <w:r>
              <w:rPr>
                <w:rFonts w:ascii="宋体" w:hAnsi="宋体" w:cs="宋体"/>
                <w:b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”）签署协议，通过收购R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新设全资子公司全部股份的形式，间接取得将承继给该新设公司的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R</w:t>
            </w:r>
            <w:bookmarkStart w:id="0" w:name="_Hlk215490131"/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 Automotive Products (Thailand) Co., Ltd.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泰国R</w:t>
            </w:r>
            <w:r>
              <w:rPr>
                <w:rFonts w:ascii="宋体" w:hAnsi="宋体" w:cs="宋体"/>
                <w:b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”）5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1%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的股份。泰国R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esonac主要从事以合成树脂为原料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汽车用内外饰成型部件、树脂制后备箱门的制造与销售。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交易前，R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及</w:t>
            </w:r>
            <w:bookmarkStart w:id="1" w:name="_Hlk215490264"/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Isuzu Motors Company (Thailand) Limited</w:t>
            </w:r>
            <w:bookmarkEnd w:id="1"/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泰国五十铃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”）分别持有泰国R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A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51%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、4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9%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的股份，共同控制泰国R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。交易后，森六与泰国五十铃将分别直接或间接持有泰国R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AE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51%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、4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9%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的股份，共同控制泰国R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/>
              </w:rPr>
              <w:t>参与集中的经营者简介（每个限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字以内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1.森六</w:t>
            </w:r>
          </w:p>
        </w:tc>
        <w:tc>
          <w:tcPr>
            <w:tcW w:w="6093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森六于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  <w:t>1916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月1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日成立于日本，为东京证券交易所上市公司，主要业务包括四轮机动车零部件相关树脂加工产品业务，以及化工业务。</w:t>
            </w:r>
          </w:p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森六无最终控制人。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2.泰国五十铃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泰国五十铃于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1966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日成立于泰国，主要在泰国从事五十铃品牌商用车的生产、组装。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泰国五十铃最终控制人为五十铃自动车株式会社，其主要从事大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中小型卡车、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客车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机动车用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柴油发动机、工业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用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柴油发动机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相关业务。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.泰国R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esonac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泰国R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于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1995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月2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7日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成立于泰国，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主要从事以合成树脂为原料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的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汽车用内外饰成型部件、树脂制后备箱门的制造与销售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泰国R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目前的最终控制人为R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esonac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及五十铃自动车株式会社。前者的主要业务包括半导体前道材料、半导体后道材料、硬盘、碳化硅、汽车零部件、铝制功能性部件、基础化学品、石墨电极、锂离子电池材料、功能性化学品、树脂材料、涂层材料、陶瓷材料；后者的主要业务参见上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 xml:space="preserve"> 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不适用</w:t>
            </w:r>
          </w:p>
        </w:tc>
      </w:tr>
    </w:tbl>
    <w:p>
      <w:pPr>
        <w:pStyle w:val="13"/>
      </w:pPr>
    </w:p>
    <w:p>
      <w:pPr>
        <w:pStyle w:val="1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5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>
          <w:pPr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hint="eastAsia" w:ascii="Arial" w:hAnsi="Arial" w:eastAsia="楷体_GB2312" w:cs="Arial"/>
              <w:sz w:val="18"/>
              <w:szCs w:val="18"/>
            </w:rPr>
            <w:t>文档</w:t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2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3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5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6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7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8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3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1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2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3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8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7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4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5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6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7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5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8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2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5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6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4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49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2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3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1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2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5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5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7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4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5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7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8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3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4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5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99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0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1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true"/>
  <w:embedSystemFonts/>
  <w:bordersDoNotSurroundHeader w:val="true"/>
  <w:bordersDoNotSurroundFooter w:val="tru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true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A"/>
    <w:rsid w:val="000074D6"/>
    <w:rsid w:val="000232B6"/>
    <w:rsid w:val="0002630D"/>
    <w:rsid w:val="00035C85"/>
    <w:rsid w:val="0004601F"/>
    <w:rsid w:val="00061448"/>
    <w:rsid w:val="0006493F"/>
    <w:rsid w:val="00065232"/>
    <w:rsid w:val="00073FF0"/>
    <w:rsid w:val="00076E13"/>
    <w:rsid w:val="00080FF8"/>
    <w:rsid w:val="00081244"/>
    <w:rsid w:val="000A19FE"/>
    <w:rsid w:val="000A2606"/>
    <w:rsid w:val="000A63D6"/>
    <w:rsid w:val="000B326B"/>
    <w:rsid w:val="000C3E88"/>
    <w:rsid w:val="000C6614"/>
    <w:rsid w:val="000D4457"/>
    <w:rsid w:val="000F6244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58C4"/>
    <w:rsid w:val="001B03FE"/>
    <w:rsid w:val="001B75C3"/>
    <w:rsid w:val="001C166E"/>
    <w:rsid w:val="001C560F"/>
    <w:rsid w:val="001E0583"/>
    <w:rsid w:val="001E254B"/>
    <w:rsid w:val="001F344E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81F96"/>
    <w:rsid w:val="00293C64"/>
    <w:rsid w:val="00294355"/>
    <w:rsid w:val="002A6A9F"/>
    <w:rsid w:val="002C1783"/>
    <w:rsid w:val="002D2D0A"/>
    <w:rsid w:val="002E7F58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2836"/>
    <w:rsid w:val="0039156D"/>
    <w:rsid w:val="003B46FF"/>
    <w:rsid w:val="003C0DCE"/>
    <w:rsid w:val="003C2831"/>
    <w:rsid w:val="003C429B"/>
    <w:rsid w:val="003D3C67"/>
    <w:rsid w:val="003D6857"/>
    <w:rsid w:val="003E1337"/>
    <w:rsid w:val="003E72FD"/>
    <w:rsid w:val="004027A6"/>
    <w:rsid w:val="00406544"/>
    <w:rsid w:val="00422D81"/>
    <w:rsid w:val="00424345"/>
    <w:rsid w:val="00427530"/>
    <w:rsid w:val="0043086F"/>
    <w:rsid w:val="004328E8"/>
    <w:rsid w:val="00454EDE"/>
    <w:rsid w:val="00474A76"/>
    <w:rsid w:val="00496C70"/>
    <w:rsid w:val="004A1A00"/>
    <w:rsid w:val="004A4026"/>
    <w:rsid w:val="004A6241"/>
    <w:rsid w:val="004B0A5D"/>
    <w:rsid w:val="004B7844"/>
    <w:rsid w:val="004D5509"/>
    <w:rsid w:val="004D6353"/>
    <w:rsid w:val="004E0E7A"/>
    <w:rsid w:val="004F673B"/>
    <w:rsid w:val="00517BBF"/>
    <w:rsid w:val="00523083"/>
    <w:rsid w:val="00542643"/>
    <w:rsid w:val="00556E19"/>
    <w:rsid w:val="00557D61"/>
    <w:rsid w:val="005670CF"/>
    <w:rsid w:val="005702C3"/>
    <w:rsid w:val="005A22B6"/>
    <w:rsid w:val="005A6504"/>
    <w:rsid w:val="005C594B"/>
    <w:rsid w:val="005C5B3D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5F4E76"/>
    <w:rsid w:val="00613054"/>
    <w:rsid w:val="00617682"/>
    <w:rsid w:val="0064008D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2FF1"/>
    <w:rsid w:val="00675565"/>
    <w:rsid w:val="006759E9"/>
    <w:rsid w:val="006A0613"/>
    <w:rsid w:val="006A3BAA"/>
    <w:rsid w:val="006B7858"/>
    <w:rsid w:val="006C36A7"/>
    <w:rsid w:val="006D42A9"/>
    <w:rsid w:val="006E0D56"/>
    <w:rsid w:val="007024A0"/>
    <w:rsid w:val="00705E29"/>
    <w:rsid w:val="00714AA1"/>
    <w:rsid w:val="00722821"/>
    <w:rsid w:val="00745B26"/>
    <w:rsid w:val="00795DB8"/>
    <w:rsid w:val="007A518C"/>
    <w:rsid w:val="007B1590"/>
    <w:rsid w:val="007C6641"/>
    <w:rsid w:val="007C6F0D"/>
    <w:rsid w:val="00801AEC"/>
    <w:rsid w:val="00812033"/>
    <w:rsid w:val="00817126"/>
    <w:rsid w:val="0082220C"/>
    <w:rsid w:val="00836EE2"/>
    <w:rsid w:val="00844A81"/>
    <w:rsid w:val="008541C1"/>
    <w:rsid w:val="00864F08"/>
    <w:rsid w:val="0087071F"/>
    <w:rsid w:val="00876707"/>
    <w:rsid w:val="008819A3"/>
    <w:rsid w:val="00886565"/>
    <w:rsid w:val="00896E91"/>
    <w:rsid w:val="008A45CF"/>
    <w:rsid w:val="008C2F6B"/>
    <w:rsid w:val="008C407B"/>
    <w:rsid w:val="008C5828"/>
    <w:rsid w:val="008C6BB1"/>
    <w:rsid w:val="008E68BC"/>
    <w:rsid w:val="008F0586"/>
    <w:rsid w:val="008F2B7E"/>
    <w:rsid w:val="008F52AE"/>
    <w:rsid w:val="008F7812"/>
    <w:rsid w:val="0091219C"/>
    <w:rsid w:val="00922FDD"/>
    <w:rsid w:val="009252A7"/>
    <w:rsid w:val="00934013"/>
    <w:rsid w:val="009419B7"/>
    <w:rsid w:val="00941C3F"/>
    <w:rsid w:val="00943698"/>
    <w:rsid w:val="0095472F"/>
    <w:rsid w:val="009560F7"/>
    <w:rsid w:val="009A68FE"/>
    <w:rsid w:val="009B06C2"/>
    <w:rsid w:val="009B48D9"/>
    <w:rsid w:val="009C0665"/>
    <w:rsid w:val="009C2CF0"/>
    <w:rsid w:val="009E3EDC"/>
    <w:rsid w:val="009E50CC"/>
    <w:rsid w:val="009E6860"/>
    <w:rsid w:val="009F3881"/>
    <w:rsid w:val="009F4EA0"/>
    <w:rsid w:val="009F5EF8"/>
    <w:rsid w:val="009F73EB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61043"/>
    <w:rsid w:val="00A92B7F"/>
    <w:rsid w:val="00AB74D5"/>
    <w:rsid w:val="00AC3677"/>
    <w:rsid w:val="00AC4B3E"/>
    <w:rsid w:val="00AC6704"/>
    <w:rsid w:val="00AD47F1"/>
    <w:rsid w:val="00AD6352"/>
    <w:rsid w:val="00B000C2"/>
    <w:rsid w:val="00B0724D"/>
    <w:rsid w:val="00B1403A"/>
    <w:rsid w:val="00B16501"/>
    <w:rsid w:val="00B321F1"/>
    <w:rsid w:val="00B36F87"/>
    <w:rsid w:val="00B42636"/>
    <w:rsid w:val="00B574CD"/>
    <w:rsid w:val="00B652F5"/>
    <w:rsid w:val="00B72560"/>
    <w:rsid w:val="00B82A6C"/>
    <w:rsid w:val="00B851D6"/>
    <w:rsid w:val="00B85251"/>
    <w:rsid w:val="00BB7B1E"/>
    <w:rsid w:val="00BC0693"/>
    <w:rsid w:val="00BC27FC"/>
    <w:rsid w:val="00BC3DC6"/>
    <w:rsid w:val="00C0088A"/>
    <w:rsid w:val="00C00BD4"/>
    <w:rsid w:val="00C01C94"/>
    <w:rsid w:val="00C13BAF"/>
    <w:rsid w:val="00C14E5E"/>
    <w:rsid w:val="00C15DD8"/>
    <w:rsid w:val="00C16071"/>
    <w:rsid w:val="00C175F0"/>
    <w:rsid w:val="00C17E48"/>
    <w:rsid w:val="00C205C7"/>
    <w:rsid w:val="00C250F1"/>
    <w:rsid w:val="00C300D1"/>
    <w:rsid w:val="00C410EB"/>
    <w:rsid w:val="00C41949"/>
    <w:rsid w:val="00C422C5"/>
    <w:rsid w:val="00C4296D"/>
    <w:rsid w:val="00C5060F"/>
    <w:rsid w:val="00C57D52"/>
    <w:rsid w:val="00C645F6"/>
    <w:rsid w:val="00C66480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F2F15"/>
    <w:rsid w:val="00D02B43"/>
    <w:rsid w:val="00D2423F"/>
    <w:rsid w:val="00D26041"/>
    <w:rsid w:val="00D33C82"/>
    <w:rsid w:val="00D4017C"/>
    <w:rsid w:val="00D468B0"/>
    <w:rsid w:val="00D50962"/>
    <w:rsid w:val="00D55381"/>
    <w:rsid w:val="00D6248A"/>
    <w:rsid w:val="00D62EAF"/>
    <w:rsid w:val="00D639FC"/>
    <w:rsid w:val="00D90ADE"/>
    <w:rsid w:val="00DA2847"/>
    <w:rsid w:val="00DA60DB"/>
    <w:rsid w:val="00DA6727"/>
    <w:rsid w:val="00DB2881"/>
    <w:rsid w:val="00DC2A2C"/>
    <w:rsid w:val="00DD0098"/>
    <w:rsid w:val="00E05321"/>
    <w:rsid w:val="00E24CCA"/>
    <w:rsid w:val="00E4323F"/>
    <w:rsid w:val="00E45043"/>
    <w:rsid w:val="00E67791"/>
    <w:rsid w:val="00E72CD3"/>
    <w:rsid w:val="00E90FCF"/>
    <w:rsid w:val="00E95BDB"/>
    <w:rsid w:val="00E968E0"/>
    <w:rsid w:val="00E97EEB"/>
    <w:rsid w:val="00EA0045"/>
    <w:rsid w:val="00EA247B"/>
    <w:rsid w:val="00EB4F1B"/>
    <w:rsid w:val="00EB5949"/>
    <w:rsid w:val="00EB5960"/>
    <w:rsid w:val="00EC0165"/>
    <w:rsid w:val="00ED0DD9"/>
    <w:rsid w:val="00EF32C9"/>
    <w:rsid w:val="00EF61BA"/>
    <w:rsid w:val="00F0543D"/>
    <w:rsid w:val="00F07C7D"/>
    <w:rsid w:val="00F1219A"/>
    <w:rsid w:val="00F12784"/>
    <w:rsid w:val="00F247CA"/>
    <w:rsid w:val="00F266D8"/>
    <w:rsid w:val="00F5076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59E9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72D4DF6D"/>
    <w:rsid w:val="D7DFF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9"/>
    <w:semiHidden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 w:eastAsia="楷体_GB2312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0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1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 w:eastAsia="楷体_GB2312"/>
      <w:b/>
      <w:bCs/>
      <w:sz w:val="32"/>
      <w:szCs w:val="32"/>
    </w:rPr>
  </w:style>
  <w:style w:type="paragraph" w:styleId="6">
    <w:name w:val="heading 4"/>
    <w:basedOn w:val="3"/>
    <w:next w:val="1"/>
    <w:link w:val="32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1"/>
    <w:link w:val="33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4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</w:rPr>
  </w:style>
  <w:style w:type="paragraph" w:styleId="10">
    <w:name w:val="heading 8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6"/>
    <w:unhideWhenUsed/>
    <w:qFormat/>
    <w:uiPriority w:val="0"/>
    <w:pPr>
      <w:spacing w:after="120"/>
    </w:p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toc 1"/>
    <w:basedOn w:val="13"/>
    <w:next w:val="13"/>
    <w:unhideWhenUsed/>
    <w:qFormat/>
    <w:uiPriority w:val="39"/>
  </w:style>
  <w:style w:type="paragraph" w:styleId="19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0">
    <w:name w:val="Subtitle"/>
    <w:basedOn w:val="1"/>
    <w:link w:val="108"/>
    <w:qFormat/>
    <w:uiPriority w:val="11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2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3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4">
    <w:name w:val="Title"/>
    <w:basedOn w:val="1"/>
    <w:link w:val="107"/>
    <w:qFormat/>
    <w:uiPriority w:val="10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7">
    <w:name w:val="Strong"/>
    <w:qFormat/>
    <w:uiPriority w:val="22"/>
    <w:rPr>
      <w:b/>
      <w:bCs/>
    </w:rPr>
  </w:style>
  <w:style w:type="character" w:styleId="28">
    <w:name w:val="Emphasis"/>
    <w:qFormat/>
    <w:uiPriority w:val="20"/>
    <w:rPr>
      <w:i/>
      <w:iCs/>
    </w:rPr>
  </w:style>
  <w:style w:type="character" w:customStyle="1" w:styleId="29">
    <w:name w:val="标题 1 字符"/>
    <w:basedOn w:val="26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0">
    <w:name w:val="标题 2 字符"/>
    <w:basedOn w:val="2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6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2">
    <w:name w:val="标题 4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5 字符"/>
    <w:basedOn w:val="26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4">
    <w:name w:val="标题 6 字符"/>
    <w:basedOn w:val="26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5">
    <w:name w:val="标题 7 字符"/>
    <w:basedOn w:val="26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6">
    <w:name w:val="标题 8 字符"/>
    <w:basedOn w:val="26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字符"/>
    <w:basedOn w:val="26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8">
    <w:name w:val="KWMCN-大标题"/>
    <w:next w:val="39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39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0">
    <w:name w:val="KWMCN-小标题"/>
    <w:next w:val="39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1">
    <w:name w:val="KWMCN-一级标题2"/>
    <w:next w:val="39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2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3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5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标题"/>
    <w:next w:val="39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一级标题"/>
    <w:next w:val="39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二级标题2"/>
    <w:next w:val="39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5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0">
    <w:name w:val="KWMEN-Heading"/>
    <w:next w:val="71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1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2">
    <w:name w:val="KWMEN-SubHeading"/>
    <w:next w:val="71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 w:val="20"/>
      <w:szCs w:val="21"/>
      <w:lang w:val="en-US" w:eastAsia="zh-CN" w:bidi="ar-SA"/>
    </w:rPr>
  </w:style>
  <w:style w:type="paragraph" w:customStyle="1" w:styleId="73">
    <w:name w:val="KWMEN-Heading-1"/>
    <w:next w:val="71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4">
    <w:name w:val="KWMEN-Heading-2"/>
    <w:next w:val="71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5">
    <w:name w:val="KWMEN-Heading-3"/>
    <w:next w:val="71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6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7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8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9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0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1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2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3">
    <w:name w:val="KWMEN-Attachment"/>
    <w:next w:val="71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4">
    <w:name w:val="KWMEN-Schedule"/>
    <w:next w:val="71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6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8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9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0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1">
    <w:name w:val="KWMJP-大标题JP"/>
    <w:next w:val="92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2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3">
    <w:name w:val="KWMJP-小标题JP"/>
    <w:next w:val="92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4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一级标题JP"/>
    <w:next w:val="92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6">
    <w:name w:val="KWMJP-二级标题JP"/>
    <w:next w:val="92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105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6">
    <w:name w:val="正文文本 字符"/>
    <w:basedOn w:val="26"/>
    <w:link w:val="3"/>
    <w:semiHidden/>
    <w:qFormat/>
    <w:uiPriority w:val="99"/>
  </w:style>
  <w:style w:type="character" w:customStyle="1" w:styleId="107">
    <w:name w:val="标题 字符"/>
    <w:basedOn w:val="26"/>
    <w:link w:val="2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8">
    <w:name w:val="副标题 字符"/>
    <w:basedOn w:val="26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9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0">
    <w:name w:val="List Paragraph"/>
    <w:basedOn w:val="1"/>
    <w:qFormat/>
    <w:uiPriority w:val="34"/>
    <w:pPr>
      <w:spacing w:after="360" w:line="320" w:lineRule="atLeast"/>
      <w:ind w:firstLine="420" w:firstLineChars="200"/>
    </w:pPr>
    <w:rPr>
      <w:rFonts w:ascii="Arial" w:hAnsi="Arial" w:eastAsia="楷体_GB2312"/>
      <w:sz w:val="24"/>
    </w:rPr>
  </w:style>
  <w:style w:type="paragraph" w:styleId="111">
    <w:name w:val="Quote"/>
    <w:basedOn w:val="1"/>
    <w:next w:val="1"/>
    <w:link w:val="112"/>
    <w:qFormat/>
    <w:uiPriority w:val="29"/>
    <w:pPr>
      <w:spacing w:after="360" w:line="320" w:lineRule="atLeast"/>
    </w:pPr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2">
    <w:name w:val="引用 字符"/>
    <w:link w:val="111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3">
    <w:name w:val="Intense Quote"/>
    <w:basedOn w:val="1"/>
    <w:next w:val="1"/>
    <w:link w:val="114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4">
    <w:name w:val="明显引用 字符"/>
    <w:link w:val="113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5">
    <w:name w:val="TOC Heading"/>
    <w:basedOn w:val="2"/>
    <w:next w:val="1"/>
    <w:semiHidden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1001</Characters>
  <Lines>8</Lines>
  <Paragraphs>2</Paragraphs>
  <TotalTime>138</TotalTime>
  <ScaleCrop>false</ScaleCrop>
  <LinksUpToDate>false</LinksUpToDate>
  <CharactersWithSpaces>1174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2025-11-11T00:31:00Z</dcterms:created>
  <dc:creator>KWM</dc:creator>
  <cp:keywords>blank</cp:keywords>
  <cp:lastModifiedBy>oa</cp:lastModifiedBy>
  <cp:lastPrinted>1996-04-16T19:47:00Z</cp:lastPrinted>
  <dcterms:modified xsi:type="dcterms:W3CDTF">2025-12-02T11:48:17Z</dcterms:modified>
  <dc:subject>Blank Template</dc:subject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