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仿宋" w:hAnsi="仿宋" w:eastAsia="仿宋"/>
          <w:b/>
          <w:sz w:val="22"/>
        </w:rPr>
      </w:pPr>
      <w:r>
        <w:rPr>
          <w:rFonts w:hint="eastAsia" w:ascii="仿宋" w:hAnsi="仿宋" w:eastAsia="仿宋"/>
          <w:b/>
          <w:sz w:val="22"/>
        </w:rPr>
        <w:t xml:space="preserve"> </w:t>
      </w:r>
      <w:r>
        <w:rPr>
          <w:rFonts w:hint="eastAsia" w:ascii="黑体" w:hAnsi="黑体" w:eastAsia="黑体"/>
          <w:sz w:val="36"/>
          <w:szCs w:val="36"/>
        </w:rPr>
        <w:t>经营者集中简易案件公示表</w:t>
      </w:r>
    </w:p>
    <w:p>
      <w:pPr>
        <w:spacing w:line="440" w:lineRule="exact"/>
        <w:rPr>
          <w:rFonts w:hint="eastAsia" w:ascii="仿宋" w:hAnsi="仿宋" w:eastAsia="仿宋"/>
          <w:sz w:val="22"/>
        </w:rPr>
      </w:pPr>
    </w:p>
    <w:tbl>
      <w:tblPr>
        <w:tblStyle w:val="7"/>
        <w:tblW w:w="8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8"/>
        <w:gridCol w:w="1796"/>
        <w:gridCol w:w="5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8" w:type="dxa"/>
            <w:shd w:val="clear" w:color="auto" w:fill="D9D9D9"/>
            <w:vAlign w:val="center"/>
          </w:tcPr>
          <w:p>
            <w:pPr>
              <w:jc w:val="center"/>
              <w:rPr>
                <w:rFonts w:ascii="Times New Roman" w:hAnsi="Times New Roman"/>
                <w:b/>
                <w:kern w:val="0"/>
                <w:sz w:val="24"/>
                <w:szCs w:val="24"/>
              </w:rPr>
            </w:pPr>
            <w:r>
              <w:rPr>
                <w:rFonts w:ascii="Times New Roman" w:hAnsi="Times New Roman"/>
                <w:b/>
                <w:kern w:val="0"/>
                <w:sz w:val="24"/>
                <w:szCs w:val="24"/>
              </w:rPr>
              <w:t>案件名称</w:t>
            </w:r>
          </w:p>
        </w:tc>
        <w:tc>
          <w:tcPr>
            <w:tcW w:w="6951" w:type="dxa"/>
            <w:gridSpan w:val="2"/>
          </w:tcPr>
          <w:p>
            <w:pPr>
              <w:rPr>
                <w:rFonts w:ascii="Times New Roman" w:hAnsi="Times New Roman"/>
                <w:kern w:val="0"/>
                <w:sz w:val="24"/>
                <w:szCs w:val="24"/>
              </w:rPr>
            </w:pPr>
            <w:r>
              <w:rPr>
                <w:rFonts w:hint="eastAsia" w:ascii="Times New Roman" w:hAnsi="Times New Roman"/>
                <w:kern w:val="0"/>
                <w:sz w:val="24"/>
                <w:szCs w:val="24"/>
              </w:rPr>
              <w:t>Novolex Holdings, LLC与加拿大养老金计划投资委员会收购Pactiv Evergreen Inc.股权案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8" w:type="dxa"/>
            <w:shd w:val="clear" w:color="auto" w:fill="D9D9D9"/>
            <w:vAlign w:val="center"/>
          </w:tcPr>
          <w:p>
            <w:pPr>
              <w:jc w:val="center"/>
              <w:rPr>
                <w:rFonts w:ascii="Times New Roman" w:hAnsi="Times New Roman"/>
                <w:b/>
                <w:kern w:val="0"/>
                <w:sz w:val="24"/>
                <w:szCs w:val="24"/>
              </w:rPr>
            </w:pPr>
            <w:r>
              <w:rPr>
                <w:rFonts w:ascii="Times New Roman" w:hAnsi="Times New Roman"/>
                <w:b/>
                <w:kern w:val="0"/>
                <w:sz w:val="24"/>
                <w:szCs w:val="24"/>
              </w:rPr>
              <w:t>交易概况</w:t>
            </w:r>
          </w:p>
          <w:p>
            <w:pPr>
              <w:jc w:val="center"/>
              <w:rPr>
                <w:rFonts w:ascii="Times New Roman" w:hAnsi="Times New Roman"/>
                <w:b/>
                <w:kern w:val="0"/>
                <w:sz w:val="24"/>
                <w:szCs w:val="24"/>
              </w:rPr>
            </w:pPr>
            <w:r>
              <w:rPr>
                <w:rFonts w:ascii="Times New Roman" w:hAnsi="Times New Roman"/>
                <w:b/>
                <w:kern w:val="0"/>
                <w:sz w:val="24"/>
                <w:szCs w:val="24"/>
              </w:rPr>
              <w:t>（限200字内）</w:t>
            </w:r>
          </w:p>
        </w:tc>
        <w:tc>
          <w:tcPr>
            <w:tcW w:w="6951" w:type="dxa"/>
            <w:gridSpan w:val="2"/>
          </w:tcPr>
          <w:p>
            <w:pPr>
              <w:rPr>
                <w:rFonts w:ascii="Times New Roman" w:hAnsi="Times New Roman"/>
                <w:kern w:val="0"/>
                <w:sz w:val="24"/>
                <w:szCs w:val="24"/>
              </w:rPr>
            </w:pPr>
            <w:r>
              <w:rPr>
                <w:rFonts w:hint="eastAsia" w:ascii="Times New Roman" w:hAnsi="Times New Roman"/>
                <w:kern w:val="0"/>
                <w:sz w:val="24"/>
                <w:szCs w:val="24"/>
              </w:rPr>
              <w:t>根据2024年12月9日签署的合并协议与计划，本次交易涉及</w:t>
            </w:r>
            <w:r>
              <w:rPr>
                <w:rFonts w:ascii="Times New Roman" w:hAnsi="Times New Roman"/>
                <w:kern w:val="0"/>
                <w:sz w:val="24"/>
                <w:szCs w:val="24"/>
              </w:rPr>
              <w:t>Novolex Holdings, LLC</w:t>
            </w:r>
            <w:r>
              <w:rPr>
                <w:rFonts w:hint="eastAsia" w:ascii="Times New Roman" w:hAnsi="Times New Roman"/>
                <w:kern w:val="0"/>
                <w:sz w:val="24"/>
                <w:szCs w:val="24"/>
              </w:rPr>
              <w:t>（“</w:t>
            </w:r>
            <w:r>
              <w:rPr>
                <w:rFonts w:hint="eastAsia" w:ascii="Times New Roman" w:hAnsi="Times New Roman"/>
                <w:b/>
                <w:bCs/>
                <w:kern w:val="0"/>
                <w:sz w:val="24"/>
                <w:szCs w:val="24"/>
              </w:rPr>
              <w:t>Novolex</w:t>
            </w:r>
            <w:r>
              <w:rPr>
                <w:rFonts w:hint="eastAsia" w:ascii="Times New Roman" w:hAnsi="Times New Roman"/>
                <w:kern w:val="0"/>
                <w:sz w:val="24"/>
                <w:szCs w:val="24"/>
              </w:rPr>
              <w:t>”，由阿波罗全球管理公司关联公司管理的投资基金控制，阿波罗全球管理公司连同其子公司、关联公司以及其关联公司管理的投资基金合称为“</w:t>
            </w:r>
            <w:r>
              <w:rPr>
                <w:rFonts w:hint="eastAsia" w:ascii="Times New Roman" w:hAnsi="Times New Roman"/>
                <w:b/>
                <w:bCs/>
                <w:kern w:val="0"/>
                <w:sz w:val="24"/>
                <w:szCs w:val="24"/>
              </w:rPr>
              <w:t>阿波罗基金</w:t>
            </w:r>
            <w:r>
              <w:rPr>
                <w:rFonts w:hint="eastAsia" w:ascii="Times New Roman" w:hAnsi="Times New Roman"/>
                <w:kern w:val="0"/>
                <w:sz w:val="24"/>
                <w:szCs w:val="24"/>
              </w:rPr>
              <w:t>”）通过其直接控制的全资子公司与</w:t>
            </w:r>
            <w:r>
              <w:rPr>
                <w:rFonts w:ascii="Times New Roman" w:hAnsi="Times New Roman"/>
                <w:kern w:val="0"/>
                <w:sz w:val="24"/>
                <w:szCs w:val="24"/>
              </w:rPr>
              <w:t>Pactiv Evergreen Inc.</w:t>
            </w:r>
            <w:r>
              <w:rPr>
                <w:rFonts w:hint="eastAsia" w:ascii="Times New Roman" w:hAnsi="Times New Roman"/>
                <w:kern w:val="0"/>
                <w:sz w:val="24"/>
                <w:szCs w:val="24"/>
              </w:rPr>
              <w:t>（“</w:t>
            </w:r>
            <w:r>
              <w:rPr>
                <w:rFonts w:hint="eastAsia" w:ascii="Times New Roman" w:hAnsi="Times New Roman"/>
                <w:b/>
                <w:bCs/>
                <w:kern w:val="0"/>
                <w:sz w:val="24"/>
                <w:szCs w:val="24"/>
              </w:rPr>
              <w:t>Pactiv</w:t>
            </w:r>
            <w:r>
              <w:rPr>
                <w:rFonts w:hint="eastAsia" w:ascii="Times New Roman" w:hAnsi="Times New Roman"/>
                <w:kern w:val="0"/>
                <w:sz w:val="24"/>
                <w:szCs w:val="24"/>
              </w:rPr>
              <w:t>”）的合并（“</w:t>
            </w:r>
            <w:r>
              <w:rPr>
                <w:rFonts w:hint="eastAsia" w:ascii="Times New Roman" w:hAnsi="Times New Roman"/>
                <w:b/>
                <w:bCs/>
                <w:kern w:val="0"/>
                <w:sz w:val="24"/>
                <w:szCs w:val="24"/>
              </w:rPr>
              <w:t>合并后实体</w:t>
            </w:r>
            <w:r>
              <w:rPr>
                <w:rFonts w:hint="eastAsia" w:ascii="Times New Roman" w:hAnsi="Times New Roman"/>
                <w:kern w:val="0"/>
                <w:sz w:val="24"/>
                <w:szCs w:val="24"/>
              </w:rPr>
              <w:t>”）完成对Pactiv的收购，以及阿波罗基金和加拿大养老金计划投资委员会对合并后实体（包括Pactiv）的共同控制</w:t>
            </w:r>
            <w:bookmarkStart w:id="0" w:name="_GoBack"/>
            <w:bookmarkEnd w:id="0"/>
            <w:r>
              <w:rPr>
                <w:rFonts w:hint="eastAsia" w:ascii="Times New Roman" w:hAnsi="Times New Roman"/>
                <w:kern w:val="0"/>
                <w:sz w:val="24"/>
                <w:szCs w:val="24"/>
              </w:rPr>
              <w:t>权的收购。本次交易的金额约为230亿元人民币。Pactiv主要从事包装业务。</w:t>
            </w:r>
          </w:p>
          <w:p>
            <w:pPr>
              <w:rPr>
                <w:rFonts w:ascii="Times New Roman" w:hAnsi="Times New Roman"/>
                <w:kern w:val="0"/>
                <w:sz w:val="24"/>
                <w:szCs w:val="24"/>
              </w:rPr>
            </w:pPr>
            <w:r>
              <w:rPr>
                <w:rFonts w:hint="eastAsia" w:ascii="Times New Roman" w:hAnsi="Times New Roman"/>
                <w:kern w:val="0"/>
                <w:sz w:val="24"/>
                <w:szCs w:val="24"/>
              </w:rPr>
              <w:t>在本次交易</w:t>
            </w:r>
            <w:r>
              <w:rPr>
                <w:rFonts w:ascii="Times New Roman" w:hAnsi="Times New Roman"/>
                <w:kern w:val="0"/>
                <w:sz w:val="24"/>
                <w:szCs w:val="24"/>
              </w:rPr>
              <w:t>前，Packaging Finance Limited</w:t>
            </w:r>
            <w:r>
              <w:rPr>
                <w:rFonts w:hint="eastAsia" w:ascii="Times New Roman" w:hAnsi="Times New Roman"/>
                <w:kern w:val="0"/>
                <w:sz w:val="24"/>
                <w:szCs w:val="24"/>
              </w:rPr>
              <w:t>和公众股东分别持有Pactiv 76.38%和23.62%的股份。Pactiv的最终控制人为自然人</w:t>
            </w:r>
            <w:r>
              <w:rPr>
                <w:rFonts w:ascii="Times New Roman" w:hAnsi="Times New Roman"/>
                <w:kern w:val="0"/>
                <w:sz w:val="24"/>
                <w:szCs w:val="24"/>
              </w:rPr>
              <w:t>。</w:t>
            </w:r>
            <w:r>
              <w:rPr>
                <w:rFonts w:hint="eastAsia" w:ascii="Times New Roman" w:hAnsi="Times New Roman"/>
                <w:kern w:val="0"/>
                <w:sz w:val="24"/>
                <w:szCs w:val="24"/>
              </w:rPr>
              <w:t>在本次</w:t>
            </w:r>
            <w:r>
              <w:rPr>
                <w:rFonts w:ascii="Times New Roman" w:hAnsi="Times New Roman"/>
                <w:kern w:val="0"/>
                <w:sz w:val="24"/>
                <w:szCs w:val="24"/>
              </w:rPr>
              <w:t>交易完成后，</w:t>
            </w:r>
            <w:r>
              <w:rPr>
                <w:rFonts w:hint="eastAsia" w:ascii="Times New Roman" w:hAnsi="Times New Roman"/>
                <w:kern w:val="0"/>
                <w:sz w:val="24"/>
                <w:szCs w:val="24"/>
              </w:rPr>
              <w:t>阿波罗基金和加拿大养老金计划投资委员会将共同控制合并后实体（包括Pactiv），并分别持有约65%和25%的股权。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8" w:type="dxa"/>
            <w:vMerge w:val="restart"/>
            <w:shd w:val="clear" w:color="auto" w:fill="D9D9D9"/>
            <w:vAlign w:val="center"/>
          </w:tcPr>
          <w:p>
            <w:pPr>
              <w:jc w:val="center"/>
              <w:rPr>
                <w:rFonts w:ascii="Times New Roman" w:hAnsi="Times New Roman"/>
                <w:b/>
                <w:kern w:val="0"/>
                <w:sz w:val="24"/>
                <w:szCs w:val="24"/>
              </w:rPr>
            </w:pPr>
            <w:r>
              <w:rPr>
                <w:rFonts w:ascii="Times New Roman" w:hAnsi="Times New Roman"/>
                <w:b/>
                <w:kern w:val="0"/>
                <w:sz w:val="24"/>
                <w:szCs w:val="24"/>
              </w:rPr>
              <w:t>参与集中的</w:t>
            </w:r>
          </w:p>
          <w:p>
            <w:pPr>
              <w:jc w:val="center"/>
              <w:rPr>
                <w:rFonts w:ascii="Times New Roman" w:hAnsi="Times New Roman"/>
                <w:b/>
                <w:kern w:val="0"/>
                <w:sz w:val="24"/>
                <w:szCs w:val="24"/>
              </w:rPr>
            </w:pPr>
            <w:r>
              <w:rPr>
                <w:rFonts w:ascii="Times New Roman" w:hAnsi="Times New Roman"/>
                <w:b/>
                <w:kern w:val="0"/>
                <w:sz w:val="24"/>
                <w:szCs w:val="24"/>
              </w:rPr>
              <w:t>经营者简介</w:t>
            </w:r>
          </w:p>
        </w:tc>
        <w:tc>
          <w:tcPr>
            <w:tcW w:w="1796" w:type="dxa"/>
          </w:tcPr>
          <w:p>
            <w:pPr>
              <w:pStyle w:val="17"/>
              <w:numPr>
                <w:ilvl w:val="0"/>
                <w:numId w:val="1"/>
              </w:numPr>
              <w:rPr>
                <w:rFonts w:ascii="Times New Roman" w:hAnsi="Times New Roman"/>
                <w:kern w:val="0"/>
                <w:sz w:val="24"/>
                <w:szCs w:val="24"/>
              </w:rPr>
            </w:pPr>
            <w:r>
              <w:rPr>
                <w:rFonts w:hint="eastAsia" w:ascii="Times New Roman" w:hAnsi="Times New Roman"/>
                <w:kern w:val="0"/>
                <w:sz w:val="24"/>
                <w:szCs w:val="24"/>
              </w:rPr>
              <w:t>Novolex</w:t>
            </w:r>
          </w:p>
        </w:tc>
        <w:tc>
          <w:tcPr>
            <w:tcW w:w="5155" w:type="dxa"/>
          </w:tcPr>
          <w:p>
            <w:pPr>
              <w:widowControl/>
              <w:snapToGrid w:val="0"/>
              <w:rPr>
                <w:rFonts w:hint="eastAsia" w:ascii="Times New Roman" w:hAnsi="Times New Roman"/>
                <w:kern w:val="0"/>
                <w:sz w:val="24"/>
                <w:szCs w:val="24"/>
              </w:rPr>
            </w:pPr>
            <w:r>
              <w:rPr>
                <w:rFonts w:hint="eastAsia" w:ascii="Times New Roman" w:hAnsi="Times New Roman"/>
                <w:kern w:val="0"/>
                <w:sz w:val="24"/>
                <w:szCs w:val="24"/>
              </w:rPr>
              <w:t>Novolex于2017年6月29日成立于美国。Novolex主要从事多样化包装产品的研发和生产。</w:t>
            </w:r>
          </w:p>
          <w:p>
            <w:pPr>
              <w:widowControl/>
              <w:snapToGrid w:val="0"/>
              <w:rPr>
                <w:rFonts w:ascii="Times New Roman" w:hAnsi="Times New Roman"/>
                <w:kern w:val="0"/>
                <w:sz w:val="24"/>
                <w:szCs w:val="24"/>
              </w:rPr>
            </w:pPr>
            <w:r>
              <w:rPr>
                <w:rFonts w:hint="eastAsia" w:ascii="Times New Roman" w:hAnsi="Times New Roman"/>
                <w:kern w:val="0"/>
                <w:sz w:val="24"/>
                <w:szCs w:val="24"/>
              </w:rPr>
              <w:t>Novolex由阿波罗全球管理公司关联公司管理的投资基金控制。阿波罗基金为一家总部位于美国的向个人和机构投资者提供服务的高增长全球另类资产管理经理人及退休服务提供者。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8" w:type="dxa"/>
            <w:vMerge w:val="continue"/>
            <w:shd w:val="clear" w:color="auto" w:fill="D9D9D9"/>
            <w:vAlign w:val="center"/>
          </w:tcPr>
          <w:p>
            <w:pPr>
              <w:jc w:val="center"/>
              <w:rPr>
                <w:rFonts w:ascii="Times New Roman" w:hAnsi="Times New Roman"/>
                <w:b/>
                <w:kern w:val="0"/>
                <w:sz w:val="24"/>
                <w:szCs w:val="24"/>
              </w:rPr>
            </w:pPr>
          </w:p>
        </w:tc>
        <w:tc>
          <w:tcPr>
            <w:tcW w:w="1796" w:type="dxa"/>
          </w:tcPr>
          <w:p>
            <w:pPr>
              <w:pStyle w:val="17"/>
              <w:numPr>
                <w:ilvl w:val="0"/>
                <w:numId w:val="1"/>
              </w:numPr>
              <w:rPr>
                <w:rFonts w:ascii="Times New Roman" w:hAnsi="Times New Roman"/>
                <w:kern w:val="0"/>
                <w:sz w:val="24"/>
                <w:szCs w:val="24"/>
              </w:rPr>
            </w:pPr>
            <w:r>
              <w:rPr>
                <w:rFonts w:hint="eastAsia" w:ascii="Times New Roman" w:hAnsi="Times New Roman"/>
                <w:kern w:val="0"/>
                <w:sz w:val="24"/>
                <w:szCs w:val="24"/>
              </w:rPr>
              <w:t>加拿大养老金计划投资委员会</w:t>
            </w:r>
          </w:p>
        </w:tc>
        <w:tc>
          <w:tcPr>
            <w:tcW w:w="5155" w:type="dxa"/>
          </w:tcPr>
          <w:p>
            <w:pPr>
              <w:widowControl/>
              <w:snapToGrid w:val="0"/>
              <w:rPr>
                <w:rFonts w:ascii="Times New Roman" w:hAnsi="Times New Roman"/>
                <w:sz w:val="24"/>
                <w:szCs w:val="24"/>
                <w:lang w:val="en-GB"/>
              </w:rPr>
            </w:pPr>
            <w:r>
              <w:rPr>
                <w:rFonts w:hint="eastAsia" w:ascii="Times New Roman" w:hAnsi="Times New Roman"/>
                <w:kern w:val="0"/>
                <w:sz w:val="24"/>
                <w:szCs w:val="24"/>
              </w:rPr>
              <w:t>加拿大养老金计划投资委员会</w:t>
            </w:r>
            <w:r>
              <w:rPr>
                <w:rFonts w:hint="eastAsia" w:ascii="Times New Roman" w:hAnsi="Times New Roman"/>
                <w:sz w:val="24"/>
                <w:szCs w:val="24"/>
              </w:rPr>
              <w:t>于1997年12月18日成立于加拿大，为1997年根据《加拿大养老金计划投资委员会法》成立的加拿大联邦国家企业。</w:t>
            </w:r>
            <w:r>
              <w:rPr>
                <w:rFonts w:hint="eastAsia" w:ascii="Times New Roman" w:hAnsi="Times New Roman"/>
                <w:kern w:val="0"/>
                <w:sz w:val="24"/>
                <w:szCs w:val="24"/>
              </w:rPr>
              <w:t>加拿大养老金计划投资委员会</w:t>
            </w:r>
            <w:r>
              <w:rPr>
                <w:rFonts w:ascii="Times New Roman" w:hAnsi="Times New Roman"/>
                <w:sz w:val="24"/>
                <w:szCs w:val="24"/>
                <w:lang w:val="en-GB"/>
              </w:rPr>
              <w:t>是一家专业投资管理机构，</w:t>
            </w:r>
            <w:r>
              <w:rPr>
                <w:rFonts w:hint="eastAsia" w:ascii="Times New Roman" w:hAnsi="Times New Roman"/>
                <w:sz w:val="24"/>
                <w:szCs w:val="24"/>
                <w:lang w:val="en-GB"/>
              </w:rPr>
              <w:t>代表</w:t>
            </w:r>
            <w:r>
              <w:rPr>
                <w:rFonts w:ascii="Times New Roman" w:hAnsi="Times New Roman"/>
                <w:sz w:val="24"/>
                <w:szCs w:val="24"/>
                <w:lang w:val="en-GB"/>
              </w:rPr>
              <w:t>约2</w:t>
            </w:r>
            <w:r>
              <w:rPr>
                <w:rFonts w:hint="eastAsia" w:ascii="Times New Roman" w:hAnsi="Times New Roman"/>
                <w:sz w:val="24"/>
                <w:szCs w:val="24"/>
                <w:lang w:val="en-GB"/>
              </w:rPr>
              <w:t>2</w:t>
            </w:r>
            <w:r>
              <w:rPr>
                <w:rFonts w:ascii="Times New Roman" w:hAnsi="Times New Roman"/>
                <w:sz w:val="24"/>
                <w:szCs w:val="24"/>
                <w:lang w:val="en-GB"/>
              </w:rPr>
              <w:t>00万加拿大</w:t>
            </w:r>
            <w:r>
              <w:rPr>
                <w:rFonts w:ascii="Times New Roman" w:hAnsi="Times New Roman"/>
                <w:sz w:val="24"/>
                <w:szCs w:val="24"/>
              </w:rPr>
              <w:t>出资人和受益人</w:t>
            </w:r>
            <w:r>
              <w:rPr>
                <w:rFonts w:hint="eastAsia" w:ascii="Times New Roman" w:hAnsi="Times New Roman"/>
                <w:sz w:val="24"/>
                <w:szCs w:val="24"/>
              </w:rPr>
              <w:t>，就</w:t>
            </w:r>
            <w:r>
              <w:rPr>
                <w:rFonts w:hint="eastAsia" w:ascii="Times New Roman" w:hAnsi="Times New Roman"/>
                <w:sz w:val="24"/>
                <w:szCs w:val="24"/>
                <w:lang w:val="en-GB"/>
              </w:rPr>
              <w:t>其</w:t>
            </w:r>
            <w:r>
              <w:rPr>
                <w:rFonts w:ascii="Times New Roman" w:hAnsi="Times New Roman"/>
                <w:sz w:val="24"/>
                <w:szCs w:val="24"/>
                <w:lang w:val="en-GB"/>
              </w:rPr>
              <w:t>受让于</w:t>
            </w:r>
            <w:r>
              <w:rPr>
                <w:rFonts w:hint="eastAsia" w:ascii="Times New Roman" w:hAnsi="Times New Roman"/>
                <w:sz w:val="24"/>
                <w:szCs w:val="24"/>
                <w:lang w:val="en-GB"/>
              </w:rPr>
              <w:t>加拿大养老金计划</w:t>
            </w:r>
            <w:r>
              <w:rPr>
                <w:rFonts w:ascii="Times New Roman" w:hAnsi="Times New Roman"/>
                <w:sz w:val="24"/>
                <w:szCs w:val="24"/>
                <w:lang w:val="en-GB"/>
              </w:rPr>
              <w:t>的资金进行投资。</w:t>
            </w:r>
          </w:p>
          <w:p>
            <w:pPr>
              <w:widowControl/>
              <w:snapToGrid w:val="0"/>
              <w:rPr>
                <w:rFonts w:ascii="Times New Roman" w:hAnsi="Times New Roman"/>
                <w:sz w:val="24"/>
                <w:szCs w:val="24"/>
              </w:rPr>
            </w:pPr>
            <w:r>
              <w:rPr>
                <w:rFonts w:hint="eastAsia" w:ascii="Times New Roman" w:hAnsi="Times New Roman"/>
                <w:kern w:val="0"/>
                <w:sz w:val="24"/>
                <w:szCs w:val="24"/>
              </w:rPr>
              <w:t>加拿大养老金计划投资委员会</w:t>
            </w:r>
            <w:r>
              <w:rPr>
                <w:rFonts w:hint="eastAsia" w:ascii="Times New Roman" w:hAnsi="Times New Roman"/>
                <w:sz w:val="24"/>
                <w:szCs w:val="24"/>
              </w:rPr>
              <w:t>没有最终控制人。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8" w:type="dxa"/>
            <w:vMerge w:val="continue"/>
            <w:shd w:val="clear" w:color="auto" w:fill="D9D9D9"/>
            <w:vAlign w:val="center"/>
          </w:tcPr>
          <w:p>
            <w:pPr>
              <w:jc w:val="center"/>
              <w:rPr>
                <w:rFonts w:ascii="Times New Roman" w:hAnsi="Times New Roman"/>
                <w:b/>
                <w:kern w:val="0"/>
                <w:sz w:val="24"/>
                <w:szCs w:val="24"/>
              </w:rPr>
            </w:pPr>
          </w:p>
        </w:tc>
        <w:tc>
          <w:tcPr>
            <w:tcW w:w="1796" w:type="dxa"/>
          </w:tcPr>
          <w:p>
            <w:pPr>
              <w:pStyle w:val="17"/>
              <w:numPr>
                <w:ilvl w:val="0"/>
                <w:numId w:val="1"/>
              </w:numPr>
              <w:rPr>
                <w:rFonts w:ascii="Times New Roman" w:hAnsi="Times New Roman"/>
                <w:kern w:val="0"/>
                <w:sz w:val="24"/>
                <w:szCs w:val="24"/>
              </w:rPr>
            </w:pPr>
            <w:r>
              <w:rPr>
                <w:rFonts w:hint="eastAsia" w:ascii="Times New Roman" w:hAnsi="Times New Roman"/>
                <w:kern w:val="0"/>
                <w:sz w:val="24"/>
                <w:szCs w:val="24"/>
              </w:rPr>
              <w:t>Pactiv</w:t>
            </w:r>
          </w:p>
        </w:tc>
        <w:tc>
          <w:tcPr>
            <w:tcW w:w="5155" w:type="dxa"/>
          </w:tcPr>
          <w:p>
            <w:pPr>
              <w:widowControl/>
              <w:snapToGrid w:val="0"/>
              <w:rPr>
                <w:rFonts w:ascii="Times New Roman" w:hAnsi="Times New Roman"/>
                <w:kern w:val="0"/>
                <w:sz w:val="24"/>
                <w:szCs w:val="24"/>
              </w:rPr>
            </w:pPr>
            <w:r>
              <w:rPr>
                <w:rFonts w:hint="eastAsia" w:ascii="Times New Roman" w:hAnsi="Times New Roman"/>
                <w:kern w:val="0"/>
                <w:sz w:val="24"/>
                <w:szCs w:val="24"/>
              </w:rPr>
              <w:t>Pactiv于2006年5月30日成立于美国。Pactiv主要从事包装业务。</w:t>
            </w:r>
          </w:p>
          <w:p>
            <w:pPr>
              <w:widowControl/>
              <w:snapToGrid w:val="0"/>
              <w:rPr>
                <w:rFonts w:ascii="Times New Roman" w:hAnsi="Times New Roman"/>
                <w:kern w:val="0"/>
                <w:sz w:val="24"/>
                <w:szCs w:val="24"/>
              </w:rPr>
            </w:pPr>
            <w:r>
              <w:rPr>
                <w:rFonts w:hint="eastAsia" w:ascii="Times New Roman" w:hAnsi="Times New Roman"/>
                <w:kern w:val="0"/>
                <w:sz w:val="24"/>
                <w:szCs w:val="24"/>
              </w:rPr>
              <w:t>Pactiv的最终控制人为自然人。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8" w:type="dxa"/>
            <w:vMerge w:val="restart"/>
            <w:shd w:val="clear" w:color="auto" w:fill="D9D9D9"/>
            <w:vAlign w:val="center"/>
          </w:tcPr>
          <w:p>
            <w:pPr>
              <w:jc w:val="center"/>
              <w:rPr>
                <w:rFonts w:ascii="Times New Roman" w:hAnsi="Times New Roman"/>
                <w:b/>
                <w:kern w:val="0"/>
                <w:sz w:val="24"/>
                <w:szCs w:val="24"/>
              </w:rPr>
            </w:pPr>
            <w:r>
              <w:rPr>
                <w:rFonts w:ascii="Times New Roman" w:hAnsi="Times New Roman"/>
                <w:b/>
                <w:kern w:val="0"/>
                <w:sz w:val="24"/>
                <w:szCs w:val="24"/>
              </w:rPr>
              <w:t>简易案件理由（可以单选，也可以多选）</w:t>
            </w:r>
          </w:p>
        </w:tc>
        <w:tc>
          <w:tcPr>
            <w:tcW w:w="6951" w:type="dxa"/>
            <w:gridSpan w:val="2"/>
          </w:tcPr>
          <w:p>
            <w:pPr>
              <w:rPr>
                <w:rFonts w:ascii="Times New Roman" w:hAnsi="Times New Roman"/>
                <w:kern w:val="0"/>
                <w:sz w:val="24"/>
                <w:szCs w:val="24"/>
              </w:rPr>
            </w:pPr>
            <w:r>
              <w:rPr>
                <w:rFonts w:ascii="Times New Roman" w:hAnsi="Times New Roman"/>
                <w:kern w:val="0"/>
                <w:sz w:val="24"/>
                <w:szCs w:val="24"/>
              </w:rPr>
              <w:t>□1.在同一相关市场，所有参与集中的经营者所占市场份额之和小于15%。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8" w:type="dxa"/>
            <w:vMerge w:val="continue"/>
            <w:shd w:val="clear" w:color="auto" w:fill="D9D9D9"/>
            <w:vAlign w:val="center"/>
          </w:tcPr>
          <w:p>
            <w:pPr>
              <w:jc w:val="center"/>
              <w:rPr>
                <w:rFonts w:ascii="Times New Roman" w:hAnsi="Times New Roman"/>
                <w:b/>
                <w:kern w:val="0"/>
                <w:sz w:val="24"/>
                <w:szCs w:val="24"/>
              </w:rPr>
            </w:pPr>
          </w:p>
        </w:tc>
        <w:tc>
          <w:tcPr>
            <w:tcW w:w="6951" w:type="dxa"/>
            <w:gridSpan w:val="2"/>
          </w:tcPr>
          <w:p>
            <w:pPr>
              <w:rPr>
                <w:rFonts w:ascii="Times New Roman" w:hAnsi="Times New Roman"/>
                <w:kern w:val="0"/>
                <w:sz w:val="24"/>
                <w:szCs w:val="24"/>
              </w:rPr>
            </w:pPr>
            <w:r>
              <w:rPr>
                <w:rFonts w:ascii="Times New Roman" w:hAnsi="Times New Roman"/>
                <w:kern w:val="0"/>
                <w:sz w:val="24"/>
                <w:szCs w:val="24"/>
              </w:rPr>
              <w:t>□2.存在上下游关系的参与集中的经营者，在上下游市场所占的市场份额均小于25%。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8" w:type="dxa"/>
            <w:vMerge w:val="continue"/>
            <w:shd w:val="clear" w:color="auto" w:fill="D9D9D9"/>
            <w:vAlign w:val="center"/>
          </w:tcPr>
          <w:p>
            <w:pPr>
              <w:jc w:val="center"/>
              <w:rPr>
                <w:rFonts w:ascii="Times New Roman" w:hAnsi="Times New Roman"/>
                <w:b/>
                <w:kern w:val="0"/>
                <w:sz w:val="24"/>
                <w:szCs w:val="24"/>
              </w:rPr>
            </w:pPr>
          </w:p>
        </w:tc>
        <w:tc>
          <w:tcPr>
            <w:tcW w:w="6951" w:type="dxa"/>
            <w:gridSpan w:val="2"/>
          </w:tcPr>
          <w:p>
            <w:pPr>
              <w:rPr>
                <w:rFonts w:ascii="Times New Roman" w:hAnsi="Times New Roman"/>
                <w:kern w:val="0"/>
                <w:sz w:val="24"/>
                <w:szCs w:val="24"/>
              </w:rPr>
            </w:pPr>
            <w:r>
              <w:rPr>
                <w:rFonts w:ascii="Times New Roman" w:hAnsi="Times New Roman"/>
                <w:kern w:val="0"/>
                <w:sz w:val="24"/>
                <w:szCs w:val="24"/>
              </w:rPr>
              <w:t>□3.不在同一相关市场、也不存在上下游关系的参与集中的经营者，在与交易有关的每个市场所占的份额均小于25%。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8" w:type="dxa"/>
            <w:vMerge w:val="continue"/>
            <w:shd w:val="clear" w:color="auto" w:fill="D9D9D9"/>
            <w:vAlign w:val="center"/>
          </w:tcPr>
          <w:p>
            <w:pPr>
              <w:jc w:val="center"/>
              <w:rPr>
                <w:rFonts w:ascii="Times New Roman" w:hAnsi="Times New Roman"/>
                <w:b/>
                <w:kern w:val="0"/>
                <w:sz w:val="24"/>
                <w:szCs w:val="24"/>
              </w:rPr>
            </w:pPr>
          </w:p>
        </w:tc>
        <w:tc>
          <w:tcPr>
            <w:tcW w:w="6951" w:type="dxa"/>
            <w:gridSpan w:val="2"/>
          </w:tcPr>
          <w:p>
            <w:pPr>
              <w:rPr>
                <w:rFonts w:ascii="Times New Roman" w:hAnsi="Times New Roman"/>
                <w:kern w:val="0"/>
                <w:sz w:val="24"/>
                <w:szCs w:val="24"/>
              </w:rPr>
            </w:pPr>
            <w:r>
              <w:rPr>
                <w:rFonts w:ascii="Times New Roman" w:hAnsi="Times New Roman"/>
                <w:kern w:val="0"/>
                <w:sz w:val="24"/>
                <w:szCs w:val="24"/>
              </w:rPr>
              <w:t>□4.参与集中的经营者在中国境外设立合营企业，合营企业不在中国境内从事经济活动。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8" w:type="dxa"/>
            <w:vMerge w:val="continue"/>
            <w:shd w:val="clear" w:color="auto" w:fill="D9D9D9"/>
            <w:vAlign w:val="center"/>
          </w:tcPr>
          <w:p>
            <w:pPr>
              <w:jc w:val="center"/>
              <w:rPr>
                <w:rFonts w:ascii="Times New Roman" w:hAnsi="Times New Roman"/>
                <w:b/>
                <w:kern w:val="0"/>
                <w:sz w:val="24"/>
                <w:szCs w:val="24"/>
              </w:rPr>
            </w:pPr>
          </w:p>
        </w:tc>
        <w:tc>
          <w:tcPr>
            <w:tcW w:w="6951" w:type="dxa"/>
            <w:gridSpan w:val="2"/>
          </w:tcPr>
          <w:p>
            <w:pPr>
              <w:rPr>
                <w:rFonts w:ascii="Times New Roman" w:hAnsi="Times New Roman"/>
                <w:kern w:val="0"/>
                <w:sz w:val="24"/>
                <w:szCs w:val="24"/>
              </w:rPr>
            </w:pPr>
            <w:r>
              <w:rPr>
                <w:rFonts w:ascii="Times New Roman" w:hAnsi="Times New Roman"/>
                <w:sz w:val="24"/>
                <w:szCs w:val="24"/>
              </w:rPr>
              <w:sym w:font="Wingdings" w:char="F0FE"/>
            </w:r>
            <w:r>
              <w:rPr>
                <w:rFonts w:ascii="Times New Roman" w:hAnsi="Times New Roman"/>
                <w:kern w:val="0"/>
                <w:sz w:val="24"/>
                <w:szCs w:val="24"/>
              </w:rPr>
              <w:t>5.参与集中的经营者收购境外企业股权或资产的，该境外企业不在中国境内从事经济活动。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8" w:type="dxa"/>
            <w:vMerge w:val="continue"/>
            <w:shd w:val="clear" w:color="auto" w:fill="D9D9D9"/>
            <w:vAlign w:val="center"/>
          </w:tcPr>
          <w:p>
            <w:pPr>
              <w:jc w:val="center"/>
              <w:rPr>
                <w:rFonts w:ascii="Times New Roman" w:hAnsi="Times New Roman"/>
                <w:b/>
                <w:kern w:val="0"/>
                <w:sz w:val="24"/>
                <w:szCs w:val="24"/>
              </w:rPr>
            </w:pPr>
          </w:p>
        </w:tc>
        <w:tc>
          <w:tcPr>
            <w:tcW w:w="6951" w:type="dxa"/>
            <w:gridSpan w:val="2"/>
          </w:tcPr>
          <w:p>
            <w:pPr>
              <w:rPr>
                <w:rFonts w:ascii="Times New Roman" w:hAnsi="Times New Roman"/>
                <w:kern w:val="0"/>
                <w:sz w:val="24"/>
                <w:szCs w:val="24"/>
              </w:rPr>
            </w:pPr>
            <w:r>
              <w:rPr>
                <w:rFonts w:ascii="Times New Roman" w:hAnsi="Times New Roman"/>
                <w:kern w:val="0"/>
                <w:sz w:val="24"/>
                <w:szCs w:val="24"/>
              </w:rPr>
              <w:t>□6.由两个以上的经营者共同控制的合营企业，通过集中被其中一个或一个以上经营者控制。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8" w:type="dxa"/>
            <w:shd w:val="clear" w:color="auto" w:fill="D9D9D9"/>
            <w:vAlign w:val="center"/>
          </w:tcPr>
          <w:p>
            <w:pPr>
              <w:jc w:val="center"/>
              <w:rPr>
                <w:rFonts w:ascii="Times New Roman" w:hAnsi="Times New Roman"/>
                <w:b/>
                <w:kern w:val="0"/>
                <w:sz w:val="24"/>
                <w:szCs w:val="24"/>
              </w:rPr>
            </w:pPr>
            <w:r>
              <w:rPr>
                <w:rFonts w:ascii="Times New Roman" w:hAnsi="Times New Roman"/>
                <w:b/>
                <w:kern w:val="0"/>
                <w:sz w:val="24"/>
                <w:szCs w:val="24"/>
              </w:rPr>
              <w:t>备注</w:t>
            </w:r>
          </w:p>
        </w:tc>
        <w:tc>
          <w:tcPr>
            <w:tcW w:w="6951" w:type="dxa"/>
            <w:gridSpan w:val="2"/>
          </w:tcPr>
          <w:p>
            <w:pPr>
              <w:adjustRightInd w:val="0"/>
              <w:snapToGrid w:val="0"/>
              <w:rPr>
                <w:rFonts w:ascii="Times New Roman" w:hAnsi="Times New Roman"/>
                <w:kern w:val="0"/>
                <w:sz w:val="24"/>
                <w:szCs w:val="24"/>
              </w:rPr>
            </w:pPr>
            <w:r>
              <w:rPr>
                <w:rFonts w:hint="eastAsia" w:ascii="Times New Roman" w:hAnsi="Times New Roman"/>
                <w:kern w:val="0"/>
                <w:sz w:val="24"/>
                <w:szCs w:val="24"/>
              </w:rPr>
              <w:t>不适用</w:t>
            </w:r>
          </w:p>
        </w:tc>
      </w:tr>
    </w:tbl>
    <w:p>
      <w:pPr>
        <w:rPr>
          <w:rFonts w:hint="eastAsia" w:ascii="仿宋" w:hAnsi="仿宋" w:eastAsia="仿宋"/>
          <w:sz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7E22F4"/>
    <w:multiLevelType w:val="multilevel"/>
    <w:tmpl w:val="637E22F4"/>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0DF"/>
    <w:rsid w:val="00007B3D"/>
    <w:rsid w:val="00037065"/>
    <w:rsid w:val="0005108B"/>
    <w:rsid w:val="00054C40"/>
    <w:rsid w:val="00063F6B"/>
    <w:rsid w:val="00073539"/>
    <w:rsid w:val="000A002F"/>
    <w:rsid w:val="000A319E"/>
    <w:rsid w:val="000B2201"/>
    <w:rsid w:val="000B2B29"/>
    <w:rsid w:val="000C0D78"/>
    <w:rsid w:val="000C2D55"/>
    <w:rsid w:val="000C523A"/>
    <w:rsid w:val="000D3C4C"/>
    <w:rsid w:val="000D7EBA"/>
    <w:rsid w:val="000F73E1"/>
    <w:rsid w:val="00103516"/>
    <w:rsid w:val="001037C9"/>
    <w:rsid w:val="00110DA6"/>
    <w:rsid w:val="001164CD"/>
    <w:rsid w:val="00120CC0"/>
    <w:rsid w:val="00132F1E"/>
    <w:rsid w:val="0015349B"/>
    <w:rsid w:val="001536A8"/>
    <w:rsid w:val="00155717"/>
    <w:rsid w:val="0015705B"/>
    <w:rsid w:val="0017489C"/>
    <w:rsid w:val="001837A3"/>
    <w:rsid w:val="001870FC"/>
    <w:rsid w:val="00196623"/>
    <w:rsid w:val="00197BEF"/>
    <w:rsid w:val="001A1C49"/>
    <w:rsid w:val="001A6A6D"/>
    <w:rsid w:val="001B33C7"/>
    <w:rsid w:val="001B54DF"/>
    <w:rsid w:val="00217F2C"/>
    <w:rsid w:val="00233983"/>
    <w:rsid w:val="00234B63"/>
    <w:rsid w:val="00235C21"/>
    <w:rsid w:val="00242B78"/>
    <w:rsid w:val="002449BB"/>
    <w:rsid w:val="00255584"/>
    <w:rsid w:val="002654D7"/>
    <w:rsid w:val="00266C22"/>
    <w:rsid w:val="00272976"/>
    <w:rsid w:val="00273259"/>
    <w:rsid w:val="002732F8"/>
    <w:rsid w:val="00275810"/>
    <w:rsid w:val="00277AB6"/>
    <w:rsid w:val="0028574E"/>
    <w:rsid w:val="00295290"/>
    <w:rsid w:val="002973FE"/>
    <w:rsid w:val="002A36AE"/>
    <w:rsid w:val="002B57D1"/>
    <w:rsid w:val="002B5F67"/>
    <w:rsid w:val="002B683A"/>
    <w:rsid w:val="002C5D96"/>
    <w:rsid w:val="002C7679"/>
    <w:rsid w:val="002E18AC"/>
    <w:rsid w:val="002E1DAC"/>
    <w:rsid w:val="002E33C9"/>
    <w:rsid w:val="0030042A"/>
    <w:rsid w:val="003100B5"/>
    <w:rsid w:val="00311FE2"/>
    <w:rsid w:val="00330CB0"/>
    <w:rsid w:val="00334DEC"/>
    <w:rsid w:val="003350DC"/>
    <w:rsid w:val="003553FF"/>
    <w:rsid w:val="00375C13"/>
    <w:rsid w:val="003831DA"/>
    <w:rsid w:val="003835DB"/>
    <w:rsid w:val="00387FF4"/>
    <w:rsid w:val="0039336B"/>
    <w:rsid w:val="003A7257"/>
    <w:rsid w:val="003B6B0E"/>
    <w:rsid w:val="003C0AEB"/>
    <w:rsid w:val="003E5CFC"/>
    <w:rsid w:val="003F3223"/>
    <w:rsid w:val="004015A2"/>
    <w:rsid w:val="004105D5"/>
    <w:rsid w:val="00414C0A"/>
    <w:rsid w:val="004320D2"/>
    <w:rsid w:val="004447BE"/>
    <w:rsid w:val="004471FD"/>
    <w:rsid w:val="00465B57"/>
    <w:rsid w:val="00481614"/>
    <w:rsid w:val="004A73CB"/>
    <w:rsid w:val="004F7688"/>
    <w:rsid w:val="00503865"/>
    <w:rsid w:val="00510BD7"/>
    <w:rsid w:val="005113D0"/>
    <w:rsid w:val="005214E6"/>
    <w:rsid w:val="005217D3"/>
    <w:rsid w:val="00523F38"/>
    <w:rsid w:val="005330FE"/>
    <w:rsid w:val="00537870"/>
    <w:rsid w:val="005413AE"/>
    <w:rsid w:val="00560025"/>
    <w:rsid w:val="00562593"/>
    <w:rsid w:val="00564696"/>
    <w:rsid w:val="00567A70"/>
    <w:rsid w:val="0057312C"/>
    <w:rsid w:val="00576E31"/>
    <w:rsid w:val="005A4EF5"/>
    <w:rsid w:val="005A4F19"/>
    <w:rsid w:val="005B3468"/>
    <w:rsid w:val="005D405B"/>
    <w:rsid w:val="005D58EF"/>
    <w:rsid w:val="005E13AC"/>
    <w:rsid w:val="00604F8D"/>
    <w:rsid w:val="006467D8"/>
    <w:rsid w:val="00650F8F"/>
    <w:rsid w:val="0065168B"/>
    <w:rsid w:val="0068378F"/>
    <w:rsid w:val="00684825"/>
    <w:rsid w:val="00687CDD"/>
    <w:rsid w:val="006944B1"/>
    <w:rsid w:val="006A531B"/>
    <w:rsid w:val="006B110F"/>
    <w:rsid w:val="006C3FE7"/>
    <w:rsid w:val="006C5467"/>
    <w:rsid w:val="006E4CD7"/>
    <w:rsid w:val="006F180B"/>
    <w:rsid w:val="006F2A8E"/>
    <w:rsid w:val="006F65B5"/>
    <w:rsid w:val="006F7693"/>
    <w:rsid w:val="00710140"/>
    <w:rsid w:val="00726E5D"/>
    <w:rsid w:val="00743EDC"/>
    <w:rsid w:val="00793469"/>
    <w:rsid w:val="007A4192"/>
    <w:rsid w:val="007B2EC9"/>
    <w:rsid w:val="007C1A3F"/>
    <w:rsid w:val="007C4F9E"/>
    <w:rsid w:val="007D3F47"/>
    <w:rsid w:val="007F2275"/>
    <w:rsid w:val="007F789D"/>
    <w:rsid w:val="008247CB"/>
    <w:rsid w:val="00832C56"/>
    <w:rsid w:val="008626E7"/>
    <w:rsid w:val="008809CF"/>
    <w:rsid w:val="0088483F"/>
    <w:rsid w:val="00885236"/>
    <w:rsid w:val="008854C2"/>
    <w:rsid w:val="00891224"/>
    <w:rsid w:val="008A54DA"/>
    <w:rsid w:val="008B0B20"/>
    <w:rsid w:val="008B61F7"/>
    <w:rsid w:val="008B65E9"/>
    <w:rsid w:val="008B7F93"/>
    <w:rsid w:val="008D0F12"/>
    <w:rsid w:val="008D4276"/>
    <w:rsid w:val="008D6E9E"/>
    <w:rsid w:val="008F6C04"/>
    <w:rsid w:val="00915F0F"/>
    <w:rsid w:val="0092370F"/>
    <w:rsid w:val="00932924"/>
    <w:rsid w:val="009362DE"/>
    <w:rsid w:val="00950B41"/>
    <w:rsid w:val="009532DF"/>
    <w:rsid w:val="00973928"/>
    <w:rsid w:val="0098127F"/>
    <w:rsid w:val="00986DC2"/>
    <w:rsid w:val="00997019"/>
    <w:rsid w:val="009A5029"/>
    <w:rsid w:val="009B4582"/>
    <w:rsid w:val="009C03E0"/>
    <w:rsid w:val="009C0FE0"/>
    <w:rsid w:val="009D38D5"/>
    <w:rsid w:val="009D42E3"/>
    <w:rsid w:val="00A058A6"/>
    <w:rsid w:val="00A11723"/>
    <w:rsid w:val="00A32A05"/>
    <w:rsid w:val="00A34A10"/>
    <w:rsid w:val="00A35DE7"/>
    <w:rsid w:val="00A53F26"/>
    <w:rsid w:val="00A619F9"/>
    <w:rsid w:val="00A63221"/>
    <w:rsid w:val="00A7363A"/>
    <w:rsid w:val="00AA0CC5"/>
    <w:rsid w:val="00AE113D"/>
    <w:rsid w:val="00AE1A43"/>
    <w:rsid w:val="00AF0C15"/>
    <w:rsid w:val="00AF62B1"/>
    <w:rsid w:val="00AF63EE"/>
    <w:rsid w:val="00AF75CD"/>
    <w:rsid w:val="00AF7EA3"/>
    <w:rsid w:val="00B13917"/>
    <w:rsid w:val="00B15499"/>
    <w:rsid w:val="00B16AFE"/>
    <w:rsid w:val="00B17D8D"/>
    <w:rsid w:val="00B34F4D"/>
    <w:rsid w:val="00B400A3"/>
    <w:rsid w:val="00B50BA3"/>
    <w:rsid w:val="00B50CC0"/>
    <w:rsid w:val="00B5126E"/>
    <w:rsid w:val="00B65DD5"/>
    <w:rsid w:val="00B76152"/>
    <w:rsid w:val="00B87731"/>
    <w:rsid w:val="00BA20D8"/>
    <w:rsid w:val="00BA482A"/>
    <w:rsid w:val="00BD10B6"/>
    <w:rsid w:val="00BE3DAC"/>
    <w:rsid w:val="00BF69D0"/>
    <w:rsid w:val="00C06697"/>
    <w:rsid w:val="00C07076"/>
    <w:rsid w:val="00C106C1"/>
    <w:rsid w:val="00C10954"/>
    <w:rsid w:val="00C13588"/>
    <w:rsid w:val="00C25985"/>
    <w:rsid w:val="00C315A0"/>
    <w:rsid w:val="00C4578B"/>
    <w:rsid w:val="00C64FB3"/>
    <w:rsid w:val="00C7117A"/>
    <w:rsid w:val="00C7302E"/>
    <w:rsid w:val="00C90639"/>
    <w:rsid w:val="00CB00DF"/>
    <w:rsid w:val="00CB01A8"/>
    <w:rsid w:val="00CC3383"/>
    <w:rsid w:val="00CC50A4"/>
    <w:rsid w:val="00CE7A3C"/>
    <w:rsid w:val="00D05E36"/>
    <w:rsid w:val="00D1081C"/>
    <w:rsid w:val="00D32C2E"/>
    <w:rsid w:val="00D36BD6"/>
    <w:rsid w:val="00D40EBF"/>
    <w:rsid w:val="00D459A6"/>
    <w:rsid w:val="00D51CC2"/>
    <w:rsid w:val="00D51FFC"/>
    <w:rsid w:val="00D5324F"/>
    <w:rsid w:val="00D62EF7"/>
    <w:rsid w:val="00D66C3B"/>
    <w:rsid w:val="00D67DD5"/>
    <w:rsid w:val="00D73C72"/>
    <w:rsid w:val="00D75100"/>
    <w:rsid w:val="00D8320D"/>
    <w:rsid w:val="00D92F35"/>
    <w:rsid w:val="00D93BC6"/>
    <w:rsid w:val="00DA6756"/>
    <w:rsid w:val="00DB2550"/>
    <w:rsid w:val="00DB3909"/>
    <w:rsid w:val="00DE1693"/>
    <w:rsid w:val="00DE4C6C"/>
    <w:rsid w:val="00DE708D"/>
    <w:rsid w:val="00E0592B"/>
    <w:rsid w:val="00E07C28"/>
    <w:rsid w:val="00E2429D"/>
    <w:rsid w:val="00E31738"/>
    <w:rsid w:val="00E54870"/>
    <w:rsid w:val="00E54B19"/>
    <w:rsid w:val="00E54EA4"/>
    <w:rsid w:val="00E575B1"/>
    <w:rsid w:val="00E611A9"/>
    <w:rsid w:val="00E7566E"/>
    <w:rsid w:val="00E819E5"/>
    <w:rsid w:val="00E83764"/>
    <w:rsid w:val="00E86786"/>
    <w:rsid w:val="00E91CD2"/>
    <w:rsid w:val="00E92968"/>
    <w:rsid w:val="00EA2A57"/>
    <w:rsid w:val="00EB0260"/>
    <w:rsid w:val="00EB1662"/>
    <w:rsid w:val="00EB35C8"/>
    <w:rsid w:val="00EB6127"/>
    <w:rsid w:val="00ED1BCF"/>
    <w:rsid w:val="00ED2F37"/>
    <w:rsid w:val="00ED2F80"/>
    <w:rsid w:val="00ED32E9"/>
    <w:rsid w:val="00EE75A2"/>
    <w:rsid w:val="00F1624E"/>
    <w:rsid w:val="00F17175"/>
    <w:rsid w:val="00F23B44"/>
    <w:rsid w:val="00F31D4E"/>
    <w:rsid w:val="00F3260E"/>
    <w:rsid w:val="00F32F8A"/>
    <w:rsid w:val="00F5728B"/>
    <w:rsid w:val="00F60070"/>
    <w:rsid w:val="00F666A5"/>
    <w:rsid w:val="00F810AA"/>
    <w:rsid w:val="00F847EF"/>
    <w:rsid w:val="00F9171F"/>
    <w:rsid w:val="00FB12F8"/>
    <w:rsid w:val="00FB43EC"/>
    <w:rsid w:val="00FB6B40"/>
    <w:rsid w:val="00FC638C"/>
    <w:rsid w:val="00FC78FE"/>
    <w:rsid w:val="00FC7B55"/>
    <w:rsid w:val="00FD11CA"/>
    <w:rsid w:val="00FD78FE"/>
    <w:rsid w:val="00FE0CE9"/>
    <w:rsid w:val="00FE2280"/>
    <w:rsid w:val="00FE5BDB"/>
    <w:rsid w:val="00FF20BA"/>
    <w:rsid w:val="00FF3A03"/>
    <w:rsid w:val="00FF6B5A"/>
    <w:rsid w:val="3FEAE7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rFonts w:ascii="Calibri" w:hAnsi="Calibri" w:eastAsia="宋体" w:cs="Times New Roman"/>
      <w:sz w:val="18"/>
      <w:szCs w:val="18"/>
    </w:rPr>
  </w:style>
  <w:style w:type="character" w:customStyle="1" w:styleId="12">
    <w:name w:val="页脚 字符"/>
    <w:basedOn w:val="9"/>
    <w:link w:val="4"/>
    <w:qFormat/>
    <w:uiPriority w:val="99"/>
    <w:rPr>
      <w:rFonts w:ascii="Calibri" w:hAnsi="Calibri" w:eastAsia="宋体" w:cs="Times New Roman"/>
      <w:sz w:val="18"/>
      <w:szCs w:val="18"/>
    </w:rPr>
  </w:style>
  <w:style w:type="character" w:customStyle="1" w:styleId="13">
    <w:name w:val="批注框文本 字符"/>
    <w:basedOn w:val="9"/>
    <w:link w:val="3"/>
    <w:semiHidden/>
    <w:qFormat/>
    <w:uiPriority w:val="99"/>
    <w:rPr>
      <w:rFonts w:ascii="Calibri" w:hAnsi="Calibri" w:eastAsia="宋体" w:cs="Times New Roman"/>
      <w:sz w:val="18"/>
      <w:szCs w:val="18"/>
    </w:rPr>
  </w:style>
  <w:style w:type="character" w:customStyle="1" w:styleId="14">
    <w:name w:val="批注文字 字符"/>
    <w:basedOn w:val="9"/>
    <w:link w:val="2"/>
    <w:semiHidden/>
    <w:qFormat/>
    <w:uiPriority w:val="99"/>
    <w:rPr>
      <w:rFonts w:ascii="Calibri" w:hAnsi="Calibri" w:eastAsia="宋体" w:cs="Times New Roman"/>
    </w:rPr>
  </w:style>
  <w:style w:type="character" w:customStyle="1" w:styleId="15">
    <w:name w:val="批注主题 字符"/>
    <w:basedOn w:val="14"/>
    <w:link w:val="6"/>
    <w:semiHidden/>
    <w:qFormat/>
    <w:uiPriority w:val="99"/>
    <w:rPr>
      <w:rFonts w:ascii="Calibri" w:hAnsi="Calibri" w:eastAsia="宋体" w:cs="Times New Roman"/>
      <w:b/>
      <w:bCs/>
    </w:rPr>
  </w:style>
  <w:style w:type="paragraph" w:customStyle="1" w:styleId="16">
    <w:name w:val="Revision"/>
    <w:hidden/>
    <w:semiHidden/>
    <w:qFormat/>
    <w:uiPriority w:val="99"/>
    <w:rPr>
      <w:rFonts w:ascii="Calibri" w:hAnsi="Calibri" w:eastAsia="宋体" w:cs="Times New Roman"/>
      <w:kern w:val="2"/>
      <w:sz w:val="21"/>
      <w:szCs w:val="22"/>
      <w:lang w:val="en-US" w:eastAsia="zh-CN" w:bidi="ar-SA"/>
    </w:rPr>
  </w:style>
  <w:style w:type="paragraph" w:styleId="1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182</Words>
  <Characters>1042</Characters>
  <Lines>8</Lines>
  <Paragraphs>2</Paragraphs>
  <TotalTime>100</TotalTime>
  <ScaleCrop>false</ScaleCrop>
  <LinksUpToDate>false</LinksUpToDate>
  <CharactersWithSpaces>1222</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2023-12-13T15:49:00Z</dcterms:created>
  <dc:creator>Fangda</dc:creator>
  <cp:lastModifiedBy>oa</cp:lastModifiedBy>
  <cp:lastPrinted>2025-02-10T11:52:56Z</cp:lastPrinted>
  <dcterms:modified xsi:type="dcterms:W3CDTF">2025-02-10T11:52:58Z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ies>
</file>