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</w:p>
    <w:p>
      <w:pPr>
        <w:widowControl/>
        <w:spacing w:after="240" w:line="594" w:lineRule="exact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卓骏投资控股（长春）集团有限公司与伊思灵投资有限公司新设合营企业案</w:t>
            </w:r>
          </w:p>
        </w:tc>
      </w:tr>
      <w:tr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卓骏投资控股（长春）集团有限公司（“卓骏”）与伊思灵投资有限公司(“伊思灵”)签署协议，由双方共同出资建立合资公司卓骏费拉尔汽车零部件有限公司（“合营企业”）。合营企业主要从事乘用车座椅头枕、乘用车座椅扶手的生产和销售业务。合营企业设立后，卓骏将持有合营企业51％的股份，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伊思灵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将持有合营企业49％的股份，卓骏、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伊思灵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共同控制合营企业。</w:t>
            </w:r>
          </w:p>
        </w:tc>
      </w:tr>
      <w:tr>
        <w:trPr>
          <w:trHeight w:val="1561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卓骏投资控股（长春）集团有限公司</w:t>
            </w:r>
          </w:p>
        </w:tc>
        <w:tc>
          <w:tcPr>
            <w:tcW w:w="6093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卓骏</w:t>
            </w:r>
            <w:r>
              <w:rPr>
                <w:rFonts w:hint="eastAsia" w:ascii="宋体" w:hAnsi="宋体" w:cs="宋体"/>
                <w:lang w:val="en-US" w:eastAsia="zh-CN"/>
              </w:rPr>
              <w:t>于2018年4月13日成立于吉林省长春市，主要业务为汽车零部件（包括汽车内外饰、汽车座椅、汽车座椅头枕扶手等）的研发及生产。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卓骏</w:t>
            </w:r>
            <w:r>
              <w:rPr>
                <w:rFonts w:hint="eastAsia" w:ascii="宋体" w:hAnsi="宋体" w:cs="宋体"/>
                <w:lang w:val="en-US" w:eastAsia="zh-CN"/>
              </w:rPr>
              <w:t>的最终控制人为富晟控股（长春）集团有限公司，主要业务为企业管理、汽车零部件研发及生产。</w:t>
            </w:r>
          </w:p>
        </w:tc>
      </w:tr>
      <w:tr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eastAsia="zh-CN"/>
              </w:rPr>
              <w:t>伊思灵投资有限公司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伊思灵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于2006年10月20日成立于德国莱姆戈市，主要业务为汽车座椅系统和其它部件的生产和销售等。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伊思灵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的最终控制人为AUNDE Group SE，旗下拥有AUNDE、ISRI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NGHAUSEN和FEHRER三个知名品牌。AUNDE Group SE的主要业务为个性化设计、技术创意，以及交付具有相应认证的工业用纺织品和室内装潢材料等。</w:t>
            </w:r>
          </w:p>
        </w:tc>
      </w:tr>
      <w:tr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rPr>
          <w:trHeight w:val="626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2023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年中国乘用车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座椅市场：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卓骏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%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伊思灵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%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各方合计：0-5%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纵向关联：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上游：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2023年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中国乘用车座椅头枕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市场：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伊思灵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%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2023年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中国乘用车座椅扶手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市场：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伊思灵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%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</w:p>
          <w:p>
            <w:pPr>
              <w:pStyle w:val="7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下游：2023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年中国乘用车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座椅市场：</w:t>
            </w:r>
          </w:p>
          <w:p>
            <w:pPr>
              <w:pStyle w:val="7"/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如上</w:t>
            </w:r>
          </w:p>
        </w:tc>
      </w:tr>
    </w:tbl>
    <w:p/>
    <w:sectPr>
      <w:endnotePr>
        <w:numFmt w:val="decimal"/>
      </w:endnotePr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altName w:val="汉仪中黑KW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汉仪楷体简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楷体_GBK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plified Arabic">
    <w:altName w:val="苹方-简"/>
    <w:panose1 w:val="00000000000000000000"/>
    <w:charset w:val="00"/>
    <w:family w:val="roman"/>
    <w:pitch w:val="default"/>
    <w:sig w:usb0="00000000" w:usb1="00000000" w:usb2="00000000" w:usb3="00000000" w:csb0="00000041" w:csb1="200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DD792"/>
    <w:rsid w:val="00060346"/>
    <w:rsid w:val="00123504"/>
    <w:rsid w:val="001E0224"/>
    <w:rsid w:val="0055256F"/>
    <w:rsid w:val="26FDA65D"/>
    <w:rsid w:val="34EE167F"/>
    <w:rsid w:val="3BBF0E71"/>
    <w:rsid w:val="3FFA0F11"/>
    <w:rsid w:val="3FFF4FE4"/>
    <w:rsid w:val="49659447"/>
    <w:rsid w:val="57DFE2DA"/>
    <w:rsid w:val="5DFE07E1"/>
    <w:rsid w:val="5EFF6EE0"/>
    <w:rsid w:val="6C729842"/>
    <w:rsid w:val="6DCE17EB"/>
    <w:rsid w:val="6FBDD792"/>
    <w:rsid w:val="6FBF2787"/>
    <w:rsid w:val="72AF5189"/>
    <w:rsid w:val="73D70891"/>
    <w:rsid w:val="74D42207"/>
    <w:rsid w:val="74FBB59D"/>
    <w:rsid w:val="75BFD581"/>
    <w:rsid w:val="76FE3A0F"/>
    <w:rsid w:val="77EE0E13"/>
    <w:rsid w:val="77FF8DDA"/>
    <w:rsid w:val="7D73D7AF"/>
    <w:rsid w:val="7DB79FE0"/>
    <w:rsid w:val="7FDDA554"/>
    <w:rsid w:val="7FEF3501"/>
    <w:rsid w:val="7FFFB329"/>
    <w:rsid w:val="9BFEC810"/>
    <w:rsid w:val="9CFB5005"/>
    <w:rsid w:val="9F9DCBBF"/>
    <w:rsid w:val="BC3517BA"/>
    <w:rsid w:val="C3ABD7D4"/>
    <w:rsid w:val="DB9F9FB3"/>
    <w:rsid w:val="DBFD595B"/>
    <w:rsid w:val="DFBC2832"/>
    <w:rsid w:val="EF9DB304"/>
    <w:rsid w:val="EFF787F1"/>
    <w:rsid w:val="F0CF0FA1"/>
    <w:rsid w:val="F6DFF95F"/>
    <w:rsid w:val="F7BD343A"/>
    <w:rsid w:val="F7FB951E"/>
    <w:rsid w:val="FDDE182F"/>
    <w:rsid w:val="FE3453C2"/>
    <w:rsid w:val="FEE7C0FC"/>
    <w:rsid w:val="FEFED215"/>
    <w:rsid w:val="FEFF3882"/>
    <w:rsid w:val="FFFF7513"/>
    <w:rsid w:val="FFFFD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CESI黑体-GB2312" w:asciiTheme="minorHAnsi" w:hAnsiTheme="minorHAns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/>
      <w:jc w:val="center"/>
      <w:outlineLvl w:val="2"/>
    </w:pPr>
    <w:rPr>
      <w:rFonts w:eastAsia="CESI楷体-GB2312" w:asciiTheme="minorHAnsi" w:hAnsiTheme="minorHAnsi"/>
      <w:sz w:val="30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280" w:after="290"/>
      <w:jc w:val="left"/>
      <w:outlineLvl w:val="3"/>
    </w:pPr>
    <w:rPr>
      <w:rFonts w:ascii="Arial" w:hAnsi="Arial" w:eastAsia="方正楷体_GBK"/>
      <w:color w:val="C00000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qFormat/>
    <w:uiPriority w:val="0"/>
    <w:pPr>
      <w:spacing w:after="240"/>
      <w:jc w:val="both"/>
    </w:pPr>
    <w:rPr>
      <w:rFonts w:ascii="Times New Roman" w:hAnsi="Times New Roman" w:eastAsia="宋体" w:cs="Simplified Arabic"/>
      <w:sz w:val="24"/>
      <w:szCs w:val="24"/>
      <w:lang w:val="en-GB" w:eastAsia="en-GB" w:bidi="ar-AE"/>
    </w:rPr>
  </w:style>
  <w:style w:type="table" w:styleId="9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五"/>
    <w:basedOn w:val="6"/>
    <w:next w:val="1"/>
    <w:qFormat/>
    <w:uiPriority w:val="0"/>
    <w:rPr>
      <w:rFonts w:ascii="Arial" w:hAnsi="Arial" w:eastAsia="黑体" w:cs="Arial"/>
      <w:b w:val="0"/>
      <w:snapToGrid w:val="0"/>
      <w:color w:val="000000"/>
      <w:kern w:val="0"/>
      <w:sz w:val="21"/>
      <w:szCs w:val="21"/>
    </w:rPr>
  </w:style>
  <w:style w:type="character" w:customStyle="1" w:styleId="12">
    <w:name w:val="标题 4 字符"/>
    <w:link w:val="5"/>
    <w:qFormat/>
    <w:uiPriority w:val="0"/>
    <w:rPr>
      <w:rFonts w:ascii="Arial" w:hAnsi="Arial" w:eastAsia="方正楷体_GBK"/>
      <w:color w:val="C00000"/>
      <w:sz w:val="28"/>
    </w:rPr>
  </w:style>
  <w:style w:type="paragraph" w:customStyle="1" w:styleId="13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873</Characters>
  <Lines>7</Lines>
  <Paragraphs>2</Paragraphs>
  <TotalTime>0</TotalTime>
  <ScaleCrop>false</ScaleCrop>
  <LinksUpToDate>false</LinksUpToDate>
  <CharactersWithSpaces>1024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2024-12-31T10:26:00Z</dcterms:created>
  <dc:creator>顾正平</dc:creator>
  <cp:lastModifiedBy>Dany</cp:lastModifiedBy>
  <dcterms:modified xsi:type="dcterms:W3CDTF">2025-02-12T10:54:34Z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F5ADE7536B7528CE310DAC679C33836D_43</vt:lpwstr>
  </property>
</Properties>
</file>