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bookmarkStart w:id="4" w:name="_GoBack"/>
      <w:bookmarkEnd w:id="4"/>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大型游乐设施安全监察规定</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(2013年8月15日国家质量监督检验检疫总局令第154号公布　根据2021年4月2日国家市场监督管理总局令第38号第一次修订　　根据2025年3月18日国家市场监督管理总局令第101号第二次修订)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为了加强大型游乐设施安全监察工作，防止和减少事故，保障人身和财产安全，根据《中华人民共和国特种设备安全法》、《特种设备安全监察条例》，制定本规定。</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大型游乐设施的设计、制造、安装、改造、修理、使用、检验、检测及其监督检查，应当遵守本规定。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国家市场监督管理总局负责全国大型游乐设施安全监察工作的综合管理，县级以上地方市场监督管理部门负责本行政区域内大型游乐设施安全监察工作。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从事大型游乐设施设计文件鉴定、型式试验、监督检验、定期检验的特种设备检验机构，应当依法经核准，方可从事相应的活动，并对其鉴定结论、检验结果负责。</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大型游乐设施制造、安装、改造、修理单位应当依法取得许可后方可从事相应的活动，并对其制造、安装、改造、修理的大型游乐设施的安全性能负责。</w:t>
      </w:r>
    </w:p>
    <w:p>
      <w:pPr>
        <w:spacing w:line="240" w:lineRule="auto"/>
        <w:ind w:firstLine="640"/>
        <w:jc w:val="both"/>
      </w:pPr>
      <w:r>
        <w:rPr>
          <w:rFonts w:ascii="仿宋_GB2312" w:hAnsi="仿宋_GB2312" w:eastAsia="仿宋_GB2312" w:cs="仿宋_GB2312"/>
          <w:sz w:val="32"/>
        </w:rPr>
        <w:t>大型游乐设施运营使用单位对使用的大型游乐设施安全负责。</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鼓励推行大型游乐设施相关责任保险制度，提高事故应急处置和赔付能力。</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大型游乐设施设计、制造、安装</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制造单位应当对大型游乐设施的设计进行安全评价，提出安全风险防控措施。</w:t>
      </w:r>
    </w:p>
    <w:p>
      <w:pPr>
        <w:spacing w:line="240" w:lineRule="auto"/>
        <w:ind w:firstLine="640"/>
        <w:jc w:val="both"/>
      </w:pPr>
      <w:r>
        <w:rPr>
          <w:rFonts w:ascii="仿宋_GB2312" w:hAnsi="仿宋_GB2312" w:eastAsia="仿宋_GB2312" w:cs="仿宋_GB2312"/>
          <w:sz w:val="32"/>
        </w:rPr>
        <w:t>对首次使用的新技术，制造单位应当验证其安全性能。</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制造单位应当明示大型游乐设施整机、主要受力部件的设计使用期限。</w:t>
      </w:r>
    </w:p>
    <w:p>
      <w:pPr>
        <w:spacing w:line="240" w:lineRule="auto"/>
        <w:ind w:firstLine="640"/>
        <w:jc w:val="both"/>
      </w:pPr>
      <w:r>
        <w:rPr>
          <w:rFonts w:ascii="仿宋_GB2312" w:hAnsi="仿宋_GB2312" w:eastAsia="仿宋_GB2312" w:cs="仿宋_GB2312"/>
          <w:sz w:val="32"/>
        </w:rPr>
        <w:t>对在整机设计使用期限内需要检验、检测或更换的部件，应当设计为可拆卸结构；对不能设计为可拆卸结构的部件，其设计使用期限不得低于整机设计使用期限。</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大型游乐设施设计完成后，制造单位应当依法向特种设备检验机构申请设计文件鉴定。</w:t>
      </w:r>
    </w:p>
    <w:p>
      <w:pPr>
        <w:spacing w:line="240" w:lineRule="auto"/>
        <w:ind w:firstLine="640"/>
        <w:jc w:val="both"/>
      </w:pPr>
      <w:r>
        <w:rPr>
          <w:rFonts w:ascii="仿宋_GB2312" w:hAnsi="仿宋_GB2312" w:eastAsia="仿宋_GB2312" w:cs="仿宋_GB2312"/>
          <w:sz w:val="32"/>
        </w:rPr>
        <w:t>特种设备检验机构应当按照安全技术规范的要求进行设计文件鉴定。</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制造单位应当按照设计文件、标准、安全技术规范等要求进行制造。</w:t>
      </w:r>
    </w:p>
    <w:p>
      <w:pPr>
        <w:spacing w:line="240" w:lineRule="auto"/>
        <w:ind w:firstLine="640"/>
        <w:jc w:val="both"/>
      </w:pPr>
      <w:r>
        <w:rPr>
          <w:rFonts w:ascii="仿宋_GB2312" w:hAnsi="仿宋_GB2312" w:eastAsia="仿宋_GB2312" w:cs="仿宋_GB2312"/>
          <w:sz w:val="32"/>
        </w:rPr>
        <w:t>制造单位委托加工零部件或者外购零部件的，应当按照其质量体系的要求，加强质量控制并依法承担责任。</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按照安全技术规范的要求，应当进行型式试验的大型游乐设施或者试制大型游乐设施新产品，制造单位应当依法向特种设备检验机构申请进行型式试验。</w:t>
      </w:r>
    </w:p>
    <w:p>
      <w:pPr>
        <w:spacing w:line="240" w:lineRule="auto"/>
        <w:ind w:firstLine="640"/>
        <w:jc w:val="both"/>
      </w:pPr>
      <w:r>
        <w:rPr>
          <w:rFonts w:ascii="仿宋_GB2312" w:hAnsi="仿宋_GB2312" w:eastAsia="仿宋_GB2312" w:cs="仿宋_GB2312"/>
          <w:sz w:val="32"/>
        </w:rPr>
        <w:t>在申请型式试验之前，制造单位应当对试制的大型游乐设施新产品制定试验方案，进行安全性能试验和测试。</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大型游乐设施出厂时，应当附有主要受力部件质量合格证明、设计文件鉴定报告、安装及使用维护说明书等文件。移动式大型游乐设施还应当附有拆装说明书。</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大型游乐设施使用维护说明书应当明确规定使用条件、技术参数、操作规程、乘客须知、试运行检查项目、人员要求、设备日常检查和定期检查项目、维护保养项目和要求、常见故障及排除方法、事故应急处置方案、整机和主要受力部件设计使用期限、主要受力部件检测和易损件更换的周期和方法等。</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安装单位在安装施工前，应当确认场地、设备基础、预埋件等土建工程符合土建工程质量监督管理要求。</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安装单位应当在施工前将拟进行的大型游乐设施安装情况书面告知直辖市或者设区的市的市场监督管理部门，告知后即可施工。</w:t>
      </w:r>
    </w:p>
    <w:p>
      <w:pPr>
        <w:spacing w:line="240" w:lineRule="auto"/>
        <w:ind w:firstLine="640"/>
        <w:jc w:val="both"/>
      </w:pPr>
      <w:r>
        <w:rPr>
          <w:rFonts w:ascii="仿宋_GB2312" w:hAnsi="仿宋_GB2312" w:eastAsia="仿宋_GB2312" w:cs="仿宋_GB2312"/>
          <w:sz w:val="32"/>
        </w:rPr>
        <w:t>移动式大型游乐设施重新安装的，安装单位应当在施工前按照规定告知直辖市或者设区的市的市场监督管理部门。</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安装单位应当落实质量管理体系和管理制度，严格按照设计文件、标准、安全技术规范、施工方案等进行作业，加强现场施工质量管理。</w:t>
      </w:r>
    </w:p>
    <w:p>
      <w:pPr>
        <w:spacing w:line="240" w:lineRule="auto"/>
        <w:ind w:firstLine="640"/>
        <w:jc w:val="both"/>
      </w:pPr>
      <w:r>
        <w:rPr>
          <w:rFonts w:ascii="仿宋_GB2312" w:hAnsi="仿宋_GB2312" w:eastAsia="仿宋_GB2312" w:cs="仿宋_GB2312"/>
          <w:sz w:val="32"/>
        </w:rPr>
        <w:t>大型游乐设施安装施工现场的作业人员应当满足施工要求。</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大型游乐设施的安装过程应当按照安全技术规范规定的范围、项目和要求，由特种设备检验机构在企业自检的基础上进行安装监督检验；未经安装监督检验合格的不得交付使用；运营使用单位不得擅自使用未经安装监督检验合格的大型游乐设施。</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大型游乐设施安装竣工后，安装单位应当在大型游乐设施明显部位装设符合安全技术规范要求的铭牌。</w:t>
      </w:r>
    </w:p>
    <w:p>
      <w:pPr>
        <w:spacing w:line="240" w:lineRule="auto"/>
        <w:ind w:firstLine="640"/>
        <w:jc w:val="both"/>
      </w:pPr>
      <w:r>
        <w:rPr>
          <w:rFonts w:ascii="Times New Roman" w:hAnsi="仿宋_GB2312" w:eastAsia="仿宋_GB2312" w:cs="仿宋_GB2312"/>
          <w:sz w:val="32"/>
        </w:rPr>
        <w:t>安装单位应当在验收后30日内将出厂随机文件、型式试验合格证明、安装监督检验和无损检测报告，以及经制造单位确认的安装质量证明、产品质量合格证明、调试及试运行记录、自检报告等安装技术资料移交运营使用单位存档。</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大型游乐设施使用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第十九条</w:t>
      </w:r>
      <w:r>
        <w:rPr>
          <w:rFonts w:ascii="Times New Roman" w:hAnsi="仿宋_GB2312" w:eastAsia="仿宋_GB2312" w:cs="仿宋_GB2312"/>
          <w:sz w:val="32"/>
        </w:rPr>
        <w:t>　大型游乐设施在投入使用前或者投入使用后30日内，运营使用单位应当向直辖市或者设区的市的市场监督管理部门登记。</w:t>
      </w:r>
    </w:p>
    <w:p>
      <w:pPr>
        <w:spacing w:line="240" w:lineRule="auto"/>
        <w:ind w:firstLine="640"/>
        <w:jc w:val="both"/>
      </w:pPr>
      <w:r>
        <w:rPr>
          <w:rFonts w:ascii="Times New Roman" w:hAnsi="仿宋_GB2312" w:eastAsia="仿宋_GB2312" w:cs="仿宋_GB2312"/>
          <w:sz w:val="32"/>
        </w:rPr>
        <w:t>移动式大型游乐设施在每次重新安装投入使用前或者投入使用后30日内，运营使用单位应当向直辖市或者设区的市的市场监督管理部门登记；移动式大型游乐设施拆卸后，应当在原使用登记部门办理注销手续。</w:t>
      </w:r>
    </w:p>
    <w:p>
      <w:pPr>
        <w:spacing w:line="240" w:lineRule="auto"/>
        <w:ind w:firstLine="640"/>
        <w:jc w:val="both"/>
      </w:pPr>
      <w:r>
        <w:rPr>
          <w:rFonts w:ascii="仿宋_GB2312" w:hAnsi="仿宋_GB2312" w:eastAsia="仿宋_GB2312" w:cs="仿宋_GB2312"/>
          <w:sz w:val="32"/>
        </w:rPr>
        <w:t>运营使用单位应当将登记标志置于大型游乐设施进出口处等显著位置。</w:t>
      </w:r>
    </w:p>
    <w:p>
      <w:pPr>
        <w:spacing w:line="240" w:lineRule="auto"/>
        <w:ind w:firstLine="640"/>
        <w:jc w:val="both"/>
      </w:pPr>
      <w:r>
        <w:rPr>
          <w:rFonts w:ascii="黑体" w:hAnsi="黑体" w:eastAsia="黑体" w:cs="黑体"/>
          <w:sz w:val="32"/>
        </w:rPr>
        <w:t>第二十条</w:t>
      </w:r>
      <w:r>
        <w:rPr>
          <w:rFonts w:ascii="Times New Roman" w:hAnsi="仿宋_GB2312" w:eastAsia="仿宋_GB2312" w:cs="仿宋_GB2312"/>
          <w:sz w:val="32"/>
        </w:rPr>
        <w:t>　运营使用单位应当在大型游乐设施安装监督检验完成后1年内，向特种设备检验机构提出首次定期检验申请；在大型游乐设施定期检验周期届满1个月前，运营使用单位应当向特种设备检验机构提出定期检验要求。</w:t>
      </w:r>
    </w:p>
    <w:p>
      <w:pPr>
        <w:spacing w:line="240" w:lineRule="auto"/>
        <w:ind w:firstLine="640"/>
        <w:jc w:val="both"/>
      </w:pPr>
      <w:r>
        <w:rPr>
          <w:rFonts w:ascii="仿宋_GB2312" w:hAnsi="仿宋_GB2312" w:eastAsia="仿宋_GB2312" w:cs="仿宋_GB2312"/>
          <w:sz w:val="32"/>
        </w:rPr>
        <w:t>特种设备检验机构应当按照安全技术规范的要求进行定期检验。</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运营使用单位应当建立健全安全管理制度。安全管理制度应当包括以下主要内容：</w:t>
      </w:r>
    </w:p>
    <w:p>
      <w:pPr>
        <w:spacing w:line="240" w:lineRule="auto"/>
        <w:ind w:firstLine="640"/>
        <w:jc w:val="both"/>
      </w:pPr>
      <w:r>
        <w:rPr>
          <w:rFonts w:ascii="仿宋_GB2312" w:hAnsi="仿宋_GB2312" w:eastAsia="仿宋_GB2312" w:cs="仿宋_GB2312"/>
          <w:sz w:val="32"/>
        </w:rPr>
        <w:t>（一）技术档案管理制度；</w:t>
      </w:r>
    </w:p>
    <w:p>
      <w:pPr>
        <w:spacing w:line="240" w:lineRule="auto"/>
        <w:ind w:firstLine="640"/>
        <w:jc w:val="both"/>
      </w:pPr>
      <w:r>
        <w:rPr>
          <w:rFonts w:ascii="仿宋_GB2312" w:hAnsi="仿宋_GB2312" w:eastAsia="仿宋_GB2312" w:cs="仿宋_GB2312"/>
          <w:sz w:val="32"/>
        </w:rPr>
        <w:t>（二）安全操作规程；</w:t>
      </w:r>
    </w:p>
    <w:p>
      <w:pPr>
        <w:spacing w:line="240" w:lineRule="auto"/>
        <w:ind w:firstLine="640"/>
        <w:jc w:val="both"/>
      </w:pPr>
      <w:r>
        <w:rPr>
          <w:rFonts w:ascii="仿宋_GB2312" w:hAnsi="仿宋_GB2312" w:eastAsia="仿宋_GB2312" w:cs="仿宋_GB2312"/>
          <w:sz w:val="32"/>
        </w:rPr>
        <w:t>（三）日常安全检查制度；</w:t>
      </w:r>
    </w:p>
    <w:p>
      <w:pPr>
        <w:spacing w:line="240" w:lineRule="auto"/>
        <w:ind w:firstLine="640"/>
        <w:jc w:val="both"/>
      </w:pPr>
      <w:r>
        <w:rPr>
          <w:rFonts w:ascii="仿宋_GB2312" w:hAnsi="仿宋_GB2312" w:eastAsia="仿宋_GB2312" w:cs="仿宋_GB2312"/>
          <w:sz w:val="32"/>
        </w:rPr>
        <w:t>（四）维护保养制度；</w:t>
      </w:r>
    </w:p>
    <w:p>
      <w:pPr>
        <w:spacing w:line="240" w:lineRule="auto"/>
        <w:ind w:firstLine="640"/>
        <w:jc w:val="both"/>
      </w:pPr>
      <w:r>
        <w:rPr>
          <w:rFonts w:ascii="仿宋_GB2312" w:hAnsi="仿宋_GB2312" w:eastAsia="仿宋_GB2312" w:cs="仿宋_GB2312"/>
          <w:sz w:val="32"/>
        </w:rPr>
        <w:t>（五）定期报检制度；</w:t>
      </w:r>
    </w:p>
    <w:p>
      <w:pPr>
        <w:spacing w:line="240" w:lineRule="auto"/>
        <w:ind w:firstLine="640"/>
        <w:jc w:val="both"/>
      </w:pPr>
      <w:r>
        <w:rPr>
          <w:rFonts w:ascii="仿宋_GB2312" w:hAnsi="仿宋_GB2312" w:eastAsia="仿宋_GB2312" w:cs="仿宋_GB2312"/>
          <w:sz w:val="32"/>
        </w:rPr>
        <w:t>（六）作业和服务人员守则；</w:t>
      </w:r>
    </w:p>
    <w:p>
      <w:pPr>
        <w:spacing w:line="240" w:lineRule="auto"/>
        <w:ind w:firstLine="640"/>
        <w:jc w:val="both"/>
      </w:pPr>
      <w:r>
        <w:rPr>
          <w:rFonts w:ascii="仿宋_GB2312" w:hAnsi="仿宋_GB2312" w:eastAsia="仿宋_GB2312" w:cs="仿宋_GB2312"/>
          <w:sz w:val="32"/>
        </w:rPr>
        <w:t>（七）作业人员及相关运营服务人员安全培训考核制度；</w:t>
      </w:r>
    </w:p>
    <w:p>
      <w:pPr>
        <w:spacing w:line="240" w:lineRule="auto"/>
        <w:ind w:firstLine="640"/>
        <w:jc w:val="both"/>
      </w:pPr>
      <w:r>
        <w:rPr>
          <w:rFonts w:ascii="仿宋_GB2312" w:hAnsi="仿宋_GB2312" w:eastAsia="仿宋_GB2312" w:cs="仿宋_GB2312"/>
          <w:sz w:val="32"/>
        </w:rPr>
        <w:t>（八）应急救援演练制度；</w:t>
      </w:r>
    </w:p>
    <w:p>
      <w:pPr>
        <w:spacing w:line="240" w:lineRule="auto"/>
        <w:ind w:firstLine="640"/>
        <w:jc w:val="both"/>
      </w:pPr>
      <w:r>
        <w:rPr>
          <w:rFonts w:ascii="仿宋_GB2312" w:hAnsi="仿宋_GB2312" w:eastAsia="仿宋_GB2312" w:cs="仿宋_GB2312"/>
          <w:sz w:val="32"/>
        </w:rPr>
        <w:t>（九）意外事件和事故处理制度；</w:t>
      </w:r>
    </w:p>
    <w:p>
      <w:pPr>
        <w:spacing w:line="240" w:lineRule="auto"/>
        <w:ind w:firstLine="640"/>
        <w:jc w:val="both"/>
      </w:pPr>
      <w:r>
        <w:rPr>
          <w:rFonts w:ascii="仿宋_GB2312" w:hAnsi="仿宋_GB2312" w:eastAsia="仿宋_GB2312" w:cs="仿宋_GB2312"/>
          <w:sz w:val="32"/>
        </w:rPr>
        <w:t>（十）其他。</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运营使用单位应当对每台（套）大型游乐设施建立技术档案，依法管理和保存。技术档案应当包括以下主要内容：</w:t>
      </w:r>
    </w:p>
    <w:p>
      <w:pPr>
        <w:spacing w:line="240" w:lineRule="auto"/>
        <w:ind w:firstLine="640"/>
        <w:jc w:val="both"/>
      </w:pPr>
      <w:r>
        <w:rPr>
          <w:rFonts w:ascii="仿宋_GB2312" w:hAnsi="仿宋_GB2312" w:eastAsia="仿宋_GB2312" w:cs="仿宋_GB2312"/>
          <w:sz w:val="32"/>
        </w:rPr>
        <w:t>（一）安装技术资料；</w:t>
      </w:r>
    </w:p>
    <w:p>
      <w:pPr>
        <w:spacing w:line="240" w:lineRule="auto"/>
        <w:ind w:firstLine="640"/>
        <w:jc w:val="both"/>
      </w:pPr>
      <w:r>
        <w:rPr>
          <w:rFonts w:ascii="仿宋_GB2312" w:hAnsi="仿宋_GB2312" w:eastAsia="仿宋_GB2312" w:cs="仿宋_GB2312"/>
          <w:sz w:val="32"/>
        </w:rPr>
        <w:t>（二）监督检验报告；</w:t>
      </w:r>
    </w:p>
    <w:p>
      <w:pPr>
        <w:spacing w:line="240" w:lineRule="auto"/>
        <w:ind w:firstLine="640"/>
        <w:jc w:val="both"/>
      </w:pPr>
      <w:r>
        <w:rPr>
          <w:rFonts w:ascii="仿宋_GB2312" w:hAnsi="仿宋_GB2312" w:eastAsia="仿宋_GB2312" w:cs="仿宋_GB2312"/>
          <w:sz w:val="32"/>
        </w:rPr>
        <w:t>（三）使用登记表；</w:t>
      </w:r>
    </w:p>
    <w:p>
      <w:pPr>
        <w:spacing w:line="240" w:lineRule="auto"/>
        <w:ind w:firstLine="640"/>
        <w:jc w:val="both"/>
      </w:pPr>
      <w:r>
        <w:rPr>
          <w:rFonts w:ascii="仿宋_GB2312" w:hAnsi="仿宋_GB2312" w:eastAsia="仿宋_GB2312" w:cs="仿宋_GB2312"/>
          <w:sz w:val="32"/>
        </w:rPr>
        <w:t>（四）改造、修理技术文件；</w:t>
      </w:r>
    </w:p>
    <w:p>
      <w:pPr>
        <w:spacing w:line="240" w:lineRule="auto"/>
        <w:ind w:firstLine="640"/>
        <w:jc w:val="both"/>
      </w:pPr>
      <w:r>
        <w:rPr>
          <w:rFonts w:ascii="仿宋_GB2312" w:hAnsi="仿宋_GB2312" w:eastAsia="仿宋_GB2312" w:cs="仿宋_GB2312"/>
          <w:sz w:val="32"/>
        </w:rPr>
        <w:t>（五）年度自行检查的记录；</w:t>
      </w:r>
    </w:p>
    <w:p>
      <w:pPr>
        <w:spacing w:line="240" w:lineRule="auto"/>
        <w:ind w:firstLine="640"/>
        <w:jc w:val="both"/>
      </w:pPr>
      <w:r>
        <w:rPr>
          <w:rFonts w:ascii="仿宋_GB2312" w:hAnsi="仿宋_GB2312" w:eastAsia="仿宋_GB2312" w:cs="仿宋_GB2312"/>
          <w:sz w:val="32"/>
        </w:rPr>
        <w:t>（六）定期检验报告；</w:t>
      </w:r>
    </w:p>
    <w:p>
      <w:pPr>
        <w:spacing w:line="240" w:lineRule="auto"/>
        <w:ind w:firstLine="640"/>
        <w:jc w:val="both"/>
      </w:pPr>
      <w:r>
        <w:rPr>
          <w:rFonts w:ascii="仿宋_GB2312" w:hAnsi="仿宋_GB2312" w:eastAsia="仿宋_GB2312" w:cs="仿宋_GB2312"/>
          <w:sz w:val="32"/>
        </w:rPr>
        <w:t>（七）应急救援演练记录；</w:t>
      </w:r>
    </w:p>
    <w:p>
      <w:pPr>
        <w:spacing w:line="240" w:lineRule="auto"/>
        <w:ind w:firstLine="640"/>
        <w:jc w:val="both"/>
      </w:pPr>
      <w:r>
        <w:rPr>
          <w:rFonts w:ascii="仿宋_GB2312" w:hAnsi="仿宋_GB2312" w:eastAsia="仿宋_GB2312" w:cs="仿宋_GB2312"/>
          <w:sz w:val="32"/>
        </w:rPr>
        <w:t>（八）运行、维护保养、设备故障与事故处理记录；</w:t>
      </w:r>
    </w:p>
    <w:p>
      <w:pPr>
        <w:spacing w:line="240" w:lineRule="auto"/>
        <w:ind w:firstLine="640"/>
        <w:jc w:val="both"/>
      </w:pPr>
      <w:r>
        <w:rPr>
          <w:rFonts w:ascii="仿宋_GB2312" w:hAnsi="仿宋_GB2312" w:eastAsia="仿宋_GB2312" w:cs="仿宋_GB2312"/>
          <w:sz w:val="32"/>
        </w:rPr>
        <w:t>（九）作业人员培训、考核和证书管理记录；</w:t>
      </w:r>
    </w:p>
    <w:p>
      <w:pPr>
        <w:spacing w:line="240" w:lineRule="auto"/>
        <w:ind w:firstLine="640"/>
        <w:jc w:val="both"/>
      </w:pPr>
      <w:r>
        <w:rPr>
          <w:rFonts w:ascii="仿宋_GB2312" w:hAnsi="仿宋_GB2312" w:eastAsia="仿宋_GB2312" w:cs="仿宋_GB2312"/>
          <w:sz w:val="32"/>
        </w:rPr>
        <w:t>（十）法律法规规定的其他内容。</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运营使用单位应当按照安全技术规范和使用维护说明书的要求，开展设备运营前试运行检查、日常检查和维护保养、定期安全检查并如实记录。对日常维护保养和试运行检查等自行检查中发现的异常情况，应当及时处理。在国家法定节假日或举行大型群众性活动前，运营使用单位应当对大型游乐设施进行全面检查维护，并加强日常检查和安全值班。</w:t>
      </w:r>
    </w:p>
    <w:p>
      <w:pPr>
        <w:spacing w:line="240" w:lineRule="auto"/>
        <w:ind w:firstLine="640"/>
        <w:jc w:val="both"/>
      </w:pPr>
      <w:r>
        <w:rPr>
          <w:rFonts w:ascii="仿宋_GB2312" w:hAnsi="仿宋_GB2312" w:eastAsia="仿宋_GB2312" w:cs="仿宋_GB2312"/>
          <w:sz w:val="32"/>
        </w:rPr>
        <w:t>运营使用单位进行本单位设备的维护保养工作，应当按照安全技术规范要求配备具有相应资格的作业人员、必备工具和设备。</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运营使用单位应当在大型游乐设施的入口处等显著位置张贴乘客须知、安全注意事项和警示标志，注明设备的运动特点、乘客范围、禁忌事宜等。</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运营使用单位应当制定应急预案，建立应急救援指挥机构，配备相应的救援人员、营救设备和急救物品。对每台（套）大型游乐设施还应当制定专门的应急预案。</w:t>
      </w:r>
    </w:p>
    <w:p>
      <w:pPr>
        <w:spacing w:line="240" w:lineRule="auto"/>
        <w:ind w:firstLine="640"/>
        <w:jc w:val="both"/>
      </w:pPr>
      <w:r>
        <w:rPr>
          <w:rFonts w:ascii="Times New Roman" w:hAnsi="仿宋_GB2312" w:eastAsia="仿宋_GB2312" w:cs="仿宋_GB2312"/>
          <w:sz w:val="32"/>
        </w:rPr>
        <w:t>运营使用单位应当加强营救设备、急救物品的存放和管理，对救援人员定期进行专业培训，每年至少对每台（套）大型游乐设施组织1次应急救援演练。</w:t>
      </w:r>
    </w:p>
    <w:p>
      <w:pPr>
        <w:spacing w:line="240" w:lineRule="auto"/>
        <w:ind w:firstLine="640"/>
        <w:jc w:val="both"/>
      </w:pPr>
      <w:r>
        <w:rPr>
          <w:rFonts w:ascii="仿宋_GB2312" w:hAnsi="仿宋_GB2312" w:eastAsia="仿宋_GB2312" w:cs="仿宋_GB2312"/>
          <w:sz w:val="32"/>
        </w:rPr>
        <w:t>运营使用单位可以根据当地实际情况，与其他运营使用单位或消防救援等专业应急救援力量建立应急联动机制，制定联合应急预案，并定期进行联合演练。</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运营使用单位法定代表人或负责人对大型游乐设施的安全使用管理负责。</w:t>
      </w:r>
    </w:p>
    <w:p>
      <w:pPr>
        <w:spacing w:line="240" w:lineRule="auto"/>
        <w:ind w:firstLine="640"/>
        <w:jc w:val="both"/>
      </w:pPr>
      <w:r>
        <w:rPr>
          <w:rFonts w:ascii="黑体" w:hAnsi="黑体" w:eastAsia="黑体" w:cs="黑体"/>
          <w:sz w:val="32"/>
        </w:rPr>
        <w:t>第二十七条</w:t>
      </w:r>
      <w:r>
        <w:rPr>
          <w:rFonts w:ascii="Times New Roman" w:hAnsi="仿宋_GB2312" w:eastAsia="仿宋_GB2312" w:cs="仿宋_GB2312"/>
          <w:sz w:val="32"/>
        </w:rPr>
        <w:t>　运营使用单位应当设置专门的安全管理机构并配备安全管理人员，或者配备专职的安全管理人员，并保证设备运营期间，至少有1名安全管理人员在岗。</w:t>
      </w:r>
    </w:p>
    <w:p>
      <w:pPr>
        <w:spacing w:line="240" w:lineRule="auto"/>
        <w:ind w:firstLine="640"/>
        <w:jc w:val="both"/>
      </w:pPr>
      <w:r>
        <w:rPr>
          <w:rFonts w:ascii="仿宋_GB2312" w:hAnsi="仿宋_GB2312" w:eastAsia="仿宋_GB2312" w:cs="仿宋_GB2312"/>
          <w:sz w:val="32"/>
        </w:rPr>
        <w:t>运营使用单位、安全管理机构和安全管理人员，应当履行以下职责：</w:t>
      </w:r>
    </w:p>
    <w:p>
      <w:pPr>
        <w:spacing w:line="240" w:lineRule="auto"/>
        <w:ind w:firstLine="640"/>
        <w:jc w:val="both"/>
      </w:pPr>
      <w:r>
        <w:rPr>
          <w:rFonts w:ascii="仿宋_GB2312" w:hAnsi="仿宋_GB2312" w:eastAsia="仿宋_GB2312" w:cs="仿宋_GB2312"/>
          <w:sz w:val="32"/>
        </w:rPr>
        <w:t>（一）负责检查本单位各项安全管理制度的落实情况；</w:t>
      </w:r>
    </w:p>
    <w:p>
      <w:pPr>
        <w:spacing w:line="240" w:lineRule="auto"/>
        <w:ind w:firstLine="640"/>
        <w:jc w:val="both"/>
      </w:pPr>
      <w:r>
        <w:rPr>
          <w:rFonts w:ascii="仿宋_GB2312" w:hAnsi="仿宋_GB2312" w:eastAsia="仿宋_GB2312" w:cs="仿宋_GB2312"/>
          <w:sz w:val="32"/>
        </w:rPr>
        <w:t>（二）负责制定并落实设备维护保养及安全检查计划；</w:t>
      </w:r>
    </w:p>
    <w:p>
      <w:pPr>
        <w:spacing w:line="240" w:lineRule="auto"/>
        <w:ind w:firstLine="640"/>
        <w:jc w:val="both"/>
      </w:pPr>
      <w:r>
        <w:rPr>
          <w:rFonts w:ascii="仿宋_GB2312" w:hAnsi="仿宋_GB2312" w:eastAsia="仿宋_GB2312" w:cs="仿宋_GB2312"/>
          <w:sz w:val="32"/>
        </w:rPr>
        <w:t>（三）负责设备使用状况日常检查，排查事故隐患，发现问题应当停止使用设备，并及时报告本单位有关负责人；</w:t>
      </w:r>
    </w:p>
    <w:p>
      <w:pPr>
        <w:spacing w:line="240" w:lineRule="auto"/>
        <w:ind w:firstLine="640"/>
        <w:jc w:val="both"/>
      </w:pPr>
      <w:r>
        <w:rPr>
          <w:rFonts w:ascii="仿宋_GB2312" w:hAnsi="仿宋_GB2312" w:eastAsia="仿宋_GB2312" w:cs="仿宋_GB2312"/>
          <w:sz w:val="32"/>
        </w:rPr>
        <w:t>（四）负责组织设备自检，申报使用登记和定期检验；</w:t>
      </w:r>
    </w:p>
    <w:p>
      <w:pPr>
        <w:spacing w:line="240" w:lineRule="auto"/>
        <w:ind w:firstLine="640"/>
        <w:jc w:val="both"/>
      </w:pPr>
      <w:r>
        <w:rPr>
          <w:rFonts w:ascii="仿宋_GB2312" w:hAnsi="仿宋_GB2312" w:eastAsia="仿宋_GB2312" w:cs="仿宋_GB2312"/>
          <w:sz w:val="32"/>
        </w:rPr>
        <w:t>（五）负责组织应急救援演习；</w:t>
      </w:r>
    </w:p>
    <w:p>
      <w:pPr>
        <w:spacing w:line="240" w:lineRule="auto"/>
        <w:ind w:firstLine="640"/>
        <w:jc w:val="both"/>
      </w:pPr>
      <w:r>
        <w:rPr>
          <w:rFonts w:ascii="仿宋_GB2312" w:hAnsi="仿宋_GB2312" w:eastAsia="仿宋_GB2312" w:cs="仿宋_GB2312"/>
          <w:sz w:val="32"/>
        </w:rPr>
        <w:t>（六）负责组织本单位人员的安全教育和培训；</w:t>
      </w:r>
    </w:p>
    <w:p>
      <w:pPr>
        <w:spacing w:line="240" w:lineRule="auto"/>
        <w:ind w:firstLine="640"/>
        <w:jc w:val="both"/>
      </w:pPr>
      <w:r>
        <w:rPr>
          <w:rFonts w:ascii="仿宋_GB2312" w:hAnsi="仿宋_GB2312" w:eastAsia="仿宋_GB2312" w:cs="仿宋_GB2312"/>
          <w:sz w:val="32"/>
        </w:rPr>
        <w:t>（七）负责技术档案的管理。</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运营使用单位应当按照安全技术规范和使用维护说明书要求，配备满足安全运营要求的持证操作人员，并加强对服务人员岗前培训教育，使其掌握基本的应急技能，协助操作人员进行应急处置。</w:t>
      </w:r>
    </w:p>
    <w:p>
      <w:pPr>
        <w:spacing w:line="240" w:lineRule="auto"/>
        <w:ind w:firstLine="640"/>
        <w:jc w:val="both"/>
      </w:pPr>
      <w:r>
        <w:rPr>
          <w:rFonts w:ascii="仿宋_GB2312" w:hAnsi="仿宋_GB2312" w:eastAsia="仿宋_GB2312" w:cs="仿宋_GB2312"/>
          <w:sz w:val="32"/>
        </w:rPr>
        <w:t>操作人员应当履行以下职责：</w:t>
      </w:r>
    </w:p>
    <w:p>
      <w:pPr>
        <w:spacing w:line="240" w:lineRule="auto"/>
        <w:ind w:firstLine="640"/>
        <w:jc w:val="both"/>
      </w:pPr>
      <w:r>
        <w:rPr>
          <w:rFonts w:ascii="仿宋_GB2312" w:hAnsi="仿宋_GB2312" w:eastAsia="仿宋_GB2312" w:cs="仿宋_GB2312"/>
          <w:sz w:val="32"/>
        </w:rPr>
        <w:t>（一）严格执行操作规程和操作人员守则；</w:t>
      </w:r>
    </w:p>
    <w:p>
      <w:pPr>
        <w:spacing w:line="240" w:lineRule="auto"/>
        <w:ind w:firstLine="640"/>
        <w:jc w:val="both"/>
      </w:pPr>
      <w:r>
        <w:rPr>
          <w:rFonts w:ascii="仿宋_GB2312" w:hAnsi="仿宋_GB2312" w:eastAsia="仿宋_GB2312" w:cs="仿宋_GB2312"/>
          <w:sz w:val="32"/>
        </w:rPr>
        <w:t>（二）每次运行前应当向乘客告知安全注意事项，对保护乘客的安全装置进行检查确认；</w:t>
      </w:r>
    </w:p>
    <w:p>
      <w:pPr>
        <w:spacing w:line="240" w:lineRule="auto"/>
        <w:ind w:firstLine="640"/>
        <w:jc w:val="both"/>
      </w:pPr>
      <w:r>
        <w:rPr>
          <w:rFonts w:ascii="仿宋_GB2312" w:hAnsi="仿宋_GB2312" w:eastAsia="仿宋_GB2312" w:cs="仿宋_GB2312"/>
          <w:sz w:val="32"/>
        </w:rPr>
        <w:t>（三）运行时应当密切注意乘客动态及设备运行状态，发现不正常情况，应当立即采取有效措施，消除安全隐患；</w:t>
      </w:r>
    </w:p>
    <w:p>
      <w:pPr>
        <w:spacing w:line="240" w:lineRule="auto"/>
        <w:ind w:firstLine="640"/>
        <w:jc w:val="both"/>
      </w:pPr>
      <w:r>
        <w:rPr>
          <w:rFonts w:ascii="仿宋_GB2312" w:hAnsi="仿宋_GB2312" w:eastAsia="仿宋_GB2312" w:cs="仿宋_GB2312"/>
          <w:sz w:val="32"/>
        </w:rPr>
        <w:t>（四）熟悉应急救援流程。发生故障或突发事件，应当立即停止运行或采取紧急措施保护乘客，并立即向现场安全管理人员报告；</w:t>
      </w:r>
    </w:p>
    <w:p>
      <w:pPr>
        <w:spacing w:line="240" w:lineRule="auto"/>
        <w:ind w:firstLine="640"/>
        <w:jc w:val="both"/>
      </w:pPr>
      <w:r>
        <w:rPr>
          <w:rFonts w:ascii="仿宋_GB2312" w:hAnsi="仿宋_GB2312" w:eastAsia="仿宋_GB2312" w:cs="仿宋_GB2312"/>
          <w:sz w:val="32"/>
        </w:rPr>
        <w:t>（五）如实记录设备的运行情况。</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大型游乐设施进行改造的，改造单位应当重新设计，按照本规定进行设计文件鉴定、型式试验和监督检验，并对改造后的设备质量和安全性能负责。</w:t>
      </w:r>
    </w:p>
    <w:p>
      <w:pPr>
        <w:spacing w:line="240" w:lineRule="auto"/>
        <w:ind w:firstLine="640"/>
        <w:jc w:val="both"/>
      </w:pPr>
      <w:r>
        <w:rPr>
          <w:rFonts w:ascii="仿宋_GB2312" w:hAnsi="仿宋_GB2312" w:eastAsia="仿宋_GB2312" w:cs="仿宋_GB2312"/>
          <w:sz w:val="32"/>
        </w:rPr>
        <w:t>大型游乐设施改造单位应当在施工前将拟进行的大型游乐设施改造情况书面告知直辖市或者设区的市的市场监督管理部门，告知后即可施工。</w:t>
      </w:r>
    </w:p>
    <w:p>
      <w:pPr>
        <w:spacing w:line="240" w:lineRule="auto"/>
        <w:ind w:firstLine="640"/>
        <w:jc w:val="both"/>
      </w:pPr>
      <w:r>
        <w:rPr>
          <w:rFonts w:ascii="Times New Roman" w:hAnsi="仿宋_GB2312" w:eastAsia="仿宋_GB2312" w:cs="仿宋_GB2312"/>
          <w:sz w:val="32"/>
        </w:rPr>
        <w:t>大型游乐设施改造竣工后，施工单位应当装设符合安全技术规范要求的铭牌，并在验收后30日内将符合第十八条要求的技术资料移交运营使用单位存档。</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大型游乐设施的修理、重大修理应当按照安全技术规范和使用维护说明书要求进行。大型游乐设施修理单位应当在施工前将拟进行的大型游乐设施修理情况书面告知直辖市或者设区的市的市场监督管理部门，告知后即可施工。</w:t>
      </w:r>
    </w:p>
    <w:p>
      <w:pPr>
        <w:spacing w:line="240" w:lineRule="auto"/>
        <w:ind w:firstLine="640"/>
        <w:jc w:val="both"/>
      </w:pPr>
      <w:r>
        <w:rPr>
          <w:rFonts w:ascii="仿宋_GB2312" w:hAnsi="仿宋_GB2312" w:eastAsia="仿宋_GB2312" w:cs="仿宋_GB2312"/>
          <w:sz w:val="32"/>
        </w:rPr>
        <w:t>重大修理过程，必须经特种设备检验机构按照安全技术规范的要求进行重大修理监督检验；未经重大修理监督检验合格的不得交付使用；运营使用单位不得擅自使用未经重大修理监督检验合格的大型游乐设施。</w:t>
      </w:r>
    </w:p>
    <w:p>
      <w:pPr>
        <w:spacing w:line="240" w:lineRule="auto"/>
        <w:ind w:firstLine="640"/>
        <w:jc w:val="both"/>
      </w:pPr>
      <w:r>
        <w:rPr>
          <w:rFonts w:ascii="仿宋_GB2312" w:hAnsi="仿宋_GB2312" w:eastAsia="仿宋_GB2312" w:cs="仿宋_GB2312"/>
          <w:sz w:val="32"/>
        </w:rPr>
        <w:t>大型游乐设施修理竣工后，施工单位应将有关大型游乐设施的自检报告等修理相关资料移交运营使用单位存档；大型游乐设施重大修理竣工后，施工单位应将有关大型游乐设施的自检报告、监督检验报告和无损检测报告等移交运营使用单位存档。</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大型游乐设施改造、重大修理施工现场作业人员应当满足施工要求，具有相应特种设备作业人员资格的人数应当符合安全技术规范的要求。</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大型游乐设施发生事故的，运营使用单位应当立即停止使用，并按照有关规定及时向县级以上地方市场监督管理部门报告。</w:t>
      </w:r>
    </w:p>
    <w:p>
      <w:pPr>
        <w:spacing w:line="240" w:lineRule="auto"/>
        <w:ind w:firstLine="640"/>
        <w:jc w:val="both"/>
      </w:pPr>
      <w:r>
        <w:rPr>
          <w:rFonts w:ascii="仿宋_GB2312" w:hAnsi="仿宋_GB2312" w:eastAsia="仿宋_GB2312" w:cs="仿宋_GB2312"/>
          <w:sz w:val="32"/>
        </w:rPr>
        <w:t>对因设计、制造、安装原因引发故障、事故，存在质量安全问题隐患的，制造、安装单位应当对同类型设备进行排查，消除隐患。</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对超过整机设计使用期限仍有修理、改造价值可以继续使用的大型游乐设施，运营使用单位应当按照安全技术规范的要求通过检验或者安全评估，并办理使用登记证书变更。运营使用单位应当加强对允许继续使用的大型游乐设施的使用管理，采取加强检验、检测和维护保养等措施，加大全面自检频次，确保使用安全。</w:t>
      </w:r>
    </w:p>
    <w:p>
      <w:pPr>
        <w:spacing w:line="240" w:lineRule="auto"/>
        <w:ind w:firstLine="640"/>
        <w:jc w:val="both"/>
      </w:pPr>
      <w:r>
        <w:rPr>
          <w:rFonts w:ascii="仿宋_GB2312" w:hAnsi="仿宋_GB2312" w:eastAsia="仿宋_GB2312" w:cs="仿宋_GB2312"/>
          <w:sz w:val="32"/>
        </w:rPr>
        <w:t>大型游乐设施主要受力部件超过设计使用期限要求，且检验或者安全评估后不符合安全使用条件的，应当及时进行更换。</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运营使用单位租借场地开展大型游乐设施经营的，应当与场地提供单位签订安全管理协议，落实安全管理制度。</w:t>
      </w:r>
    </w:p>
    <w:p>
      <w:pPr>
        <w:spacing w:line="240" w:lineRule="auto"/>
        <w:ind w:firstLine="640"/>
        <w:jc w:val="both"/>
      </w:pPr>
      <w:r>
        <w:rPr>
          <w:rFonts w:ascii="仿宋_GB2312" w:hAnsi="仿宋_GB2312" w:eastAsia="仿宋_GB2312" w:cs="仿宋_GB2312"/>
          <w:sz w:val="32"/>
        </w:rPr>
        <w:t>场地提供单位应当核实大型游乐设施运营使用单位满足相关法律法规以及本规定要求的运营使用条件。</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监督检查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市场监督管理部门依照《中华人民共和国特种设备安全法》、《特种设备安全监察条例》和本规定等有关要求，对大型游乐设施的生产、使用单位和检验、检测机构实施监督检查。</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特种设备检验机构在开展检验前，应当告知负责使用登记的市场监督管理部门。检验完成后，应当将监督检验、定期检验报告向负责使用登记的市场监督管理部门备案。</w:t>
      </w:r>
    </w:p>
    <w:p>
      <w:pPr>
        <w:spacing w:line="240" w:lineRule="auto"/>
        <w:ind w:firstLine="640"/>
        <w:jc w:val="both"/>
      </w:pPr>
      <w:r>
        <w:rPr>
          <w:rFonts w:ascii="仿宋_GB2312" w:hAnsi="仿宋_GB2312" w:eastAsia="仿宋_GB2312" w:cs="仿宋_GB2312"/>
          <w:sz w:val="32"/>
        </w:rPr>
        <w:t>检验人员应当按照安全技术规范要求向受检单位出具书面检验意见并报送负责使用登记的市场监督管理部门，对于现场不具备检验条件的，应当以书面形式向报检单位出具相关情况说明。</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大型游乐设施事故的调查处理，按照法律法规的规定执行。</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第三十八条</w:t>
      </w:r>
      <w:r>
        <w:rPr>
          <w:rFonts w:ascii="Times New Roman" w:hAnsi="仿宋_GB2312" w:eastAsia="仿宋_GB2312" w:cs="仿宋_GB2312"/>
          <w:sz w:val="32"/>
        </w:rPr>
        <w:t>　大型游乐设施制造、安装单位违反本规定，有下列情形之一的，予以警告，处1万元以上3万元以下罚款：</w:t>
      </w:r>
    </w:p>
    <w:p>
      <w:pPr>
        <w:spacing w:line="240" w:lineRule="auto"/>
        <w:ind w:firstLine="640"/>
        <w:jc w:val="both"/>
      </w:pPr>
      <w:r>
        <w:rPr>
          <w:rFonts w:ascii="仿宋_GB2312" w:hAnsi="仿宋_GB2312" w:eastAsia="仿宋_GB2312" w:cs="仿宋_GB2312"/>
          <w:sz w:val="32"/>
        </w:rPr>
        <w:t>（一）未对设计进行安全评价，提出安全风险防控措施的；</w:t>
      </w:r>
    </w:p>
    <w:p>
      <w:pPr>
        <w:spacing w:line="240" w:lineRule="auto"/>
        <w:ind w:firstLine="640"/>
        <w:jc w:val="both"/>
      </w:pPr>
      <w:r>
        <w:rPr>
          <w:rFonts w:ascii="仿宋_GB2312" w:hAnsi="仿宋_GB2312" w:eastAsia="仿宋_GB2312" w:cs="仿宋_GB2312"/>
          <w:sz w:val="32"/>
        </w:rPr>
        <w:t>（二）未对设计中首次使用的新技术进行安全性能验证的；</w:t>
      </w:r>
    </w:p>
    <w:p>
      <w:pPr>
        <w:spacing w:line="240" w:lineRule="auto"/>
        <w:ind w:firstLine="640"/>
        <w:jc w:val="both"/>
      </w:pPr>
      <w:r>
        <w:rPr>
          <w:rFonts w:ascii="仿宋_GB2312" w:hAnsi="仿宋_GB2312" w:eastAsia="仿宋_GB2312" w:cs="仿宋_GB2312"/>
          <w:sz w:val="32"/>
        </w:rPr>
        <w:t>（三）未明确整机、主要受力部件的设计使用期限的；</w:t>
      </w:r>
    </w:p>
    <w:p>
      <w:pPr>
        <w:spacing w:line="240" w:lineRule="auto"/>
        <w:ind w:firstLine="640"/>
        <w:jc w:val="both"/>
      </w:pPr>
      <w:r>
        <w:rPr>
          <w:rFonts w:ascii="仿宋_GB2312" w:hAnsi="仿宋_GB2312" w:eastAsia="仿宋_GB2312" w:cs="仿宋_GB2312"/>
          <w:sz w:val="32"/>
        </w:rPr>
        <w:t>（四）未在大型游乐设施明显部位装设符合有关安全技术规范要求的铭牌的；</w:t>
      </w:r>
    </w:p>
    <w:p>
      <w:pPr>
        <w:spacing w:line="240" w:lineRule="auto"/>
        <w:ind w:firstLine="640"/>
        <w:jc w:val="both"/>
      </w:pPr>
      <w:r>
        <w:rPr>
          <w:rFonts w:ascii="仿宋_GB2312" w:hAnsi="仿宋_GB2312" w:eastAsia="仿宋_GB2312" w:cs="仿宋_GB2312"/>
          <w:sz w:val="32"/>
        </w:rPr>
        <w:t>（五）对因设计、制造、安装原因，存在质量安全问题隐患的，未按照本规定要求进行排查处理的。</w:t>
      </w:r>
    </w:p>
    <w:p>
      <w:pPr>
        <w:spacing w:line="240" w:lineRule="auto"/>
        <w:ind w:firstLine="640"/>
        <w:jc w:val="both"/>
      </w:pPr>
      <w:r>
        <w:rPr>
          <w:rFonts w:ascii="仿宋_GB2312" w:hAnsi="仿宋_GB2312" w:eastAsia="仿宋_GB2312" w:cs="仿宋_GB2312"/>
          <w:sz w:val="32"/>
        </w:rPr>
        <w:t>使用维护说明书等出厂文件内容不符合本规定要求的，依照《中华人民共和国特种设备安全法》第七十七条规定处理。</w:t>
      </w:r>
    </w:p>
    <w:p>
      <w:pPr>
        <w:spacing w:line="240" w:lineRule="auto"/>
        <w:ind w:firstLine="640"/>
        <w:jc w:val="both"/>
      </w:pPr>
      <w:r>
        <w:rPr>
          <w:rFonts w:ascii="黑体" w:hAnsi="黑体" w:eastAsia="黑体" w:cs="黑体"/>
          <w:sz w:val="32"/>
        </w:rPr>
        <w:t>第三十九条</w:t>
      </w:r>
      <w:r>
        <w:rPr>
          <w:rFonts w:ascii="Times New Roman" w:hAnsi="仿宋_GB2312" w:eastAsia="仿宋_GB2312" w:cs="仿宋_GB2312"/>
          <w:sz w:val="32"/>
        </w:rPr>
        <w:t>　大型游乐设施改造单位违反本规定，未进行设计文件鉴定的，予以警告，处1万元以上3万元以下罚款。</w:t>
      </w:r>
    </w:p>
    <w:p>
      <w:pPr>
        <w:spacing w:line="240" w:lineRule="auto"/>
        <w:ind w:firstLine="640"/>
        <w:jc w:val="both"/>
      </w:pPr>
      <w:r>
        <w:rPr>
          <w:rFonts w:ascii="黑体" w:hAnsi="黑体" w:eastAsia="黑体" w:cs="黑体"/>
          <w:sz w:val="32"/>
        </w:rPr>
        <w:t>第四十条</w:t>
      </w:r>
      <w:r>
        <w:rPr>
          <w:rFonts w:ascii="Times New Roman" w:hAnsi="仿宋_GB2312" w:eastAsia="仿宋_GB2312" w:cs="仿宋_GB2312"/>
          <w:sz w:val="32"/>
        </w:rPr>
        <w:t>　大型游乐设施运营使用单位违反本规定，有下列情形之一的，予以警告，处1万元以上3万元以下罚款：</w:t>
      </w:r>
    </w:p>
    <w:p>
      <w:pPr>
        <w:spacing w:line="240" w:lineRule="auto"/>
        <w:ind w:firstLine="640"/>
        <w:jc w:val="both"/>
      </w:pPr>
      <w:r>
        <w:rPr>
          <w:rFonts w:ascii="仿宋_GB2312" w:hAnsi="仿宋_GB2312" w:eastAsia="仿宋_GB2312" w:cs="仿宋_GB2312"/>
          <w:sz w:val="32"/>
        </w:rPr>
        <w:t>（一）未及时更换超过设计使用期限要求且检验或者安全评估后不符合安全使用条件的主要受力部件的；</w:t>
      </w:r>
    </w:p>
    <w:p>
      <w:pPr>
        <w:spacing w:line="240" w:lineRule="auto"/>
        <w:ind w:firstLine="640"/>
        <w:jc w:val="both"/>
      </w:pPr>
      <w:r>
        <w:rPr>
          <w:rFonts w:ascii="仿宋_GB2312" w:hAnsi="仿宋_GB2312" w:eastAsia="仿宋_GB2312" w:cs="仿宋_GB2312"/>
          <w:sz w:val="32"/>
        </w:rPr>
        <w:t>（二）租借场地开展大型游乐设施经营的，未与场地提供单位签订安全管理协议，落实安全管理制度的；</w:t>
      </w:r>
    </w:p>
    <w:p>
      <w:pPr>
        <w:spacing w:line="240" w:lineRule="auto"/>
        <w:ind w:firstLine="640"/>
        <w:jc w:val="both"/>
      </w:pPr>
      <w:r>
        <w:rPr>
          <w:rFonts w:ascii="仿宋_GB2312" w:hAnsi="仿宋_GB2312" w:eastAsia="仿宋_GB2312" w:cs="仿宋_GB2312"/>
          <w:sz w:val="32"/>
        </w:rPr>
        <w:t>（三）未按照安全技术规范和使用维护说明书等要求进行重大修理的。</w:t>
      </w:r>
    </w:p>
    <w:p>
      <w:pPr>
        <w:spacing w:line="240" w:lineRule="auto"/>
        <w:ind w:firstLine="640"/>
        <w:jc w:val="both"/>
      </w:pPr>
      <w:r>
        <w:rPr>
          <w:rFonts w:ascii="仿宋_GB2312" w:hAnsi="仿宋_GB2312" w:eastAsia="仿宋_GB2312" w:cs="仿宋_GB2312"/>
          <w:sz w:val="32"/>
        </w:rPr>
        <w:t>设备运营期间无安全管理人员在岗或者配备的持证操作人员未能满足安全运营要求的，依照《中华人民共和国特种设备安全法》第八十六条规定处理。</w:t>
      </w:r>
    </w:p>
    <w:p>
      <w:pPr>
        <w:spacing w:line="240" w:lineRule="auto"/>
        <w:ind w:firstLine="640"/>
        <w:jc w:val="both"/>
      </w:pPr>
      <w:r>
        <w:rPr>
          <w:rFonts w:ascii="黑体" w:hAnsi="黑体" w:eastAsia="黑体" w:cs="黑体"/>
          <w:sz w:val="32"/>
        </w:rPr>
        <w:t>第四十一条</w:t>
      </w:r>
      <w:r>
        <w:rPr>
          <w:rFonts w:ascii="Times New Roman" w:hAnsi="仿宋_GB2312" w:eastAsia="仿宋_GB2312" w:cs="仿宋_GB2312"/>
          <w:sz w:val="32"/>
        </w:rPr>
        <w:t>　违反本规定安装、改造和重大修理施工现场的作业人员数量不能满足施工要求或具有相应特种设备作业人员资格的人数不符合安全技术规范要求的，予以警告，处5千元以上1万元以下罚款。</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违反本规定要求，构成《中华人民共和国特种设备安全法》、《特种设备安全监察条例》等规定的违法行为的，按照其规定实施处罚。</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第四十三条</w:t>
      </w:r>
      <w:r>
        <w:rPr>
          <w:rFonts w:ascii="Times New Roman" w:hAnsi="仿宋_GB2312" w:eastAsia="仿宋_GB2312" w:cs="仿宋_GB2312"/>
          <w:sz w:val="32"/>
        </w:rPr>
        <w:t>　本规定所称大型游乐设施，是指《特种设备安全监察条例》规定的用于经营目的，承载乘客游乐的设施，其范围规定为设计最大运行线速度大于或者等于2m/s，或者运行高度距地面高于或者等于2m的载人大型游乐设施。</w:t>
      </w:r>
    </w:p>
    <w:p>
      <w:pPr>
        <w:spacing w:line="240" w:lineRule="auto"/>
        <w:ind w:firstLine="640"/>
        <w:jc w:val="both"/>
      </w:pPr>
      <w:r>
        <w:rPr>
          <w:rFonts w:ascii="仿宋_GB2312" w:hAnsi="仿宋_GB2312" w:eastAsia="仿宋_GB2312" w:cs="仿宋_GB2312"/>
          <w:sz w:val="32"/>
        </w:rPr>
        <w:t>移动式大型游乐设施，是指无专用土建基础，方便拆装、移动和运输的大型游乐设施。</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本规定下列用语的含义是：</w:t>
      </w:r>
    </w:p>
    <w:p>
      <w:pPr>
        <w:spacing w:line="240" w:lineRule="auto"/>
        <w:ind w:firstLine="640"/>
        <w:jc w:val="both"/>
      </w:pPr>
      <w:r>
        <w:rPr>
          <w:rFonts w:ascii="仿宋_GB2312" w:hAnsi="仿宋_GB2312" w:eastAsia="仿宋_GB2312" w:cs="仿宋_GB2312"/>
          <w:sz w:val="32"/>
        </w:rPr>
        <w:t>运营使用单位，是指从事大型游乐设施日常经营管理的，向市场监督管理部门办理使用登记的企业、个体工商户。</w:t>
      </w:r>
    </w:p>
    <w:p>
      <w:pPr>
        <w:spacing w:line="240" w:lineRule="auto"/>
        <w:ind w:firstLine="640"/>
        <w:jc w:val="both"/>
      </w:pPr>
      <w:r>
        <w:rPr>
          <w:rFonts w:ascii="仿宋_GB2312" w:hAnsi="仿宋_GB2312" w:eastAsia="仿宋_GB2312" w:cs="仿宋_GB2312"/>
          <w:sz w:val="32"/>
        </w:rPr>
        <w:t>改造，是指通过改变主要受力部件、主要材料、设备运动形式、重要几何尺寸或主要控制系统等，致使大型游乐设施的主体结构、性能参数发生变化的活动。</w:t>
      </w:r>
    </w:p>
    <w:p>
      <w:pPr>
        <w:spacing w:line="240" w:lineRule="auto"/>
        <w:ind w:firstLine="640"/>
        <w:jc w:val="both"/>
      </w:pPr>
      <w:r>
        <w:rPr>
          <w:rFonts w:ascii="仿宋_GB2312" w:hAnsi="仿宋_GB2312" w:eastAsia="仿宋_GB2312" w:cs="仿宋_GB2312"/>
          <w:sz w:val="32"/>
        </w:rPr>
        <w:t>维护保养，是指通过设备部件拆解，进行检查、系统调试、更换易损件，但不改变大型游乐设施的主体结构、性能参数的活动，以及日常检查工作中紧固连接件、设备除尘、设备润滑等活动。</w:t>
      </w:r>
    </w:p>
    <w:p>
      <w:pPr>
        <w:spacing w:line="240" w:lineRule="auto"/>
        <w:ind w:firstLine="640"/>
        <w:jc w:val="both"/>
      </w:pPr>
      <w:r>
        <w:rPr>
          <w:rFonts w:ascii="仿宋_GB2312" w:hAnsi="仿宋_GB2312" w:eastAsia="仿宋_GB2312" w:cs="仿宋_GB2312"/>
          <w:sz w:val="32"/>
        </w:rPr>
        <w:t>修理，是指通过设备部件拆解，进行更换或维修主要受力部件，但不改变大型游乐设施的主体结构、性能参数的活动。</w:t>
      </w:r>
    </w:p>
    <w:p>
      <w:pPr>
        <w:spacing w:line="240" w:lineRule="auto"/>
        <w:ind w:firstLine="640"/>
        <w:jc w:val="both"/>
      </w:pPr>
      <w:r>
        <w:rPr>
          <w:rFonts w:ascii="仿宋_GB2312" w:hAnsi="仿宋_GB2312" w:eastAsia="仿宋_GB2312" w:cs="仿宋_GB2312"/>
          <w:sz w:val="32"/>
        </w:rPr>
        <w:t>重大修理，是指通过设备整体拆解，进行检查、更换或维修主要受力部件、主要控制系统或安全装置功能，但不改变大型游乐设施的主体结构、性能参数的活动。</w:t>
      </w:r>
    </w:p>
    <w:p>
      <w:pPr>
        <w:spacing w:line="240" w:lineRule="auto"/>
        <w:ind w:firstLine="640"/>
        <w:jc w:val="both"/>
      </w:pPr>
      <w:r>
        <w:rPr>
          <w:rFonts w:ascii="黑体" w:hAnsi="黑体" w:eastAsia="黑体" w:cs="黑体"/>
          <w:sz w:val="32"/>
        </w:rPr>
        <w:t>第四十五条</w:t>
      </w:r>
      <w:r>
        <w:rPr>
          <w:rFonts w:ascii="Times New Roman" w:hAnsi="仿宋_GB2312" w:eastAsia="仿宋_GB2312" w:cs="仿宋_GB2312"/>
          <w:sz w:val="32"/>
        </w:rPr>
        <w:t>　本规定自2014年1月1日起施行。原国家质量技术监督局2000年6月29日发布的《特种设备质量监督与安全监察规定》中关于大型游乐设施的规定与本规定不一致的，以本规定为准。</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CC2834"/>
    <w:rsid w:val="C3FF6EEA"/>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74</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王月东</cp:lastModifiedBy>
  <cp:lastPrinted>2021-10-26T19:30:00Z</cp:lastPrinted>
  <dcterms:modified xsi:type="dcterms:W3CDTF">2025-04-03T15:38:15Z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2052-11.8.2.10552</vt:lpwstr>
  </property>
</Properties>
</file>