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color w:val="auto"/>
          <w:sz w:val="28"/>
          <w:szCs w:val="28"/>
        </w:rPr>
      </w:pPr>
      <w:r>
        <w:rPr>
          <w:rFonts w:ascii="Times New Roman" w:hAnsi="Times New Roman"/>
          <w:color w:val="auto"/>
          <w:sz w:val="28"/>
          <w:szCs w:val="28"/>
        </w:rPr>
        <w:t>编号：(X)XK13-002</w:t>
      </w:r>
    </w:p>
    <w:p>
      <w:pPr>
        <w:spacing w:line="360" w:lineRule="auto"/>
        <w:jc w:val="right"/>
        <w:rPr>
          <w:rFonts w:ascii="Times New Roman" w:hAnsi="Times New Roman"/>
          <w:b/>
          <w:color w:val="auto"/>
          <w:sz w:val="52"/>
          <w:szCs w:val="52"/>
        </w:rPr>
      </w:pPr>
    </w:p>
    <w:p>
      <w:pPr>
        <w:tabs>
          <w:tab w:val="left" w:pos="720"/>
        </w:tabs>
        <w:autoSpaceDE w:val="0"/>
        <w:autoSpaceDN w:val="0"/>
        <w:ind w:right="18"/>
        <w:jc w:val="left"/>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widowControl w:val="0"/>
        <w:jc w:val="center"/>
        <w:rPr>
          <w:rFonts w:ascii="Times New Roman" w:hAnsi="Times New Roman" w:eastAsia="方正小标宋简体"/>
          <w:color w:val="auto"/>
          <w:sz w:val="52"/>
          <w:szCs w:val="20"/>
        </w:rPr>
      </w:pPr>
      <w:r>
        <w:rPr>
          <w:rFonts w:ascii="Times New Roman" w:hAnsi="Times New Roman" w:eastAsia="方正小标宋简体"/>
          <w:color w:val="auto"/>
          <w:sz w:val="52"/>
          <w:szCs w:val="20"/>
        </w:rPr>
        <w:t>化肥产品生产许可证实施细则（二）</w:t>
      </w:r>
    </w:p>
    <w:p>
      <w:pPr>
        <w:widowControl w:val="0"/>
        <w:jc w:val="center"/>
        <w:rPr>
          <w:rFonts w:ascii="Times New Roman" w:hAnsi="Times New Roman" w:eastAsia="方正小标宋简体"/>
          <w:color w:val="auto"/>
          <w:sz w:val="52"/>
          <w:szCs w:val="20"/>
        </w:rPr>
      </w:pPr>
      <w:r>
        <w:rPr>
          <w:rFonts w:ascii="Times New Roman" w:hAnsi="Times New Roman" w:eastAsia="方正小标宋简体"/>
          <w:color w:val="auto"/>
          <w:sz w:val="52"/>
          <w:szCs w:val="20"/>
        </w:rPr>
        <w:t>（磷肥产品部分）</w:t>
      </w:r>
    </w:p>
    <w:p>
      <w:pPr>
        <w:widowControl w:val="0"/>
        <w:jc w:val="center"/>
        <w:rPr>
          <w:rFonts w:ascii="Times New Roman" w:hAnsi="Times New Roman" w:eastAsia="楷体_GB2312"/>
          <w:color w:val="auto"/>
          <w:sz w:val="44"/>
          <w:szCs w:val="44"/>
        </w:rPr>
      </w:pPr>
      <w:r>
        <w:rPr>
          <w:rFonts w:ascii="Times New Roman" w:hAnsi="Times New Roman" w:eastAsia="楷体_GB2312"/>
          <w:color w:val="auto"/>
          <w:sz w:val="44"/>
          <w:szCs w:val="44"/>
        </w:rPr>
        <w:t>（</w:t>
      </w:r>
      <w:r>
        <w:rPr>
          <w:rFonts w:hint="eastAsia" w:ascii="Times New Roman" w:hAnsi="Times New Roman" w:eastAsia="楷体_GB2312"/>
          <w:color w:val="auto"/>
          <w:sz w:val="44"/>
          <w:szCs w:val="44"/>
          <w:lang w:val="en-US" w:eastAsia="zh-CN"/>
        </w:rPr>
        <w:t>征求意见稿</w:t>
      </w:r>
      <w:bookmarkStart w:id="69" w:name="_GoBack"/>
      <w:bookmarkEnd w:id="69"/>
      <w:r>
        <w:rPr>
          <w:rFonts w:ascii="Times New Roman" w:hAnsi="Times New Roman" w:eastAsia="楷体_GB2312"/>
          <w:color w:val="auto"/>
          <w:sz w:val="44"/>
          <w:szCs w:val="44"/>
        </w:rPr>
        <w:t>）</w:t>
      </w:r>
    </w:p>
    <w:p>
      <w:pPr>
        <w:tabs>
          <w:tab w:val="left" w:pos="720"/>
        </w:tabs>
        <w:autoSpaceDE w:val="0"/>
        <w:autoSpaceDN w:val="0"/>
        <w:ind w:right="18"/>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rPr>
          <w:rFonts w:ascii="Times New Roman" w:hAnsi="Times New Roman" w:eastAsia="黑体"/>
          <w:bCs/>
          <w:color w:val="auto"/>
          <w:sz w:val="28"/>
          <w:szCs w:val="28"/>
        </w:rPr>
      </w:pPr>
      <w:r>
        <w:rPr>
          <w:rFonts w:ascii="Times New Roman" w:hAnsi="Times New Roman" w:eastAsia="黑体"/>
          <w:bCs/>
          <w:color w:val="auto"/>
          <w:sz w:val="28"/>
          <w:szCs w:val="28"/>
        </w:rPr>
        <w:t>202X-XX-XX公布                                 202X-XX-XX实施</w:t>
      </w:r>
    </w:p>
    <w:p>
      <w:pPr>
        <w:tabs>
          <w:tab w:val="left" w:pos="720"/>
        </w:tabs>
        <w:autoSpaceDE w:val="0"/>
        <w:autoSpaceDN w:val="0"/>
        <w:ind w:left="352" w:right="18" w:hanging="180"/>
        <w:rPr>
          <w:rFonts w:ascii="Times New Roman" w:hAnsi="Times New Roman" w:eastAsia="方正大标宋简体"/>
          <w:color w:val="auto"/>
          <w:sz w:val="36"/>
        </w:rPr>
      </w:pPr>
      <w:r>
        <w:rPr>
          <w:rFonts w:ascii="Times New Roman" w:hAnsi="Times New Roman" w:eastAsia="方正大标宋简体"/>
          <w:color w:val="auto"/>
          <w:sz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12700" t="8255" r="8890" b="10795"/>
                <wp:wrapNone/>
                <wp:docPr id="1"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DMvUvrygEAAF8DAAAOAAAA&#10;ZHJzL2Uyb0RvYy54bWytU81u1DAQviPxDpbvbNKVtpRosz1sVS4FVmp5gFnbSSwcjzX2brIvwQsg&#10;cYMTR+68DeUxsL0/lPaGyGEUz8/n+b4Zzy/H3rCtIq/R1vxsUnKmrECpbVvz93fXLy448wGsBINW&#10;1XynPL9cPH82H1ylptihkYpYBLG+GlzNuxBcVRRedKoHP0GnbAw2SD2EeKS2kARDRO9NMS3L82JA&#10;ko5QKO+j92of5IuM3zRKhHdN41Vgpuaxt5AtZbtOtljMoWoJXKfFoQ34hy560DZeeoK6ggBsQ/oJ&#10;VK8FoccmTAT2BTaNFipziGzOykdsbjtwKnOJ4nh3ksn/P1jxdrsipmWcHWcW+jii+0/ff3788uvH&#10;52jvv31l0yTS4HwVc5d2RYmmGO2tu0HxwTOLyw5sq3KzdzsXEQJtVCoq/qpKB+/ibevhDcqYBpuA&#10;WbSxoT6hRjnYmGezO81GjYGJ6Jy9PC/Lixln4hgroDoWOvLhtcKepZ+aG22TbFDB9saH1AhUx5Tk&#10;tnitjcmjN5YNNX81m85ygUejZQqmNE/temmIbSEtT/4yqxh5mEa4sXJ/ibEH0onnXrQ1yt2KjmLE&#10;KeZuDhuX1uThOVf/eReL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CYg18PTAAAABgEAAA8AAAAA&#10;AAAAAQAgAAAAOAAAAGRycy9kb3ducmV2LnhtbFBLAQIUABQAAAAIAIdO4kDMvUvrygEAAF8DAAAO&#10;AAAAAAAAAAEAIAAAADgBAABkcnMvZTJvRG9jLnhtbFBLBQYAAAAABgAGAFkBAAB0BQAAAAA=&#10;">
                <v:fill on="f" focussize="0,0"/>
                <v:stroke color="#000000" joinstyle="round"/>
                <v:imagedata o:title=""/>
                <o:lock v:ext="edit" aspectratio="f"/>
              </v:line>
            </w:pict>
          </mc:Fallback>
        </mc:AlternateContent>
      </w:r>
    </w:p>
    <w:p>
      <w:pPr>
        <w:tabs>
          <w:tab w:val="left" w:pos="720"/>
        </w:tabs>
        <w:autoSpaceDE w:val="0"/>
        <w:autoSpaceDN w:val="0"/>
        <w:ind w:left="352" w:right="18" w:hanging="180"/>
        <w:jc w:val="center"/>
        <w:rPr>
          <w:rFonts w:ascii="Times New Roman" w:hAnsi="Times New Roman" w:eastAsia="黑体"/>
          <w:bCs/>
          <w:color w:val="auto"/>
          <w:sz w:val="28"/>
          <w:szCs w:val="28"/>
        </w:rPr>
        <w:sectPr>
          <w:footerReference r:id="rId3" w:type="default"/>
          <w:pgSz w:w="11906" w:h="16838"/>
          <w:pgMar w:top="1418" w:right="1418" w:bottom="1418" w:left="1418" w:header="851" w:footer="992" w:gutter="0"/>
          <w:pgNumType w:start="1"/>
          <w:cols w:space="720" w:num="1"/>
          <w:docGrid w:linePitch="360" w:charSpace="6144"/>
        </w:sectPr>
      </w:pPr>
      <w:r>
        <w:rPr>
          <w:rFonts w:ascii="Times New Roman" w:hAnsi="Times New Roman" w:eastAsia="黑体"/>
          <w:bCs/>
          <w:color w:val="auto"/>
          <w:sz w:val="28"/>
          <w:szCs w:val="28"/>
        </w:rPr>
        <w:t>国家市场监督管理总局</w:t>
      </w:r>
    </w:p>
    <w:p>
      <w:pPr>
        <w:tabs>
          <w:tab w:val="left" w:pos="720"/>
        </w:tabs>
        <w:autoSpaceDE w:val="0"/>
        <w:autoSpaceDN w:val="0"/>
        <w:ind w:left="352" w:right="18" w:hanging="180"/>
        <w:jc w:val="center"/>
        <w:rPr>
          <w:rFonts w:ascii="Times New Roman" w:hAnsi="Times New Roman"/>
          <w:b/>
          <w:color w:val="auto"/>
          <w:sz w:val="32"/>
          <w:szCs w:val="32"/>
        </w:rPr>
      </w:pPr>
      <w:r>
        <w:rPr>
          <w:rFonts w:ascii="Times New Roman" w:hAnsi="Times New Roman"/>
          <w:b/>
          <w:color w:val="auto"/>
          <w:sz w:val="32"/>
          <w:szCs w:val="32"/>
        </w:rPr>
        <w:t>目录</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第一章 总则</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1</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第二章 发证产品及标准</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1</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第三章 企业申请生产许可证的基本条件和资料</w:t>
      </w:r>
      <w:r>
        <w:rPr>
          <w:rStyle w:val="44"/>
          <w:rFonts w:ascii="Times New Roman" w:hAnsi="Times New Roman"/>
          <w:b w:val="0"/>
          <w:color w:val="auto"/>
          <w:sz w:val="24"/>
          <w:szCs w:val="24"/>
          <w:u w:val="none"/>
        </w:rPr>
        <w:tab/>
      </w:r>
      <w:r>
        <w:rPr>
          <w:rStyle w:val="44"/>
          <w:rFonts w:hint="eastAsia" w:ascii="Times New Roman" w:hAnsi="Times New Roman"/>
          <w:b w:val="0"/>
          <w:color w:val="auto"/>
          <w:sz w:val="24"/>
          <w:szCs w:val="24"/>
          <w:u w:val="none"/>
        </w:rPr>
        <w:t>3</w:t>
      </w:r>
    </w:p>
    <w:p>
      <w:pPr>
        <w:pStyle w:val="26"/>
        <w:tabs>
          <w:tab w:val="right" w:leader="dot" w:pos="9062"/>
        </w:tabs>
        <w:spacing w:line="288" w:lineRule="auto"/>
        <w:outlineLvl w:val="0"/>
        <w:rPr>
          <w:rStyle w:val="44"/>
          <w:rFonts w:hint="eastAsia" w:ascii="Times New Roman" w:hAnsi="Times New Roman" w:eastAsia="宋体"/>
          <w:b w:val="0"/>
          <w:color w:val="auto"/>
          <w:sz w:val="24"/>
          <w:szCs w:val="24"/>
          <w:u w:val="none"/>
          <w:lang w:eastAsia="zh-CN"/>
        </w:rPr>
      </w:pPr>
      <w:r>
        <w:rPr>
          <w:rStyle w:val="44"/>
          <w:rFonts w:ascii="Times New Roman" w:hAnsi="Times New Roman"/>
          <w:b w:val="0"/>
          <w:color w:val="auto"/>
          <w:sz w:val="24"/>
          <w:szCs w:val="24"/>
          <w:u w:val="none"/>
        </w:rPr>
        <w:t>第四章 产品检验检测报告</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1</w:t>
      </w:r>
      <w:r>
        <w:rPr>
          <w:rStyle w:val="44"/>
          <w:rFonts w:hint="eastAsia" w:ascii="Times New Roman" w:hAnsi="Times New Roman"/>
          <w:b w:val="0"/>
          <w:color w:val="auto"/>
          <w:sz w:val="24"/>
          <w:szCs w:val="24"/>
          <w:u w:val="none"/>
          <w:lang w:val="en-US" w:eastAsia="zh-CN"/>
        </w:rPr>
        <w:t>1</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第五章 企业实地核查</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12</w:t>
      </w:r>
    </w:p>
    <w:p>
      <w:pPr>
        <w:pStyle w:val="26"/>
        <w:tabs>
          <w:tab w:val="right" w:leader="dot" w:pos="9062"/>
        </w:tabs>
        <w:spacing w:line="288" w:lineRule="auto"/>
        <w:outlineLvl w:val="0"/>
        <w:rPr>
          <w:rStyle w:val="44"/>
          <w:rFonts w:hint="eastAsia" w:ascii="Times New Roman" w:hAnsi="Times New Roman" w:eastAsia="宋体"/>
          <w:b w:val="0"/>
          <w:color w:val="auto"/>
          <w:sz w:val="24"/>
          <w:szCs w:val="24"/>
          <w:u w:val="none"/>
          <w:lang w:eastAsia="zh-CN"/>
        </w:rPr>
      </w:pPr>
      <w:r>
        <w:rPr>
          <w:rStyle w:val="44"/>
          <w:rFonts w:ascii="Times New Roman" w:hAnsi="Times New Roman"/>
          <w:b w:val="0"/>
          <w:color w:val="auto"/>
          <w:sz w:val="24"/>
          <w:szCs w:val="24"/>
          <w:u w:val="none"/>
        </w:rPr>
        <w:t>第六章 证书许可范围</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1</w:t>
      </w:r>
      <w:r>
        <w:rPr>
          <w:rStyle w:val="44"/>
          <w:rFonts w:hint="eastAsia" w:ascii="Times New Roman" w:hAnsi="Times New Roman"/>
          <w:b w:val="0"/>
          <w:color w:val="auto"/>
          <w:sz w:val="24"/>
          <w:szCs w:val="24"/>
          <w:u w:val="none"/>
          <w:lang w:val="en-US" w:eastAsia="zh-CN"/>
        </w:rPr>
        <w:t>2</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第七章 附则</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1</w:t>
      </w:r>
      <w:r>
        <w:rPr>
          <w:rStyle w:val="44"/>
          <w:rFonts w:hint="eastAsia" w:ascii="Times New Roman" w:hAnsi="Times New Roman"/>
          <w:b w:val="0"/>
          <w:color w:val="auto"/>
          <w:sz w:val="24"/>
          <w:szCs w:val="24"/>
          <w:u w:val="none"/>
        </w:rPr>
        <w:t>3</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Style w:val="44"/>
          <w:rFonts w:ascii="Times New Roman" w:hAnsi="Times New Roman"/>
          <w:b w:val="0"/>
          <w:color w:val="auto"/>
          <w:sz w:val="24"/>
          <w:szCs w:val="24"/>
          <w:u w:val="none"/>
        </w:rPr>
        <w:t>附件1</w:t>
      </w:r>
      <w:r>
        <w:rPr>
          <w:rFonts w:ascii="Times New Roman" w:hAnsi="Times New Roman"/>
          <w:color w:val="auto"/>
        </w:rPr>
        <w:fldChar w:fldCharType="begin"/>
      </w:r>
      <w:r>
        <w:rPr>
          <w:rFonts w:ascii="Times New Roman" w:hAnsi="Times New Roman"/>
          <w:color w:val="auto"/>
        </w:rPr>
        <w:instrText xml:space="preserve"> HYPERLINK \l "_Toc162467092" \h </w:instrText>
      </w:r>
      <w:r>
        <w:rPr>
          <w:rFonts w:ascii="Times New Roman" w:hAnsi="Times New Roman"/>
          <w:color w:val="auto"/>
        </w:rPr>
        <w:fldChar w:fldCharType="separate"/>
      </w:r>
      <w:r>
        <w:rPr>
          <w:rStyle w:val="44"/>
          <w:rFonts w:ascii="Times New Roman" w:hAnsi="Times New Roman"/>
          <w:b w:val="0"/>
          <w:color w:val="auto"/>
          <w:sz w:val="24"/>
          <w:szCs w:val="24"/>
          <w:u w:val="none"/>
        </w:rPr>
        <w:t>检验检测项目及依据标准</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1</w:t>
      </w:r>
      <w:r>
        <w:rPr>
          <w:rFonts w:hint="eastAsia" w:ascii="Times New Roman" w:hAnsi="Times New Roman"/>
          <w:b w:val="0"/>
          <w:color w:val="auto"/>
          <w:sz w:val="24"/>
          <w:szCs w:val="24"/>
          <w:lang w:val="en-US" w:eastAsia="zh-CN"/>
        </w:rPr>
        <w:t>4</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Style w:val="44"/>
          <w:rFonts w:ascii="Times New Roman" w:hAnsi="Times New Roman"/>
          <w:b w:val="0"/>
          <w:color w:val="auto"/>
          <w:sz w:val="24"/>
          <w:szCs w:val="24"/>
          <w:u w:val="none"/>
        </w:rPr>
        <w:t>附件2</w:t>
      </w:r>
      <w:r>
        <w:rPr>
          <w:rFonts w:ascii="Times New Roman" w:hAnsi="Times New Roman"/>
          <w:color w:val="auto"/>
        </w:rPr>
        <w:fldChar w:fldCharType="begin"/>
      </w:r>
      <w:r>
        <w:rPr>
          <w:rFonts w:ascii="Times New Roman" w:hAnsi="Times New Roman"/>
          <w:color w:val="auto"/>
        </w:rPr>
        <w:instrText xml:space="preserve"> HYPERLINK \l "_Toc162467094" \h </w:instrText>
      </w:r>
      <w:r>
        <w:rPr>
          <w:rFonts w:ascii="Times New Roman" w:hAnsi="Times New Roman"/>
          <w:color w:val="auto"/>
        </w:rPr>
        <w:fldChar w:fldCharType="separate"/>
      </w:r>
      <w:r>
        <w:rPr>
          <w:rStyle w:val="42"/>
          <w:rFonts w:ascii="Times New Roman" w:hAnsi="Times New Roman"/>
          <w:b w:val="0"/>
          <w:color w:val="auto"/>
          <w:sz w:val="24"/>
          <w:szCs w:val="24"/>
          <w:u w:val="none"/>
        </w:rPr>
        <w:t>企业核查时需准备的书面材料清单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1</w:t>
      </w:r>
      <w:r>
        <w:rPr>
          <w:rFonts w:hint="eastAsia" w:ascii="Times New Roman" w:hAnsi="Times New Roman"/>
          <w:b w:val="0"/>
          <w:color w:val="auto"/>
          <w:sz w:val="24"/>
          <w:szCs w:val="24"/>
          <w:lang w:val="en-US" w:eastAsia="zh-CN"/>
        </w:rPr>
        <w:t>5</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"_Toc162467095"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附件2-1</w:t>
      </w:r>
      <w:r>
        <w:rPr>
          <w:rFonts w:ascii="Times New Roman" w:hAnsi="Times New Roman"/>
          <w:b w:val="0"/>
          <w:color w:val="auto"/>
          <w:sz w:val="24"/>
          <w:szCs w:val="24"/>
        </w:rPr>
        <w:t>生产场所示意图</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1</w:t>
      </w:r>
      <w:r>
        <w:rPr>
          <w:rFonts w:hint="eastAsia" w:ascii="Times New Roman" w:hAnsi="Times New Roman"/>
          <w:b w:val="0"/>
          <w:color w:val="auto"/>
          <w:sz w:val="24"/>
          <w:szCs w:val="24"/>
          <w:lang w:val="en-US" w:eastAsia="zh-CN"/>
        </w:rPr>
        <w:t>6</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"_Toc162467096"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附件2-2</w:t>
      </w:r>
      <w:r>
        <w:rPr>
          <w:rFonts w:ascii="Times New Roman" w:hAnsi="Times New Roman"/>
          <w:b w:val="0"/>
          <w:color w:val="auto"/>
          <w:sz w:val="24"/>
          <w:szCs w:val="24"/>
        </w:rPr>
        <w:t>主要工艺流程图</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1</w:t>
      </w:r>
      <w:r>
        <w:rPr>
          <w:rFonts w:hint="eastAsia" w:ascii="Times New Roman" w:hAnsi="Times New Roman"/>
          <w:b w:val="0"/>
          <w:color w:val="auto"/>
          <w:sz w:val="24"/>
          <w:szCs w:val="24"/>
          <w:lang w:val="en-US" w:eastAsia="zh-CN"/>
        </w:rPr>
        <w:t>7</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"_Toc162467098"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附件2-3</w:t>
      </w:r>
      <w:r>
        <w:rPr>
          <w:rFonts w:ascii="Times New Roman" w:hAnsi="Times New Roman"/>
          <w:b w:val="0"/>
          <w:color w:val="auto"/>
          <w:sz w:val="24"/>
          <w:szCs w:val="24"/>
        </w:rPr>
        <w:t>主要生产设施和检验检测设施表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1</w:t>
      </w:r>
      <w:r>
        <w:rPr>
          <w:rFonts w:hint="eastAsia" w:ascii="Times New Roman" w:hAnsi="Times New Roman"/>
          <w:b w:val="0"/>
          <w:color w:val="auto"/>
          <w:sz w:val="24"/>
          <w:szCs w:val="24"/>
          <w:lang w:val="en-US" w:eastAsia="zh-CN"/>
        </w:rPr>
        <w:t>8</w:t>
      </w:r>
    </w:p>
    <w:p>
      <w:pPr>
        <w:pStyle w:val="26"/>
        <w:tabs>
          <w:tab w:val="right" w:leader="dot" w:pos="9062"/>
        </w:tabs>
        <w:spacing w:line="288" w:lineRule="auto"/>
        <w:outlineLvl w:val="0"/>
        <w:rPr>
          <w:rFonts w:hint="default" w:ascii="Times New Roman" w:hAnsi="Times New Roman" w:eastAsia="宋体"/>
          <w:b w:val="0"/>
          <w:color w:val="auto"/>
          <w:sz w:val="24"/>
          <w:szCs w:val="24"/>
          <w:lang w:val="en-US" w:eastAsia="zh-CN"/>
        </w:rPr>
      </w:pPr>
      <w:r>
        <w:rPr>
          <w:rFonts w:ascii="Times New Roman" w:hAnsi="Times New Roman"/>
          <w:color w:val="auto"/>
        </w:rPr>
        <w:fldChar w:fldCharType="begin"/>
      </w:r>
      <w:r>
        <w:rPr>
          <w:rFonts w:ascii="Times New Roman" w:hAnsi="Times New Roman"/>
          <w:color w:val="auto"/>
        </w:rPr>
        <w:instrText xml:space="preserve"> HYPERLINK \l "_Toc162467100"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附件2-4</w:t>
      </w:r>
      <w:r>
        <w:rPr>
          <w:rFonts w:ascii="Times New Roman" w:hAnsi="Times New Roman"/>
          <w:b w:val="0"/>
          <w:color w:val="auto"/>
          <w:sz w:val="24"/>
          <w:szCs w:val="24"/>
        </w:rPr>
        <w:t>主要生产设备表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hint="eastAsia" w:ascii="Times New Roman" w:hAnsi="Times New Roman"/>
          <w:b w:val="0"/>
          <w:color w:val="auto"/>
          <w:sz w:val="24"/>
          <w:szCs w:val="24"/>
          <w:lang w:val="en-US" w:eastAsia="zh-CN"/>
        </w:rPr>
        <w:t>19</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"_Toc162467101"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附件2-5</w:t>
      </w:r>
      <w:r>
        <w:rPr>
          <w:rFonts w:ascii="Times New Roman" w:hAnsi="Times New Roman"/>
          <w:b w:val="0"/>
          <w:color w:val="auto"/>
          <w:sz w:val="24"/>
          <w:szCs w:val="24"/>
        </w:rPr>
        <w:t>主要检验检测设备表</w:t>
      </w:r>
      <w:r>
        <w:rPr>
          <w:rFonts w:ascii="Times New Roman" w:hAnsi="Times New Roman"/>
          <w:b w:val="0"/>
          <w:color w:val="auto"/>
          <w:sz w:val="24"/>
          <w:szCs w:val="24"/>
        </w:rPr>
        <w:tab/>
      </w:r>
      <w:r>
        <w:rPr>
          <w:rFonts w:ascii="Times New Roman" w:hAnsi="Times New Roman"/>
          <w:b w:val="0"/>
          <w:color w:val="auto"/>
          <w:sz w:val="24"/>
          <w:szCs w:val="24"/>
        </w:rPr>
        <w:t>2</w:t>
      </w:r>
      <w:r>
        <w:rPr>
          <w:rFonts w:ascii="Times New Roman" w:hAnsi="Times New Roman"/>
          <w:b w:val="0"/>
          <w:color w:val="auto"/>
          <w:sz w:val="24"/>
          <w:szCs w:val="24"/>
        </w:rPr>
        <w:fldChar w:fldCharType="end"/>
      </w:r>
      <w:r>
        <w:rPr>
          <w:rFonts w:hint="eastAsia" w:ascii="Times New Roman" w:hAnsi="Times New Roman"/>
          <w:b w:val="0"/>
          <w:color w:val="auto"/>
          <w:sz w:val="24"/>
          <w:szCs w:val="24"/>
          <w:lang w:val="en-US" w:eastAsia="zh-CN"/>
        </w:rPr>
        <w:t>0</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"_Toc162467102"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附件2-6</w:t>
      </w:r>
      <w:r>
        <w:rPr>
          <w:rFonts w:ascii="Times New Roman" w:hAnsi="Times New Roman"/>
          <w:b w:val="0"/>
          <w:color w:val="auto"/>
          <w:sz w:val="24"/>
          <w:szCs w:val="24"/>
        </w:rPr>
        <w:t>主要原材料明细表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2</w:t>
      </w:r>
      <w:r>
        <w:rPr>
          <w:rFonts w:hint="eastAsia" w:ascii="Times New Roman" w:hAnsi="Times New Roman"/>
          <w:b w:val="0"/>
          <w:color w:val="auto"/>
          <w:sz w:val="24"/>
          <w:szCs w:val="24"/>
          <w:lang w:val="en-US" w:eastAsia="zh-CN"/>
        </w:rPr>
        <w:t>1</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"_Toc162467103"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附件2-7</w:t>
      </w:r>
      <w:r>
        <w:rPr>
          <w:rFonts w:ascii="Times New Roman" w:hAnsi="Times New Roman"/>
          <w:b w:val="0"/>
          <w:color w:val="auto"/>
          <w:sz w:val="24"/>
          <w:szCs w:val="24"/>
        </w:rPr>
        <w:t>关键岗位管理和专业技术人员表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2</w:t>
      </w:r>
      <w:r>
        <w:rPr>
          <w:rFonts w:hint="eastAsia" w:ascii="Times New Roman" w:hAnsi="Times New Roman"/>
          <w:b w:val="0"/>
          <w:color w:val="auto"/>
          <w:sz w:val="24"/>
          <w:szCs w:val="24"/>
          <w:lang w:val="en-US" w:eastAsia="zh-CN"/>
        </w:rPr>
        <w:t>2</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"_Toc162467105"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附件2-8</w:t>
      </w:r>
      <w:r>
        <w:rPr>
          <w:rFonts w:ascii="Times New Roman" w:hAnsi="Times New Roman"/>
          <w:b w:val="0"/>
          <w:color w:val="auto"/>
          <w:sz w:val="24"/>
          <w:szCs w:val="24"/>
        </w:rPr>
        <w:t>技术文件和工艺文件清单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2</w:t>
      </w:r>
      <w:r>
        <w:rPr>
          <w:rFonts w:hint="eastAsia" w:ascii="Times New Roman" w:hAnsi="Times New Roman"/>
          <w:b w:val="0"/>
          <w:color w:val="auto"/>
          <w:sz w:val="24"/>
          <w:szCs w:val="24"/>
          <w:lang w:val="en-US" w:eastAsia="zh-CN"/>
        </w:rPr>
        <w:t>3</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"_Toc162467106"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附件2-9</w:t>
      </w:r>
      <w:r>
        <w:rPr>
          <w:rFonts w:ascii="Times New Roman" w:hAnsi="Times New Roman"/>
          <w:b w:val="0"/>
          <w:color w:val="auto"/>
          <w:sz w:val="24"/>
          <w:szCs w:val="24"/>
        </w:rPr>
        <w:t>产品质量安全管理制度和产品质量安全追溯制度文件清单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2</w:t>
      </w:r>
      <w:r>
        <w:rPr>
          <w:rFonts w:hint="eastAsia" w:ascii="Times New Roman" w:hAnsi="Times New Roman"/>
          <w:b w:val="0"/>
          <w:color w:val="auto"/>
          <w:sz w:val="24"/>
          <w:szCs w:val="24"/>
          <w:lang w:val="en-US" w:eastAsia="zh-CN"/>
        </w:rPr>
        <w:t>4</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"_Toc162467108"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附件2-10企业</w:t>
      </w:r>
      <w:r>
        <w:rPr>
          <w:rFonts w:ascii="Times New Roman" w:hAnsi="Times New Roman"/>
          <w:b w:val="0"/>
          <w:color w:val="auto"/>
          <w:sz w:val="24"/>
          <w:szCs w:val="24"/>
        </w:rPr>
        <w:t>执行的产品标准及相关标准清单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2</w:t>
      </w:r>
      <w:r>
        <w:rPr>
          <w:rFonts w:hint="eastAsia" w:ascii="Times New Roman" w:hAnsi="Times New Roman"/>
          <w:b w:val="0"/>
          <w:color w:val="auto"/>
          <w:sz w:val="24"/>
          <w:szCs w:val="24"/>
          <w:lang w:val="en-US" w:eastAsia="zh-CN"/>
        </w:rPr>
        <w:t>5</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"_Toc162467110"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附件3磷肥产品生产许可证企业实地核查办法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2</w:t>
      </w:r>
      <w:r>
        <w:rPr>
          <w:rFonts w:hint="eastAsia" w:ascii="Times New Roman" w:hAnsi="Times New Roman"/>
          <w:b w:val="0"/>
          <w:color w:val="auto"/>
          <w:sz w:val="24"/>
          <w:szCs w:val="24"/>
          <w:lang w:val="en-US" w:eastAsia="zh-CN"/>
        </w:rPr>
        <w:t>6</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"_Toc162467113"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附件4企业实地核查不符合和建议改进条款汇总表</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fldChar w:fldCharType="end"/>
      </w:r>
      <w:r>
        <w:rPr>
          <w:rStyle w:val="44"/>
          <w:rFonts w:ascii="Times New Roman" w:hAnsi="Times New Roman"/>
          <w:b w:val="0"/>
          <w:color w:val="auto"/>
          <w:sz w:val="24"/>
          <w:szCs w:val="24"/>
          <w:u w:val="none"/>
        </w:rPr>
        <w:t>3</w:t>
      </w:r>
      <w:r>
        <w:rPr>
          <w:rStyle w:val="44"/>
          <w:rFonts w:hint="eastAsia" w:ascii="Times New Roman" w:hAnsi="Times New Roman"/>
          <w:b w:val="0"/>
          <w:color w:val="auto"/>
          <w:sz w:val="24"/>
          <w:szCs w:val="24"/>
          <w:u w:val="none"/>
          <w:lang w:val="en-US" w:eastAsia="zh-CN"/>
        </w:rPr>
        <w:t>3</w:t>
      </w:r>
    </w:p>
    <w:p>
      <w:pPr>
        <w:pStyle w:val="26"/>
        <w:tabs>
          <w:tab w:val="right" w:leader="dot" w:pos="9062"/>
        </w:tabs>
        <w:spacing w:line="288" w:lineRule="auto"/>
        <w:outlineLvl w:val="0"/>
        <w:rPr>
          <w:rFonts w:hint="eastAsia" w:ascii="Times New Roman" w:hAnsi="Times New Roman" w:eastAsia="宋体"/>
          <w:b w:val="0"/>
          <w:color w:val="auto"/>
          <w:sz w:val="24"/>
          <w:szCs w:val="24"/>
          <w:lang w:eastAsia="zh-CN"/>
        </w:rPr>
      </w:pPr>
      <w:r>
        <w:rPr>
          <w:rFonts w:ascii="Times New Roman" w:hAnsi="Times New Roman"/>
          <w:color w:val="auto"/>
        </w:rPr>
        <w:fldChar w:fldCharType="begin"/>
      </w:r>
      <w:r>
        <w:rPr>
          <w:rFonts w:ascii="Times New Roman" w:hAnsi="Times New Roman"/>
          <w:color w:val="auto"/>
        </w:rPr>
        <w:instrText xml:space="preserve"> HYPERLINK \l "_Toc162467114" \h </w:instrText>
      </w:r>
      <w:r>
        <w:rPr>
          <w:rFonts w:ascii="Times New Roman" w:hAnsi="Times New Roman"/>
          <w:color w:val="auto"/>
        </w:rPr>
        <w:fldChar w:fldCharType="separate"/>
      </w:r>
      <w:r>
        <w:rPr>
          <w:rStyle w:val="42"/>
          <w:rFonts w:ascii="Times New Roman" w:hAnsi="Times New Roman"/>
          <w:b w:val="0"/>
          <w:color w:val="auto"/>
          <w:sz w:val="24"/>
          <w:szCs w:val="24"/>
          <w:u w:val="none"/>
        </w:rPr>
        <w:t>附件5生产许可证企业实地核查报告</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3</w:t>
      </w:r>
      <w:r>
        <w:rPr>
          <w:rFonts w:hint="eastAsia" w:ascii="Times New Roman" w:hAnsi="Times New Roman"/>
          <w:b w:val="0"/>
          <w:color w:val="auto"/>
          <w:sz w:val="24"/>
          <w:szCs w:val="24"/>
          <w:lang w:val="en-US" w:eastAsia="zh-CN"/>
        </w:rPr>
        <w:t>4</w:t>
      </w:r>
    </w:p>
    <w:p>
      <w:pPr>
        <w:pStyle w:val="26"/>
        <w:tabs>
          <w:tab w:val="right" w:leader="dot" w:pos="9062"/>
        </w:tabs>
        <w:spacing w:line="288" w:lineRule="auto"/>
        <w:outlineLvl w:val="0"/>
        <w:rPr>
          <w:rStyle w:val="42"/>
          <w:rFonts w:hint="eastAsia" w:ascii="Times New Roman" w:hAnsi="Times New Roman" w:eastAsia="宋体"/>
          <w:color w:val="auto"/>
          <w:sz w:val="24"/>
          <w:szCs w:val="24"/>
          <w:u w:val="none"/>
          <w:lang w:val="en-US" w:eastAsia="zh-CN"/>
        </w:rPr>
        <w:sectPr>
          <w:footerReference r:id="rId4" w:type="default"/>
          <w:pgSz w:w="11906" w:h="16838"/>
          <w:pgMar w:top="1418" w:right="1418" w:bottom="1418" w:left="1418" w:header="851" w:footer="992" w:gutter="0"/>
          <w:pgNumType w:start="1"/>
          <w:cols w:space="720" w:num="1"/>
          <w:docGrid w:linePitch="360" w:charSpace="6144"/>
        </w:sectPr>
      </w:pPr>
      <w:r>
        <w:rPr>
          <w:rStyle w:val="42"/>
          <w:rFonts w:ascii="Times New Roman" w:hAnsi="Times New Roman"/>
          <w:b w:val="0"/>
          <w:color w:val="auto"/>
          <w:sz w:val="24"/>
          <w:szCs w:val="24"/>
          <w:u w:val="none"/>
        </w:rPr>
        <w:t>附件6本细则与上一版细则主要内容对比</w:t>
      </w:r>
      <w:r>
        <w:rPr>
          <w:rStyle w:val="42"/>
          <w:rFonts w:ascii="Times New Roman" w:hAnsi="Times New Roman"/>
          <w:b w:val="0"/>
          <w:color w:val="auto"/>
          <w:sz w:val="24"/>
          <w:szCs w:val="24"/>
          <w:u w:val="none"/>
        </w:rPr>
        <w:tab/>
      </w:r>
      <w:r>
        <w:rPr>
          <w:rStyle w:val="42"/>
          <w:rFonts w:ascii="Times New Roman" w:hAnsi="Times New Roman"/>
          <w:b w:val="0"/>
          <w:color w:val="auto"/>
          <w:sz w:val="24"/>
          <w:szCs w:val="24"/>
          <w:u w:val="none"/>
        </w:rPr>
        <w:t>3</w:t>
      </w:r>
      <w:r>
        <w:rPr>
          <w:rStyle w:val="42"/>
          <w:rFonts w:hint="eastAsia" w:ascii="Times New Roman" w:hAnsi="Times New Roman"/>
          <w:b w:val="0"/>
          <w:color w:val="auto"/>
          <w:sz w:val="24"/>
          <w:szCs w:val="24"/>
          <w:u w:val="none"/>
          <w:lang w:val="en-US" w:eastAsia="zh-CN"/>
        </w:rPr>
        <w:t>5</w:t>
      </w:r>
    </w:p>
    <w:p>
      <w:pPr>
        <w:jc w:val="center"/>
        <w:rPr>
          <w:rFonts w:ascii="Times New Roman" w:hAnsi="Times New Roman"/>
          <w:b/>
          <w:color w:val="auto"/>
          <w:sz w:val="44"/>
          <w:szCs w:val="44"/>
        </w:rPr>
      </w:pPr>
      <w:r>
        <w:rPr>
          <w:rFonts w:ascii="Times New Roman" w:hAnsi="Times New Roman"/>
          <w:b/>
          <w:color w:val="auto"/>
          <w:sz w:val="44"/>
          <w:szCs w:val="44"/>
        </w:rPr>
        <w:t>化肥产品生产许可证实施细则（二）</w:t>
      </w:r>
    </w:p>
    <w:p>
      <w:pPr>
        <w:jc w:val="center"/>
        <w:rPr>
          <w:rFonts w:ascii="Times New Roman" w:hAnsi="Times New Roman"/>
          <w:b/>
          <w:color w:val="auto"/>
          <w:sz w:val="44"/>
          <w:szCs w:val="44"/>
        </w:rPr>
      </w:pPr>
      <w:r>
        <w:rPr>
          <w:rFonts w:ascii="Times New Roman" w:hAnsi="Times New Roman"/>
          <w:b/>
          <w:color w:val="auto"/>
          <w:sz w:val="44"/>
          <w:szCs w:val="44"/>
        </w:rPr>
        <w:t>（</w:t>
      </w:r>
      <w:r>
        <w:rPr>
          <w:rFonts w:ascii="Times New Roman" w:hAnsi="Times New Roman"/>
          <w:b/>
          <w:color w:val="auto"/>
          <w:sz w:val="44"/>
        </w:rPr>
        <w:t>磷肥产品部分</w:t>
      </w:r>
      <w:r>
        <w:rPr>
          <w:rFonts w:ascii="Times New Roman" w:hAnsi="Times New Roman"/>
          <w:b/>
          <w:color w:val="auto"/>
          <w:sz w:val="44"/>
          <w:szCs w:val="44"/>
        </w:rPr>
        <w:t>）</w:t>
      </w:r>
    </w:p>
    <w:p>
      <w:pPr>
        <w:tabs>
          <w:tab w:val="left" w:pos="8788"/>
        </w:tabs>
        <w:spacing w:line="240" w:lineRule="exact"/>
        <w:outlineLvl w:val="0"/>
        <w:rPr>
          <w:rFonts w:ascii="Times New Roman" w:hAnsi="Times New Roman"/>
          <w:b/>
          <w:color w:val="auto"/>
          <w:sz w:val="36"/>
          <w:szCs w:val="36"/>
        </w:rPr>
      </w:pPr>
    </w:p>
    <w:p>
      <w:pPr>
        <w:pStyle w:val="56"/>
        <w:spacing w:line="360" w:lineRule="auto"/>
        <w:ind w:firstLine="0"/>
        <w:jc w:val="center"/>
        <w:outlineLvl w:val="1"/>
        <w:rPr>
          <w:rFonts w:ascii="Times New Roman" w:hAnsi="Times New Roman" w:eastAsia="宋体"/>
          <w:b/>
          <w:color w:val="auto"/>
          <w:sz w:val="28"/>
          <w:szCs w:val="28"/>
        </w:rPr>
      </w:pPr>
      <w:bookmarkStart w:id="0" w:name="_Toc507721775"/>
      <w:bookmarkStart w:id="1" w:name="_Toc178002833"/>
      <w:bookmarkStart w:id="2" w:name="_Toc178002552"/>
      <w:r>
        <w:rPr>
          <w:rFonts w:ascii="Times New Roman" w:hAnsi="Times New Roman" w:eastAsia="宋体"/>
          <w:b/>
          <w:color w:val="auto"/>
          <w:sz w:val="28"/>
          <w:szCs w:val="28"/>
        </w:rPr>
        <w:t>第一章 总则</w:t>
      </w:r>
      <w:bookmarkEnd w:id="0"/>
      <w:bookmarkEnd w:id="1"/>
      <w:bookmarkEnd w:id="2"/>
    </w:p>
    <w:p>
      <w:pPr>
        <w:snapToGrid w:val="0"/>
        <w:spacing w:line="360" w:lineRule="auto"/>
        <w:ind w:firstLine="420" w:firstLineChars="200"/>
        <w:rPr>
          <w:rFonts w:ascii="Times New Roman" w:hAnsi="Times New Roman"/>
          <w:color w:val="auto"/>
        </w:rPr>
      </w:pPr>
      <w:r>
        <w:rPr>
          <w:rFonts w:ascii="Times New Roman" w:hAnsi="Times New Roman"/>
          <w:color w:val="auto"/>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numPr>
          <w:ilvl w:val="0"/>
          <w:numId w:val="1"/>
        </w:numPr>
        <w:snapToGrid w:val="0"/>
        <w:spacing w:line="360" w:lineRule="auto"/>
        <w:ind w:firstLine="420" w:firstLineChars="200"/>
        <w:rPr>
          <w:rFonts w:ascii="Times New Roman" w:hAnsi="Times New Roman"/>
          <w:color w:val="auto"/>
        </w:rPr>
      </w:pPr>
      <w:r>
        <w:rPr>
          <w:rFonts w:ascii="Times New Roman" w:hAnsi="Times New Roman"/>
          <w:color w:val="auto"/>
        </w:rPr>
        <w:t>本细则适用于磷肥产品生产许可证核发等工作，应与通则一并使用。</w:t>
      </w:r>
    </w:p>
    <w:p>
      <w:pPr>
        <w:spacing w:line="360" w:lineRule="auto"/>
        <w:rPr>
          <w:rFonts w:ascii="Times New Roman" w:hAnsi="Times New Roman"/>
          <w:color w:val="auto"/>
        </w:rPr>
      </w:pPr>
      <w:bookmarkStart w:id="3" w:name="_Toc507721776"/>
      <w:r>
        <w:rPr>
          <w:rFonts w:ascii="Times New Roman" w:hAnsi="Times New Roman"/>
          <w:color w:val="auto"/>
        </w:rPr>
        <w:tab/>
      </w:r>
      <w:r>
        <w:rPr>
          <w:rFonts w:ascii="Times New Roman" w:hAnsi="Times New Roman"/>
          <w:color w:val="auto"/>
        </w:rPr>
        <w:tab/>
      </w:r>
      <w:r>
        <w:rPr>
          <w:rFonts w:ascii="Times New Roman" w:hAnsi="Times New Roman"/>
          <w:color w:val="auto"/>
        </w:rPr>
        <w:t xml:space="preserve">    第三条</w:t>
      </w:r>
      <w:bookmarkEnd w:id="3"/>
      <w:r>
        <w:rPr>
          <w:rFonts w:ascii="Times New Roman" w:hAnsi="Times New Roman"/>
          <w:color w:val="auto"/>
        </w:rPr>
        <w:t xml:space="preserve"> 磷肥产品由省级工业产品生产许可证主管部门审批发证。</w:t>
      </w:r>
    </w:p>
    <w:p>
      <w:pPr>
        <w:pStyle w:val="56"/>
        <w:spacing w:line="360" w:lineRule="auto"/>
        <w:ind w:left="420" w:firstLine="0"/>
        <w:jc w:val="center"/>
        <w:outlineLvl w:val="1"/>
        <w:rPr>
          <w:rFonts w:ascii="Times New Roman" w:hAnsi="Times New Roman" w:eastAsia="宋体"/>
          <w:b/>
          <w:color w:val="auto"/>
          <w:sz w:val="28"/>
          <w:szCs w:val="28"/>
        </w:rPr>
      </w:pPr>
      <w:bookmarkStart w:id="4" w:name="_Toc507721777"/>
      <w:bookmarkStart w:id="5" w:name="_Toc178002553"/>
      <w:bookmarkStart w:id="6" w:name="_Toc178002834"/>
    </w:p>
    <w:p>
      <w:pPr>
        <w:pStyle w:val="56"/>
        <w:spacing w:line="360" w:lineRule="auto"/>
        <w:ind w:left="420" w:firstLine="0"/>
        <w:jc w:val="center"/>
        <w:outlineLvl w:val="1"/>
        <w:rPr>
          <w:rFonts w:ascii="Times New Roman" w:hAnsi="Times New Roman" w:eastAsia="宋体"/>
          <w:b/>
          <w:color w:val="auto"/>
          <w:sz w:val="28"/>
          <w:szCs w:val="28"/>
        </w:rPr>
      </w:pPr>
      <w:r>
        <w:rPr>
          <w:rFonts w:ascii="Times New Roman" w:hAnsi="Times New Roman" w:eastAsia="宋体"/>
          <w:b/>
          <w:color w:val="auto"/>
          <w:sz w:val="28"/>
          <w:szCs w:val="28"/>
        </w:rPr>
        <w:t>第二章</w:t>
      </w:r>
      <w:bookmarkEnd w:id="4"/>
      <w:r>
        <w:rPr>
          <w:rFonts w:ascii="Times New Roman" w:hAnsi="Times New Roman" w:eastAsia="宋体"/>
          <w:b/>
          <w:color w:val="auto"/>
          <w:sz w:val="28"/>
          <w:szCs w:val="28"/>
        </w:rPr>
        <w:t xml:space="preserve"> 发证产品及标准</w:t>
      </w:r>
      <w:bookmarkEnd w:id="5"/>
      <w:bookmarkEnd w:id="6"/>
    </w:p>
    <w:p>
      <w:pPr>
        <w:snapToGrid w:val="0"/>
        <w:spacing w:line="360" w:lineRule="auto"/>
        <w:ind w:firstLine="420" w:firstLineChars="200"/>
        <w:rPr>
          <w:rFonts w:ascii="Times New Roman" w:hAnsi="Times New Roman"/>
          <w:color w:val="auto"/>
        </w:rPr>
      </w:pPr>
      <w:r>
        <w:rPr>
          <w:rFonts w:ascii="Times New Roman" w:hAnsi="Times New Roman"/>
          <w:color w:val="auto"/>
        </w:rPr>
        <w:t>第四条 本细则规定了发证产品定义、范围及单元划分。</w:t>
      </w:r>
    </w:p>
    <w:p>
      <w:pPr>
        <w:snapToGrid w:val="0"/>
        <w:spacing w:line="360" w:lineRule="auto"/>
        <w:ind w:firstLine="420" w:firstLineChars="200"/>
        <w:rPr>
          <w:rFonts w:ascii="Times New Roman" w:hAnsi="Times New Roman"/>
          <w:color w:val="auto"/>
        </w:rPr>
      </w:pPr>
      <w:r>
        <w:rPr>
          <w:rFonts w:ascii="Times New Roman" w:hAnsi="Times New Roman"/>
          <w:color w:val="auto"/>
        </w:rPr>
        <w:t>（一）定义</w:t>
      </w:r>
    </w:p>
    <w:p>
      <w:pPr>
        <w:pStyle w:val="111"/>
        <w:spacing w:line="360" w:lineRule="auto"/>
        <w:ind w:firstLine="420"/>
        <w:rPr>
          <w:rFonts w:eastAsia="宋体"/>
          <w:color w:val="auto"/>
          <w:spacing w:val="0"/>
          <w:kern w:val="2"/>
          <w:sz w:val="21"/>
          <w:szCs w:val="20"/>
        </w:rPr>
      </w:pPr>
      <w:r>
        <w:rPr>
          <w:rFonts w:eastAsia="宋体"/>
          <w:color w:val="auto"/>
          <w:spacing w:val="0"/>
          <w:kern w:val="2"/>
          <w:sz w:val="21"/>
          <w:szCs w:val="20"/>
        </w:rPr>
        <w:t>过磷酸钙：以硫酸与磷矿粉反应生成的，以磷酸一钙和硫酸钙为主要成分的产品。</w:t>
      </w:r>
    </w:p>
    <w:p>
      <w:pPr>
        <w:pStyle w:val="111"/>
        <w:spacing w:line="360" w:lineRule="auto"/>
        <w:ind w:firstLine="420"/>
        <w:rPr>
          <w:rFonts w:eastAsia="宋体"/>
          <w:color w:val="auto"/>
          <w:spacing w:val="0"/>
          <w:kern w:val="2"/>
          <w:sz w:val="21"/>
          <w:szCs w:val="20"/>
        </w:rPr>
      </w:pPr>
      <w:r>
        <w:rPr>
          <w:rFonts w:eastAsia="宋体"/>
          <w:color w:val="auto"/>
          <w:spacing w:val="0"/>
          <w:kern w:val="2"/>
          <w:sz w:val="21"/>
          <w:szCs w:val="20"/>
        </w:rPr>
        <w:t>钙镁磷肥：以磷矿石与含镁、硅的矿石，经高温熔融、水淬、干燥等工序所制得的含有磷、钙、镁、硅等营养元素的碱性玻璃态肥料，以及在生产中加入助剂造粒成球的颗粒状产品。</w:t>
      </w:r>
    </w:p>
    <w:p>
      <w:pPr>
        <w:pStyle w:val="111"/>
        <w:spacing w:line="360" w:lineRule="auto"/>
        <w:ind w:firstLine="420"/>
        <w:rPr>
          <w:rFonts w:eastAsia="宋体"/>
          <w:color w:val="auto"/>
          <w:spacing w:val="0"/>
          <w:kern w:val="2"/>
          <w:sz w:val="21"/>
          <w:szCs w:val="20"/>
        </w:rPr>
      </w:pPr>
      <w:r>
        <w:rPr>
          <w:rFonts w:eastAsia="宋体"/>
          <w:color w:val="auto"/>
          <w:spacing w:val="0"/>
          <w:kern w:val="2"/>
          <w:sz w:val="21"/>
          <w:szCs w:val="20"/>
        </w:rPr>
        <w:t>钙镁磷钾肥：磷矿石、含钾矿石与含镁、硅的矿石经高温熔融、水淬、干燥和磨细所制得的产品。</w:t>
      </w:r>
    </w:p>
    <w:p>
      <w:pPr>
        <w:snapToGrid w:val="0"/>
        <w:spacing w:line="360" w:lineRule="auto"/>
        <w:ind w:firstLine="420" w:firstLineChars="200"/>
        <w:rPr>
          <w:rFonts w:ascii="Times New Roman" w:hAnsi="Times New Roman"/>
          <w:color w:val="auto"/>
        </w:rPr>
      </w:pPr>
      <w:r>
        <w:rPr>
          <w:rFonts w:ascii="Times New Roman" w:hAnsi="Times New Roman"/>
          <w:color w:val="auto"/>
          <w:szCs w:val="20"/>
        </w:rPr>
        <w:t>肥料级磷酸氢钙：以来源于无机磷酸盐的溶解磷酸经沉淀制得的，以二水磷酸氢钙为主要成分的产品</w:t>
      </w:r>
      <w:r>
        <w:rPr>
          <w:rFonts w:ascii="Times New Roman" w:hAnsi="Times New Roman"/>
          <w:color w:val="auto"/>
          <w:sz w:val="24"/>
        </w:rPr>
        <w:t>。</w:t>
      </w:r>
    </w:p>
    <w:p>
      <w:pPr>
        <w:snapToGrid w:val="0"/>
        <w:spacing w:line="360" w:lineRule="auto"/>
        <w:ind w:firstLine="420" w:firstLineChars="200"/>
        <w:rPr>
          <w:rFonts w:ascii="Times New Roman" w:hAnsi="Times New Roman"/>
          <w:color w:val="auto"/>
        </w:rPr>
      </w:pPr>
      <w:r>
        <w:rPr>
          <w:rFonts w:ascii="Times New Roman" w:hAnsi="Times New Roman"/>
          <w:color w:val="auto"/>
        </w:rPr>
        <w:t>（二）范围</w:t>
      </w:r>
    </w:p>
    <w:p>
      <w:pPr>
        <w:snapToGrid w:val="0"/>
        <w:spacing w:line="360" w:lineRule="auto"/>
        <w:ind w:firstLine="420" w:firstLineChars="200"/>
        <w:rPr>
          <w:rFonts w:ascii="Times New Roman" w:hAnsi="Times New Roman"/>
          <w:color w:val="auto"/>
        </w:rPr>
      </w:pPr>
      <w:r>
        <w:rPr>
          <w:rFonts w:ascii="Times New Roman" w:hAnsi="Times New Roman"/>
          <w:color w:val="auto"/>
        </w:rPr>
        <w:t>按团体标准、企业标准等生产，或按照国际标准、国外标准生产并在国内销售的磷肥产品，属于本细则列出的相关国家标准、行业标准的范畴或适用范围的，企业应按相应的国家标准、行业标准申请取证，</w:t>
      </w:r>
      <w:r>
        <w:rPr>
          <w:rFonts w:ascii="Times New Roman" w:hAnsi="Times New Roman"/>
          <w:bCs/>
          <w:color w:val="auto"/>
        </w:rPr>
        <w:t>企业生产的产品应当满足相应国家标准</w:t>
      </w:r>
      <w:r>
        <w:rPr>
          <w:rFonts w:hint="eastAsia" w:ascii="Times New Roman" w:hAnsi="Times New Roman"/>
          <w:bCs/>
          <w:color w:val="auto"/>
        </w:rPr>
        <w:t>、</w:t>
      </w:r>
      <w:r>
        <w:rPr>
          <w:rFonts w:ascii="Times New Roman" w:hAnsi="Times New Roman"/>
          <w:bCs/>
          <w:color w:val="auto"/>
        </w:rPr>
        <w:t>行业标准要求。</w:t>
      </w:r>
    </w:p>
    <w:p>
      <w:pPr>
        <w:snapToGrid w:val="0"/>
        <w:spacing w:line="360" w:lineRule="auto"/>
        <w:ind w:firstLine="420" w:firstLineChars="200"/>
        <w:rPr>
          <w:rFonts w:ascii="Times New Roman" w:hAnsi="Times New Roman"/>
          <w:color w:val="auto"/>
        </w:rPr>
      </w:pPr>
      <w:r>
        <w:rPr>
          <w:rFonts w:ascii="Times New Roman" w:hAnsi="Times New Roman"/>
          <w:color w:val="auto"/>
        </w:rPr>
        <w:t>（三）单元划分</w:t>
      </w:r>
    </w:p>
    <w:p>
      <w:pPr>
        <w:snapToGrid w:val="0"/>
        <w:spacing w:line="360" w:lineRule="auto"/>
        <w:ind w:firstLine="420" w:firstLineChars="200"/>
        <w:rPr>
          <w:rFonts w:ascii="Times New Roman" w:hAnsi="Times New Roman"/>
          <w:color w:val="auto"/>
        </w:rPr>
      </w:pPr>
      <w:r>
        <w:rPr>
          <w:rFonts w:ascii="Times New Roman" w:hAnsi="Times New Roman"/>
          <w:color w:val="auto"/>
        </w:rPr>
        <w:t>本细则规定的磷肥产品划分为过磷酸钙、钙镁磷肥、钙镁磷钾肥、肥料级磷酸氢钙4个产品单元，产品单元及磷肥种类见表1。</w:t>
      </w:r>
    </w:p>
    <w:p>
      <w:pPr>
        <w:snapToGrid w:val="0"/>
        <w:spacing w:before="120" w:beforeLines="50" w:line="360" w:lineRule="auto"/>
        <w:jc w:val="center"/>
        <w:rPr>
          <w:rFonts w:ascii="Times New Roman" w:hAnsi="Times New Roman"/>
          <w:b/>
          <w:color w:val="auto"/>
        </w:rPr>
      </w:pPr>
      <w:r>
        <w:rPr>
          <w:rFonts w:ascii="Times New Roman" w:hAnsi="Times New Roman"/>
          <w:b/>
          <w:color w:val="auto"/>
        </w:rPr>
        <w:t>表1磷肥产品单元及磷肥种类</w:t>
      </w:r>
    </w:p>
    <w:tbl>
      <w:tblPr>
        <w:tblStyle w:val="3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60"/>
        <w:gridCol w:w="2410"/>
        <w:gridCol w:w="4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560" w:type="dxa"/>
            <w:vAlign w:val="center"/>
          </w:tcPr>
          <w:p>
            <w:pPr>
              <w:adjustRightInd w:val="0"/>
              <w:snapToGrid w:val="0"/>
              <w:jc w:val="center"/>
              <w:rPr>
                <w:rFonts w:ascii="Times New Roman" w:hAnsi="Times New Roman"/>
                <w:b/>
                <w:color w:val="auto"/>
              </w:rPr>
            </w:pPr>
            <w:bookmarkStart w:id="7" w:name="_Hlk167792379"/>
            <w:bookmarkStart w:id="8" w:name="_Hlk167712533"/>
            <w:r>
              <w:rPr>
                <w:rFonts w:ascii="Times New Roman" w:hAnsi="Times New Roman"/>
                <w:b/>
                <w:color w:val="auto"/>
              </w:rPr>
              <w:t>序号</w:t>
            </w:r>
          </w:p>
        </w:tc>
        <w:tc>
          <w:tcPr>
            <w:tcW w:w="2410" w:type="dxa"/>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4956" w:type="dxa"/>
          </w:tcPr>
          <w:p>
            <w:pPr>
              <w:adjustRightInd w:val="0"/>
              <w:snapToGrid w:val="0"/>
              <w:jc w:val="center"/>
              <w:rPr>
                <w:rFonts w:ascii="Times New Roman" w:hAnsi="Times New Roman"/>
                <w:b/>
                <w:color w:val="auto"/>
              </w:rPr>
            </w:pPr>
            <w:r>
              <w:rPr>
                <w:rFonts w:ascii="Times New Roman" w:hAnsi="Times New Roman"/>
                <w:b/>
                <w:color w:val="auto"/>
              </w:rPr>
              <w:t>磷肥种类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560" w:type="dxa"/>
            <w:vAlign w:val="center"/>
          </w:tcPr>
          <w:p>
            <w:pPr>
              <w:adjustRightInd w:val="0"/>
              <w:snapToGrid w:val="0"/>
              <w:jc w:val="center"/>
              <w:rPr>
                <w:rFonts w:ascii="Times New Roman" w:hAnsi="Times New Roman"/>
                <w:color w:val="auto"/>
              </w:rPr>
            </w:pPr>
            <w:r>
              <w:rPr>
                <w:rFonts w:ascii="Times New Roman" w:hAnsi="Times New Roman"/>
                <w:color w:val="auto"/>
              </w:rPr>
              <w:t>1</w:t>
            </w:r>
          </w:p>
        </w:tc>
        <w:tc>
          <w:tcPr>
            <w:tcW w:w="2410" w:type="dxa"/>
            <w:vAlign w:val="center"/>
          </w:tcPr>
          <w:p>
            <w:pPr>
              <w:adjustRightInd w:val="0"/>
              <w:snapToGrid w:val="0"/>
              <w:jc w:val="center"/>
              <w:rPr>
                <w:rFonts w:ascii="Times New Roman" w:hAnsi="Times New Roman"/>
                <w:color w:val="auto"/>
              </w:rPr>
            </w:pPr>
            <w:r>
              <w:rPr>
                <w:rFonts w:ascii="Times New Roman" w:hAnsi="Times New Roman"/>
                <w:color w:val="auto"/>
              </w:rPr>
              <w:t>过磷酸钙</w:t>
            </w:r>
          </w:p>
        </w:tc>
        <w:tc>
          <w:tcPr>
            <w:tcW w:w="4956" w:type="dxa"/>
            <w:vAlign w:val="center"/>
          </w:tcPr>
          <w:p>
            <w:pPr>
              <w:adjustRightInd w:val="0"/>
              <w:snapToGrid w:val="0"/>
              <w:jc w:val="center"/>
              <w:rPr>
                <w:rFonts w:ascii="Times New Roman" w:hAnsi="Times New Roman"/>
                <w:color w:val="auto"/>
              </w:rPr>
            </w:pPr>
            <w:r>
              <w:rPr>
                <w:rFonts w:ascii="Times New Roman" w:hAnsi="Times New Roman"/>
                <w:color w:val="auto"/>
              </w:rPr>
              <w:t>过磷酸钙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560" w:type="dxa"/>
            <w:vAlign w:val="center"/>
          </w:tcPr>
          <w:p>
            <w:pPr>
              <w:adjustRightInd w:val="0"/>
              <w:snapToGrid w:val="0"/>
              <w:jc w:val="center"/>
              <w:rPr>
                <w:rFonts w:ascii="Times New Roman" w:hAnsi="Times New Roman"/>
                <w:color w:val="auto"/>
              </w:rPr>
            </w:pPr>
            <w:r>
              <w:rPr>
                <w:rFonts w:ascii="Times New Roman" w:hAnsi="Times New Roman"/>
                <w:color w:val="auto"/>
              </w:rPr>
              <w:t>2</w:t>
            </w:r>
          </w:p>
        </w:tc>
        <w:tc>
          <w:tcPr>
            <w:tcW w:w="2410" w:type="dxa"/>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c>
          <w:tcPr>
            <w:tcW w:w="4956" w:type="dxa"/>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560" w:type="dxa"/>
            <w:vAlign w:val="center"/>
          </w:tcPr>
          <w:p>
            <w:pPr>
              <w:adjustRightInd w:val="0"/>
              <w:snapToGrid w:val="0"/>
              <w:jc w:val="center"/>
              <w:rPr>
                <w:rFonts w:ascii="Times New Roman" w:hAnsi="Times New Roman"/>
                <w:color w:val="auto"/>
              </w:rPr>
            </w:pPr>
            <w:r>
              <w:rPr>
                <w:rFonts w:ascii="Times New Roman" w:hAnsi="Times New Roman"/>
                <w:color w:val="auto"/>
              </w:rPr>
              <w:t>3</w:t>
            </w:r>
          </w:p>
        </w:tc>
        <w:tc>
          <w:tcPr>
            <w:tcW w:w="2410" w:type="dxa"/>
            <w:vAlign w:val="center"/>
          </w:tcPr>
          <w:p>
            <w:pPr>
              <w:adjustRightInd w:val="0"/>
              <w:snapToGrid w:val="0"/>
              <w:jc w:val="center"/>
              <w:rPr>
                <w:rFonts w:ascii="Times New Roman" w:hAnsi="Times New Roman"/>
                <w:color w:val="auto"/>
              </w:rPr>
            </w:pPr>
            <w:r>
              <w:rPr>
                <w:rFonts w:ascii="Times New Roman" w:hAnsi="Times New Roman"/>
                <w:color w:val="auto"/>
              </w:rPr>
              <w:t>钙镁磷钾肥</w:t>
            </w:r>
          </w:p>
        </w:tc>
        <w:tc>
          <w:tcPr>
            <w:tcW w:w="4956" w:type="dxa"/>
            <w:vAlign w:val="center"/>
          </w:tcPr>
          <w:p>
            <w:pPr>
              <w:adjustRightInd w:val="0"/>
              <w:snapToGrid w:val="0"/>
              <w:jc w:val="center"/>
              <w:rPr>
                <w:rFonts w:ascii="Times New Roman" w:hAnsi="Times New Roman"/>
                <w:color w:val="auto"/>
              </w:rPr>
            </w:pPr>
            <w:r>
              <w:rPr>
                <w:rFonts w:ascii="Times New Roman" w:hAnsi="Times New Roman"/>
                <w:color w:val="auto"/>
              </w:rPr>
              <w:t>钙镁磷钾肥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560" w:type="dxa"/>
            <w:vAlign w:val="center"/>
          </w:tcPr>
          <w:p>
            <w:pPr>
              <w:adjustRightInd w:val="0"/>
              <w:snapToGrid w:val="0"/>
              <w:jc w:val="center"/>
              <w:rPr>
                <w:rFonts w:ascii="Times New Roman" w:hAnsi="Times New Roman"/>
                <w:color w:val="auto"/>
              </w:rPr>
            </w:pPr>
            <w:r>
              <w:rPr>
                <w:rFonts w:ascii="Times New Roman" w:hAnsi="Times New Roman"/>
                <w:color w:val="auto"/>
              </w:rPr>
              <w:t>4</w:t>
            </w:r>
          </w:p>
        </w:tc>
        <w:tc>
          <w:tcPr>
            <w:tcW w:w="2410" w:type="dxa"/>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c>
          <w:tcPr>
            <w:tcW w:w="4956" w:type="dxa"/>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r>
    </w:tbl>
    <w:p>
      <w:pPr>
        <w:pStyle w:val="54"/>
        <w:widowControl w:val="0"/>
        <w:adjustRightInd/>
        <w:spacing w:before="120" w:beforeLines="50" w:after="240" w:afterLines="100" w:line="360" w:lineRule="auto"/>
        <w:rPr>
          <w:rFonts w:ascii="Times New Roman" w:hAnsi="Times New Roman"/>
          <w:color w:val="auto"/>
          <w:sz w:val="18"/>
          <w:szCs w:val="18"/>
        </w:rPr>
      </w:pPr>
      <w:r>
        <w:rPr>
          <w:rFonts w:ascii="Times New Roman" w:hAnsi="Times New Roman"/>
          <w:iCs/>
          <w:color w:val="auto"/>
          <w:sz w:val="18"/>
          <w:szCs w:val="18"/>
        </w:rPr>
        <w:t>注：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6），查处时间仍以原公告时间为准。</w:t>
      </w:r>
    </w:p>
    <w:p>
      <w:pPr>
        <w:snapToGrid w:val="0"/>
        <w:spacing w:line="360" w:lineRule="auto"/>
        <w:ind w:firstLine="420" w:firstLineChars="200"/>
        <w:rPr>
          <w:rFonts w:ascii="Times New Roman" w:hAnsi="Times New Roman"/>
          <w:color w:val="auto"/>
        </w:rPr>
      </w:pPr>
      <w:r>
        <w:rPr>
          <w:rFonts w:ascii="Times New Roman" w:hAnsi="Times New Roman"/>
          <w:color w:val="auto"/>
        </w:rPr>
        <w:t>第五条 本细则的发证产品应执行的产品标准和相关标准见表2。</w:t>
      </w:r>
    </w:p>
    <w:p>
      <w:pPr>
        <w:snapToGrid w:val="0"/>
        <w:spacing w:line="360" w:lineRule="auto"/>
        <w:ind w:firstLine="420" w:firstLineChars="200"/>
        <w:rPr>
          <w:rFonts w:ascii="Times New Roman" w:hAnsi="Times New Roman"/>
          <w:color w:val="auto"/>
        </w:rPr>
      </w:pPr>
      <w:r>
        <w:rPr>
          <w:rFonts w:ascii="Times New Roman" w:hAnsi="Times New Roman"/>
          <w:color w:val="auto"/>
        </w:rPr>
        <w:t>本细则在实施过程中，产品的国家标准、行业标准一经修订，企业应当自标准实施之日起按新标准组织生产，生产许可证企业实地核查和产品检验</w:t>
      </w:r>
      <w:r>
        <w:rPr>
          <w:rFonts w:hint="eastAsia" w:ascii="Times New Roman" w:hAnsi="Times New Roman"/>
          <w:color w:val="auto"/>
          <w:lang w:val="en-US" w:eastAsia="zh-CN"/>
        </w:rPr>
        <w:t>检测</w:t>
      </w:r>
      <w:r>
        <w:rPr>
          <w:rFonts w:ascii="Times New Roman" w:hAnsi="Times New Roman"/>
          <w:color w:val="auto"/>
        </w:rPr>
        <w:t>应按照新标准要求进行。</w:t>
      </w:r>
    </w:p>
    <w:bookmarkEnd w:id="7"/>
    <w:bookmarkEnd w:id="8"/>
    <w:p>
      <w:pPr>
        <w:snapToGrid w:val="0"/>
        <w:spacing w:before="240" w:beforeLines="100" w:line="360" w:lineRule="auto"/>
        <w:jc w:val="center"/>
        <w:rPr>
          <w:rFonts w:ascii="Times New Roman" w:hAnsi="Times New Roman"/>
          <w:b/>
          <w:color w:val="auto"/>
        </w:rPr>
      </w:pPr>
      <w:r>
        <w:rPr>
          <w:rFonts w:ascii="Times New Roman" w:hAnsi="Times New Roman"/>
          <w:b/>
          <w:color w:val="auto"/>
        </w:rPr>
        <w:t>表2 磷肥产品执行标准和相关标准</w:t>
      </w:r>
    </w:p>
    <w:tbl>
      <w:tblPr>
        <w:tblStyle w:val="3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87"/>
        <w:gridCol w:w="1109"/>
        <w:gridCol w:w="1985"/>
        <w:gridCol w:w="5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587" w:type="dxa"/>
            <w:vAlign w:val="center"/>
          </w:tcPr>
          <w:p>
            <w:pPr>
              <w:adjustRightInd w:val="0"/>
              <w:snapToGrid w:val="0"/>
              <w:jc w:val="center"/>
              <w:rPr>
                <w:rFonts w:ascii="Times New Roman" w:hAnsi="Times New Roman"/>
                <w:b/>
                <w:color w:val="auto"/>
              </w:rPr>
            </w:pPr>
            <w:r>
              <w:rPr>
                <w:rFonts w:ascii="Times New Roman" w:hAnsi="Times New Roman"/>
                <w:b/>
                <w:color w:val="auto"/>
              </w:rPr>
              <w:t>序号</w:t>
            </w:r>
          </w:p>
        </w:tc>
        <w:tc>
          <w:tcPr>
            <w:tcW w:w="1109" w:type="dxa"/>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1985" w:type="dxa"/>
            <w:vAlign w:val="center"/>
          </w:tcPr>
          <w:p>
            <w:pPr>
              <w:adjustRightInd w:val="0"/>
              <w:snapToGrid w:val="0"/>
              <w:jc w:val="center"/>
              <w:rPr>
                <w:rFonts w:ascii="Times New Roman" w:hAnsi="Times New Roman"/>
                <w:b/>
                <w:color w:val="auto"/>
              </w:rPr>
            </w:pPr>
            <w:r>
              <w:rPr>
                <w:rFonts w:ascii="Times New Roman" w:hAnsi="Times New Roman"/>
                <w:b/>
                <w:color w:val="auto"/>
              </w:rPr>
              <w:t>磷肥种类及标准</w:t>
            </w:r>
          </w:p>
        </w:tc>
        <w:tc>
          <w:tcPr>
            <w:tcW w:w="5605" w:type="dxa"/>
            <w:vAlign w:val="center"/>
          </w:tcPr>
          <w:p>
            <w:pPr>
              <w:adjustRightInd w:val="0"/>
              <w:snapToGrid w:val="0"/>
              <w:jc w:val="center"/>
              <w:rPr>
                <w:rFonts w:ascii="Times New Roman" w:hAnsi="Times New Roman"/>
                <w:b/>
                <w:color w:val="auto"/>
              </w:rPr>
            </w:pPr>
            <w:r>
              <w:rPr>
                <w:rFonts w:ascii="Times New Roman" w:hAnsi="Times New Roman"/>
                <w:b/>
                <w:color w:val="auto"/>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7" w:type="dxa"/>
            <w:vAlign w:val="center"/>
          </w:tcPr>
          <w:p>
            <w:pPr>
              <w:adjustRightInd w:val="0"/>
              <w:snapToGrid w:val="0"/>
              <w:jc w:val="center"/>
              <w:rPr>
                <w:rFonts w:ascii="Times New Roman" w:hAnsi="Times New Roman"/>
                <w:color w:val="auto"/>
              </w:rPr>
            </w:pPr>
            <w:r>
              <w:rPr>
                <w:rFonts w:ascii="Times New Roman" w:hAnsi="Times New Roman"/>
                <w:color w:val="auto"/>
              </w:rPr>
              <w:t>1</w:t>
            </w:r>
          </w:p>
        </w:tc>
        <w:tc>
          <w:tcPr>
            <w:tcW w:w="1109" w:type="dxa"/>
            <w:vAlign w:val="center"/>
          </w:tcPr>
          <w:p>
            <w:pPr>
              <w:adjustRightInd w:val="0"/>
              <w:snapToGrid w:val="0"/>
              <w:jc w:val="center"/>
              <w:rPr>
                <w:rFonts w:ascii="Times New Roman" w:hAnsi="Times New Roman"/>
                <w:color w:val="auto"/>
              </w:rPr>
            </w:pPr>
            <w:r>
              <w:rPr>
                <w:rFonts w:ascii="Times New Roman" w:hAnsi="Times New Roman"/>
                <w:color w:val="auto"/>
              </w:rPr>
              <w:t>过磷酸钙</w:t>
            </w:r>
          </w:p>
        </w:tc>
        <w:tc>
          <w:tcPr>
            <w:tcW w:w="1985" w:type="dxa"/>
            <w:vAlign w:val="center"/>
          </w:tcPr>
          <w:p>
            <w:pPr>
              <w:adjustRightInd w:val="0"/>
              <w:snapToGrid w:val="0"/>
              <w:jc w:val="left"/>
              <w:rPr>
                <w:rFonts w:ascii="Times New Roman" w:hAnsi="Times New Roman"/>
                <w:color w:val="auto"/>
              </w:rPr>
            </w:pPr>
            <w:r>
              <w:rPr>
                <w:rFonts w:ascii="Times New Roman" w:hAnsi="Times New Roman"/>
                <w:color w:val="auto"/>
              </w:rPr>
              <w:t>GB/T 20413</w:t>
            </w:r>
            <w:r>
              <w:rPr>
                <w:rFonts w:ascii="Times New Roman" w:hAnsi="Times New Roman" w:eastAsia="仿宋_GB2312"/>
                <w:color w:val="auto"/>
                <w:sz w:val="32"/>
                <w:szCs w:val="32"/>
              </w:rPr>
              <w:t>—</w:t>
            </w:r>
            <w:r>
              <w:rPr>
                <w:rFonts w:ascii="Times New Roman" w:hAnsi="Times New Roman"/>
                <w:color w:val="auto"/>
              </w:rPr>
              <w:t>2017 过磷酸钙</w:t>
            </w:r>
          </w:p>
        </w:tc>
        <w:tc>
          <w:tcPr>
            <w:tcW w:w="5605" w:type="dxa"/>
            <w:vAlign w:val="center"/>
          </w:tcPr>
          <w:p>
            <w:pPr>
              <w:adjustRightInd w:val="0"/>
              <w:snapToGrid w:val="0"/>
              <w:jc w:val="left"/>
              <w:rPr>
                <w:rFonts w:ascii="Times New Roman" w:hAnsi="Times New Roman"/>
                <w:color w:val="auto"/>
              </w:rPr>
            </w:pPr>
            <w:r>
              <w:rPr>
                <w:rFonts w:ascii="Times New Roman" w:hAnsi="Times New Roman"/>
                <w:color w:val="auto"/>
              </w:rPr>
              <w:t>GB 18382—2021 肥料标识 内容和要求</w:t>
            </w:r>
          </w:p>
          <w:p>
            <w:pPr>
              <w:adjustRightInd w:val="0"/>
              <w:snapToGrid w:val="0"/>
              <w:jc w:val="left"/>
              <w:rPr>
                <w:rFonts w:ascii="Times New Roman" w:hAnsi="Times New Roman"/>
                <w:color w:val="auto"/>
              </w:rPr>
            </w:pPr>
            <w:r>
              <w:rPr>
                <w:rFonts w:ascii="Times New Roman" w:hAnsi="Times New Roman"/>
                <w:color w:val="auto"/>
              </w:rPr>
              <w:t>GB 38400—2019 肥料中有毒有害物质的限量要求</w:t>
            </w:r>
          </w:p>
          <w:p>
            <w:pPr>
              <w:adjustRightInd w:val="0"/>
              <w:snapToGrid w:val="0"/>
              <w:jc w:val="left"/>
              <w:rPr>
                <w:rFonts w:ascii="Times New Roman" w:hAnsi="Times New Roman"/>
                <w:color w:val="auto"/>
              </w:rPr>
            </w:pPr>
            <w:r>
              <w:rPr>
                <w:rFonts w:ascii="Times New Roman" w:hAnsi="Times New Roman"/>
                <w:color w:val="auto"/>
              </w:rPr>
              <w:t>GB/T 534—2014 工业硫酸</w:t>
            </w:r>
          </w:p>
          <w:p>
            <w:pPr>
              <w:adjustRightInd w:val="0"/>
              <w:snapToGrid w:val="0"/>
              <w:jc w:val="left"/>
              <w:rPr>
                <w:rFonts w:ascii="Times New Roman" w:hAnsi="Times New Roman"/>
                <w:color w:val="auto"/>
              </w:rPr>
            </w:pPr>
            <w:r>
              <w:rPr>
                <w:rFonts w:ascii="Times New Roman" w:hAnsi="Times New Roman"/>
                <w:color w:val="auto"/>
              </w:rPr>
              <w:t>GB/T 1871.1—1995 磷矿石和磷精矿中五氧化二磷含量的测定</w:t>
            </w:r>
            <w:r>
              <w:rPr>
                <w:rFonts w:hint="eastAsia" w:ascii="Times New Roman" w:hAnsi="Times New Roman"/>
                <w:color w:val="auto"/>
              </w:rPr>
              <w:t xml:space="preserve"> </w:t>
            </w:r>
            <w:r>
              <w:rPr>
                <w:rFonts w:ascii="Times New Roman" w:hAnsi="Times New Roman"/>
                <w:color w:val="auto"/>
              </w:rPr>
              <w:t>磷钼酸喹啉重量法和容量法</w:t>
            </w:r>
          </w:p>
          <w:p>
            <w:pPr>
              <w:adjustRightInd w:val="0"/>
              <w:snapToGrid w:val="0"/>
              <w:jc w:val="left"/>
              <w:rPr>
                <w:rFonts w:ascii="Times New Roman" w:hAnsi="Times New Roman"/>
                <w:color w:val="auto"/>
              </w:rPr>
            </w:pPr>
            <w:r>
              <w:rPr>
                <w:rFonts w:ascii="Times New Roman" w:hAnsi="Times New Roman"/>
                <w:color w:val="auto"/>
              </w:rPr>
              <w:t>GB/T 6003.1—</w:t>
            </w:r>
            <w:r>
              <w:rPr>
                <w:rFonts w:hint="eastAsia" w:ascii="Times New Roman" w:hAnsi="Times New Roman"/>
                <w:color w:val="auto"/>
              </w:rPr>
              <w:t>2022</w:t>
            </w:r>
            <w:r>
              <w:rPr>
                <w:rFonts w:ascii="Times New Roman" w:hAnsi="Times New Roman"/>
                <w:color w:val="auto"/>
              </w:rPr>
              <w:t xml:space="preserve"> 金属丝编织网试验筛</w:t>
            </w:r>
          </w:p>
          <w:p>
            <w:pPr>
              <w:adjustRightInd w:val="0"/>
              <w:snapToGrid w:val="0"/>
              <w:jc w:val="left"/>
              <w:rPr>
                <w:rFonts w:ascii="Times New Roman" w:hAnsi="Times New Roman"/>
                <w:color w:val="auto"/>
              </w:rPr>
            </w:pPr>
            <w:r>
              <w:rPr>
                <w:rFonts w:ascii="Times New Roman" w:hAnsi="Times New Roman"/>
                <w:color w:val="auto"/>
              </w:rPr>
              <w:t>GB/T 8170—2008 数值修约规则与极限数值的表示和判定</w:t>
            </w:r>
          </w:p>
          <w:p>
            <w:pPr>
              <w:adjustRightInd w:val="0"/>
              <w:snapToGrid w:val="0"/>
              <w:jc w:val="left"/>
              <w:rPr>
                <w:rFonts w:ascii="Times New Roman" w:hAnsi="Times New Roman"/>
                <w:color w:val="auto"/>
              </w:rPr>
            </w:pPr>
            <w:r>
              <w:rPr>
                <w:rFonts w:ascii="Times New Roman" w:hAnsi="Times New Roman"/>
                <w:color w:val="auto"/>
              </w:rPr>
              <w:t>GB/T 8569—2009 固体化学肥料包装</w:t>
            </w:r>
          </w:p>
          <w:p>
            <w:pPr>
              <w:adjustRightInd w:val="0"/>
              <w:snapToGrid w:val="0"/>
              <w:jc w:val="left"/>
              <w:rPr>
                <w:rFonts w:ascii="Times New Roman" w:hAnsi="Times New Roman"/>
                <w:color w:val="auto"/>
              </w:rPr>
            </w:pPr>
            <w:r>
              <w:rPr>
                <w:rFonts w:ascii="Times New Roman" w:hAnsi="Times New Roman"/>
                <w:color w:val="auto"/>
              </w:rPr>
              <w:t>GB/T 19203—2003 复混肥料中钙、镁、硫的测定</w:t>
            </w:r>
          </w:p>
          <w:p>
            <w:pPr>
              <w:adjustRightInd w:val="0"/>
              <w:snapToGrid w:val="0"/>
              <w:jc w:val="left"/>
              <w:rPr>
                <w:rFonts w:ascii="Times New Roman" w:hAnsi="Times New Roman"/>
                <w:color w:val="auto"/>
              </w:rPr>
            </w:pPr>
            <w:r>
              <w:rPr>
                <w:rFonts w:ascii="Times New Roman" w:hAnsi="Times New Roman"/>
                <w:color w:val="auto"/>
              </w:rPr>
              <w:t>GB/T 23349—2020 肥料中砷、镉、铅、铬、汞含量的测定</w:t>
            </w:r>
          </w:p>
          <w:p>
            <w:pPr>
              <w:adjustRightInd w:val="0"/>
              <w:snapToGrid w:val="0"/>
              <w:jc w:val="left"/>
              <w:rPr>
                <w:rFonts w:ascii="Times New Roman" w:hAnsi="Times New Roman"/>
                <w:color w:val="auto"/>
              </w:rPr>
            </w:pPr>
            <w:r>
              <w:rPr>
                <w:rFonts w:ascii="Times New Roman" w:hAnsi="Times New Roman"/>
                <w:color w:val="auto"/>
              </w:rPr>
              <w:t>GB/T 31266—2014 过磷酸钙中三氯乙醛含量的测定</w:t>
            </w:r>
          </w:p>
          <w:p>
            <w:pPr>
              <w:adjustRightInd w:val="0"/>
              <w:snapToGrid w:val="0"/>
              <w:jc w:val="left"/>
              <w:rPr>
                <w:rFonts w:ascii="Times New Roman" w:hAnsi="Times New Roman"/>
                <w:color w:val="auto"/>
              </w:rPr>
            </w:pPr>
            <w:r>
              <w:rPr>
                <w:rFonts w:ascii="Times New Roman" w:hAnsi="Times New Roman"/>
                <w:bCs/>
                <w:color w:val="auto"/>
              </w:rPr>
              <w:t>GB/T 39229—2020/ISO 17318：2015 肥料和土壤调理剂 砷、镉、铬、铅、汞含量的测定</w:t>
            </w:r>
          </w:p>
          <w:p>
            <w:pPr>
              <w:adjustRightInd w:val="0"/>
              <w:snapToGrid w:val="0"/>
              <w:jc w:val="left"/>
              <w:rPr>
                <w:rFonts w:ascii="Times New Roman" w:hAnsi="Times New Roman"/>
                <w:bCs/>
                <w:color w:val="auto"/>
              </w:rPr>
            </w:pPr>
            <w:r>
              <w:rPr>
                <w:rFonts w:ascii="Times New Roman" w:hAnsi="Times New Roman"/>
                <w:bCs/>
                <w:color w:val="auto"/>
              </w:rPr>
              <w:t>GB/T 39356—2020 肥料中总镍、总钴、总硒、总钒、总锑、总铊含量的测定 电感耦合等离子体发射光谱法</w:t>
            </w:r>
          </w:p>
          <w:p>
            <w:pPr>
              <w:adjustRightInd w:val="0"/>
              <w:snapToGrid w:val="0"/>
              <w:jc w:val="left"/>
              <w:rPr>
                <w:rFonts w:ascii="Times New Roman" w:hAnsi="Times New Roman"/>
                <w:color w:val="auto"/>
              </w:rPr>
            </w:pPr>
            <w:r>
              <w:rPr>
                <w:rFonts w:ascii="Times New Roman" w:hAnsi="Times New Roman"/>
                <w:color w:val="auto"/>
              </w:rPr>
              <w:t>HG/T 2673—1995 酸法加工用磷矿石</w:t>
            </w:r>
          </w:p>
          <w:p>
            <w:pPr>
              <w:adjustRightInd w:val="0"/>
              <w:snapToGrid w:val="0"/>
              <w:jc w:val="left"/>
              <w:rPr>
                <w:rFonts w:ascii="Times New Roman" w:hAnsi="Times New Roman"/>
                <w:color w:val="auto"/>
              </w:rPr>
            </w:pPr>
            <w:r>
              <w:rPr>
                <w:rFonts w:ascii="Times New Roman" w:hAnsi="Times New Roman"/>
                <w:color w:val="auto"/>
              </w:rPr>
              <w:t>HG/T 2843—1997 化肥产品化学分析中常用标准滴定溶液、标准溶液、试剂溶液和指示剂溶液</w:t>
            </w:r>
          </w:p>
          <w:p>
            <w:pPr>
              <w:adjustRightInd w:val="0"/>
              <w:snapToGrid w:val="0"/>
              <w:jc w:val="left"/>
              <w:rPr>
                <w:rFonts w:ascii="Times New Roman" w:hAnsi="Times New Roman"/>
                <w:color w:val="auto"/>
              </w:rPr>
            </w:pPr>
            <w:r>
              <w:rPr>
                <w:rFonts w:ascii="Times New Roman" w:hAnsi="Times New Roman"/>
                <w:color w:val="auto"/>
              </w:rPr>
              <w:t>NY/T 1117—2010 水溶肥料钙、镁、硫、氯含量的测定</w:t>
            </w:r>
          </w:p>
          <w:p>
            <w:pPr>
              <w:adjustRightInd w:val="0"/>
              <w:snapToGrid w:val="0"/>
              <w:jc w:val="left"/>
              <w:rPr>
                <w:rFonts w:ascii="Times New Roman" w:hAnsi="Times New Roman"/>
                <w:bCs/>
                <w:color w:val="auto"/>
              </w:rPr>
            </w:pPr>
            <w:r>
              <w:rPr>
                <w:rFonts w:ascii="Times New Roman" w:hAnsi="Times New Roman"/>
                <w:bCs/>
                <w:color w:val="auto"/>
              </w:rPr>
              <w:t>NY/T 1972—2010 水溶肥料钠、硒、硅含量的测定</w:t>
            </w:r>
          </w:p>
          <w:p>
            <w:pPr>
              <w:adjustRightInd w:val="0"/>
              <w:snapToGrid w:val="0"/>
              <w:jc w:val="left"/>
              <w:rPr>
                <w:rFonts w:ascii="Times New Roman" w:hAnsi="Times New Roman"/>
                <w:bCs/>
                <w:color w:val="auto"/>
              </w:rPr>
            </w:pPr>
            <w:r>
              <w:rPr>
                <w:rFonts w:ascii="Times New Roman" w:hAnsi="Times New Roman"/>
                <w:bCs/>
                <w:color w:val="auto"/>
              </w:rPr>
              <w:t>NY/T 1978—2022 肥料汞、砷、镉、铅、铬、镍含量的测定</w:t>
            </w:r>
          </w:p>
          <w:p>
            <w:pPr>
              <w:adjustRightInd w:val="0"/>
              <w:snapToGrid w:val="0"/>
              <w:jc w:val="left"/>
              <w:rPr>
                <w:rFonts w:ascii="Times New Roman" w:hAnsi="Times New Roman"/>
                <w:color w:val="auto"/>
              </w:rPr>
            </w:pPr>
            <w:r>
              <w:rPr>
                <w:rFonts w:ascii="Times New Roman" w:hAnsi="Times New Roman"/>
                <w:bCs/>
                <w:color w:val="auto"/>
              </w:rPr>
              <w:t>NT/T 2541—2014 肥料 磷含量的测定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7" w:type="dxa"/>
            <w:vAlign w:val="center"/>
          </w:tcPr>
          <w:p>
            <w:pPr>
              <w:adjustRightInd w:val="0"/>
              <w:snapToGrid w:val="0"/>
              <w:jc w:val="center"/>
              <w:rPr>
                <w:rFonts w:ascii="Times New Roman" w:hAnsi="Times New Roman"/>
                <w:color w:val="auto"/>
              </w:rPr>
            </w:pPr>
            <w:r>
              <w:rPr>
                <w:rFonts w:ascii="Times New Roman" w:hAnsi="Times New Roman"/>
                <w:color w:val="auto"/>
              </w:rPr>
              <w:t>2</w:t>
            </w:r>
          </w:p>
        </w:tc>
        <w:tc>
          <w:tcPr>
            <w:tcW w:w="1109" w:type="dxa"/>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c>
          <w:tcPr>
            <w:tcW w:w="1985" w:type="dxa"/>
            <w:vAlign w:val="center"/>
          </w:tcPr>
          <w:p>
            <w:pPr>
              <w:adjustRightInd w:val="0"/>
              <w:snapToGrid w:val="0"/>
              <w:jc w:val="left"/>
              <w:rPr>
                <w:rFonts w:ascii="Times New Roman" w:hAnsi="Times New Roman"/>
                <w:color w:val="auto"/>
              </w:rPr>
            </w:pPr>
            <w:r>
              <w:rPr>
                <w:rFonts w:ascii="Times New Roman" w:hAnsi="Times New Roman"/>
                <w:color w:val="auto"/>
              </w:rPr>
              <w:t>GB/T 20412—2021 钙镁磷肥</w:t>
            </w:r>
          </w:p>
        </w:tc>
        <w:tc>
          <w:tcPr>
            <w:tcW w:w="5605" w:type="dxa"/>
            <w:vAlign w:val="center"/>
          </w:tcPr>
          <w:p>
            <w:pPr>
              <w:adjustRightInd w:val="0"/>
              <w:snapToGrid w:val="0"/>
              <w:jc w:val="left"/>
              <w:rPr>
                <w:rFonts w:ascii="Times New Roman" w:hAnsi="Times New Roman"/>
                <w:color w:val="auto"/>
              </w:rPr>
            </w:pPr>
            <w:r>
              <w:rPr>
                <w:rFonts w:ascii="Times New Roman" w:hAnsi="Times New Roman"/>
                <w:bCs/>
                <w:color w:val="auto"/>
              </w:rPr>
              <w:t>GB 18382—2021 肥料标识 内容和要求</w:t>
            </w:r>
          </w:p>
          <w:p>
            <w:pPr>
              <w:adjustRightInd w:val="0"/>
              <w:snapToGrid w:val="0"/>
              <w:jc w:val="left"/>
              <w:rPr>
                <w:rFonts w:ascii="Times New Roman" w:hAnsi="Times New Roman"/>
                <w:bCs/>
                <w:color w:val="auto"/>
              </w:rPr>
            </w:pPr>
            <w:r>
              <w:rPr>
                <w:rFonts w:ascii="Times New Roman" w:hAnsi="Times New Roman"/>
                <w:color w:val="auto"/>
              </w:rPr>
              <w:t>GB 38400—2019 肥料中有毒有害物质的限量要求</w:t>
            </w:r>
          </w:p>
          <w:p>
            <w:pPr>
              <w:adjustRightInd w:val="0"/>
              <w:snapToGrid w:val="0"/>
              <w:jc w:val="left"/>
              <w:rPr>
                <w:rFonts w:ascii="Times New Roman" w:hAnsi="Times New Roman"/>
                <w:bCs/>
                <w:color w:val="auto"/>
              </w:rPr>
            </w:pPr>
            <w:r>
              <w:rPr>
                <w:rFonts w:ascii="Times New Roman" w:hAnsi="Times New Roman"/>
                <w:bCs/>
                <w:color w:val="auto"/>
              </w:rPr>
              <w:t>GB/T 1871.1—1995 磷矿石和磷精矿中五氧化二磷含量的测定磷钼酸喹啉重量法和容量法</w:t>
            </w:r>
          </w:p>
          <w:p>
            <w:pPr>
              <w:adjustRightInd w:val="0"/>
              <w:snapToGrid w:val="0"/>
              <w:jc w:val="left"/>
              <w:rPr>
                <w:rFonts w:ascii="Times New Roman" w:hAnsi="Times New Roman"/>
                <w:bCs/>
                <w:color w:val="auto"/>
              </w:rPr>
            </w:pPr>
            <w:r>
              <w:rPr>
                <w:rFonts w:ascii="Times New Roman" w:hAnsi="Times New Roman"/>
                <w:bCs/>
                <w:color w:val="auto"/>
              </w:rPr>
              <w:t>GB/T 6003.1—</w:t>
            </w:r>
            <w:r>
              <w:rPr>
                <w:rFonts w:hint="eastAsia" w:ascii="Times New Roman" w:hAnsi="Times New Roman"/>
                <w:bCs/>
                <w:color w:val="auto"/>
              </w:rPr>
              <w:t>2022</w:t>
            </w:r>
            <w:r>
              <w:rPr>
                <w:rFonts w:ascii="Times New Roman" w:hAnsi="Times New Roman"/>
                <w:bCs/>
                <w:color w:val="auto"/>
              </w:rPr>
              <w:t xml:space="preserve"> 金属丝编织网试验筛</w:t>
            </w:r>
          </w:p>
          <w:p>
            <w:pPr>
              <w:adjustRightInd w:val="0"/>
              <w:snapToGrid w:val="0"/>
              <w:jc w:val="left"/>
              <w:rPr>
                <w:rFonts w:ascii="Times New Roman" w:hAnsi="Times New Roman"/>
                <w:bCs/>
                <w:color w:val="auto"/>
              </w:rPr>
            </w:pPr>
            <w:r>
              <w:rPr>
                <w:rFonts w:ascii="Times New Roman" w:hAnsi="Times New Roman"/>
                <w:bCs/>
                <w:color w:val="auto"/>
              </w:rPr>
              <w:t>GB/T 8170—2008 数值修约规则与极限数值的表示和判定</w:t>
            </w:r>
          </w:p>
          <w:p>
            <w:pPr>
              <w:adjustRightInd w:val="0"/>
              <w:snapToGrid w:val="0"/>
              <w:jc w:val="left"/>
              <w:rPr>
                <w:rFonts w:ascii="Times New Roman" w:hAnsi="Times New Roman"/>
                <w:bCs/>
                <w:color w:val="auto"/>
              </w:rPr>
            </w:pPr>
            <w:r>
              <w:rPr>
                <w:rFonts w:ascii="Times New Roman" w:hAnsi="Times New Roman"/>
                <w:bCs/>
                <w:color w:val="auto"/>
              </w:rPr>
              <w:t>GB/T 8569—2009 固体化学肥料包装</w:t>
            </w:r>
          </w:p>
          <w:p>
            <w:pPr>
              <w:adjustRightInd w:val="0"/>
              <w:snapToGrid w:val="0"/>
              <w:jc w:val="left"/>
              <w:rPr>
                <w:rFonts w:ascii="Times New Roman" w:hAnsi="Times New Roman"/>
                <w:bCs/>
                <w:color w:val="auto"/>
              </w:rPr>
            </w:pPr>
            <w:r>
              <w:rPr>
                <w:rFonts w:ascii="Times New Roman" w:hAnsi="Times New Roman"/>
                <w:bCs/>
                <w:color w:val="auto"/>
              </w:rPr>
              <w:t>GB/T 22923—2008 肥料中氮、磷、钾的自动分析仪测定法</w:t>
            </w:r>
          </w:p>
          <w:p>
            <w:pPr>
              <w:adjustRightInd w:val="0"/>
              <w:snapToGrid w:val="0"/>
              <w:jc w:val="left"/>
              <w:rPr>
                <w:rFonts w:ascii="Times New Roman" w:hAnsi="Times New Roman"/>
                <w:bCs/>
                <w:color w:val="auto"/>
              </w:rPr>
            </w:pPr>
            <w:r>
              <w:rPr>
                <w:rFonts w:ascii="Times New Roman" w:hAnsi="Times New Roman"/>
                <w:bCs/>
                <w:color w:val="auto"/>
              </w:rPr>
              <w:t>GB/T 23349—2020 肥料中砷、镉、铅、铬、汞含量的测定</w:t>
            </w:r>
          </w:p>
          <w:p>
            <w:pPr>
              <w:adjustRightInd w:val="0"/>
              <w:snapToGrid w:val="0"/>
              <w:jc w:val="left"/>
              <w:rPr>
                <w:rFonts w:ascii="Times New Roman" w:hAnsi="Times New Roman"/>
                <w:bCs/>
                <w:color w:val="auto"/>
              </w:rPr>
            </w:pPr>
            <w:r>
              <w:rPr>
                <w:rFonts w:ascii="Times New Roman" w:hAnsi="Times New Roman"/>
                <w:bCs/>
                <w:color w:val="auto"/>
              </w:rPr>
              <w:t>GB/T 39229—2020/ISO 17318：2015 肥料和土壤调理剂 砷、镉、铬、铅、汞含量的测定</w:t>
            </w:r>
          </w:p>
          <w:p>
            <w:pPr>
              <w:adjustRightInd w:val="0"/>
              <w:snapToGrid w:val="0"/>
              <w:jc w:val="left"/>
              <w:rPr>
                <w:rFonts w:ascii="Times New Roman" w:hAnsi="Times New Roman"/>
                <w:bCs/>
                <w:color w:val="auto"/>
              </w:rPr>
            </w:pPr>
            <w:r>
              <w:rPr>
                <w:rFonts w:ascii="Times New Roman" w:hAnsi="Times New Roman"/>
                <w:bCs/>
                <w:color w:val="auto"/>
              </w:rPr>
              <w:t>GB/T 39356—2020 肥料中总镍、总钴、总硒、总钒、总锑、总铊含量的测定 电感耦合等离子体发射光谱法</w:t>
            </w:r>
          </w:p>
          <w:p>
            <w:pPr>
              <w:adjustRightInd w:val="0"/>
              <w:snapToGrid w:val="0"/>
              <w:jc w:val="left"/>
              <w:rPr>
                <w:rFonts w:ascii="Times New Roman" w:hAnsi="Times New Roman"/>
                <w:bCs/>
                <w:color w:val="auto"/>
              </w:rPr>
            </w:pPr>
            <w:r>
              <w:rPr>
                <w:rFonts w:ascii="Times New Roman" w:hAnsi="Times New Roman"/>
                <w:bCs/>
                <w:color w:val="auto"/>
              </w:rPr>
              <w:t xml:space="preserve">HG/T 2675—1995 </w:t>
            </w:r>
            <w:r>
              <w:rPr>
                <w:rFonts w:hint="eastAsia" w:ascii="Times New Roman" w:hAnsi="Times New Roman"/>
                <w:bCs/>
                <w:color w:val="auto"/>
              </w:rPr>
              <w:t>钙镁磷肥用磷矿石</w:t>
            </w:r>
          </w:p>
          <w:p>
            <w:pPr>
              <w:adjustRightInd w:val="0"/>
              <w:snapToGrid w:val="0"/>
              <w:jc w:val="left"/>
              <w:rPr>
                <w:rFonts w:ascii="Times New Roman" w:hAnsi="Times New Roman"/>
                <w:bCs/>
                <w:color w:val="auto"/>
              </w:rPr>
            </w:pPr>
            <w:r>
              <w:rPr>
                <w:rFonts w:ascii="Times New Roman" w:hAnsi="Times New Roman"/>
                <w:bCs/>
                <w:color w:val="auto"/>
              </w:rPr>
              <w:t>HG/T 2843—1997 化肥产品化学分析中常用标准滴定溶液、标准溶液、试剂溶液和指示剂溶液</w:t>
            </w:r>
          </w:p>
          <w:p>
            <w:pPr>
              <w:adjustRightInd w:val="0"/>
              <w:snapToGrid w:val="0"/>
              <w:jc w:val="left"/>
              <w:rPr>
                <w:rFonts w:ascii="Times New Roman" w:hAnsi="Times New Roman"/>
                <w:bCs/>
                <w:color w:val="auto"/>
              </w:rPr>
            </w:pPr>
            <w:r>
              <w:rPr>
                <w:rFonts w:ascii="Times New Roman" w:hAnsi="Times New Roman"/>
                <w:bCs/>
                <w:color w:val="auto"/>
              </w:rPr>
              <w:t>NY/T 1117—2010 水溶肥料钙、镁、硫、氯含量的测定</w:t>
            </w:r>
          </w:p>
          <w:p>
            <w:pPr>
              <w:adjustRightInd w:val="0"/>
              <w:snapToGrid w:val="0"/>
              <w:jc w:val="left"/>
              <w:rPr>
                <w:rFonts w:ascii="Times New Roman" w:hAnsi="Times New Roman"/>
                <w:bCs/>
                <w:color w:val="auto"/>
              </w:rPr>
            </w:pPr>
            <w:r>
              <w:rPr>
                <w:rFonts w:ascii="Times New Roman" w:hAnsi="Times New Roman"/>
                <w:bCs/>
                <w:color w:val="auto"/>
              </w:rPr>
              <w:t>NY/T 1972—2010 水溶肥料钠、硒、硅含量的测定</w:t>
            </w:r>
          </w:p>
          <w:p>
            <w:pPr>
              <w:adjustRightInd w:val="0"/>
              <w:snapToGrid w:val="0"/>
              <w:jc w:val="left"/>
              <w:rPr>
                <w:rFonts w:ascii="Times New Roman" w:hAnsi="Times New Roman"/>
                <w:bCs/>
                <w:color w:val="auto"/>
              </w:rPr>
            </w:pPr>
            <w:r>
              <w:rPr>
                <w:rFonts w:ascii="Times New Roman" w:hAnsi="Times New Roman"/>
                <w:bCs/>
                <w:color w:val="auto"/>
              </w:rPr>
              <w:t>NY/T 1978—2022 肥料汞、砷、镉、铅、铬、镍含量的测定</w:t>
            </w:r>
          </w:p>
          <w:p>
            <w:pPr>
              <w:adjustRightInd w:val="0"/>
              <w:snapToGrid w:val="0"/>
              <w:jc w:val="left"/>
              <w:rPr>
                <w:rFonts w:ascii="Times New Roman" w:hAnsi="Times New Roman"/>
                <w:bCs/>
                <w:color w:val="auto"/>
              </w:rPr>
            </w:pPr>
            <w:r>
              <w:rPr>
                <w:rFonts w:ascii="Times New Roman" w:hAnsi="Times New Roman"/>
                <w:bCs/>
                <w:color w:val="auto"/>
              </w:rPr>
              <w:t>NT/T 2541—2014 肥料 磷含量的测定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7" w:type="dxa"/>
            <w:vAlign w:val="center"/>
          </w:tcPr>
          <w:p>
            <w:pPr>
              <w:adjustRightInd w:val="0"/>
              <w:snapToGrid w:val="0"/>
              <w:jc w:val="center"/>
              <w:rPr>
                <w:rFonts w:ascii="Times New Roman" w:hAnsi="Times New Roman"/>
                <w:color w:val="auto"/>
              </w:rPr>
            </w:pPr>
            <w:r>
              <w:rPr>
                <w:rFonts w:ascii="Times New Roman" w:hAnsi="Times New Roman"/>
                <w:color w:val="auto"/>
              </w:rPr>
              <w:t>3</w:t>
            </w:r>
          </w:p>
        </w:tc>
        <w:tc>
          <w:tcPr>
            <w:tcW w:w="1109" w:type="dxa"/>
            <w:vAlign w:val="center"/>
          </w:tcPr>
          <w:p>
            <w:pPr>
              <w:adjustRightInd w:val="0"/>
              <w:snapToGrid w:val="0"/>
              <w:jc w:val="center"/>
              <w:rPr>
                <w:rFonts w:ascii="Times New Roman" w:hAnsi="Times New Roman"/>
                <w:color w:val="auto"/>
              </w:rPr>
            </w:pPr>
            <w:r>
              <w:rPr>
                <w:rFonts w:ascii="Times New Roman" w:hAnsi="Times New Roman"/>
                <w:color w:val="auto"/>
              </w:rPr>
              <w:t>钙镁磷</w:t>
            </w:r>
          </w:p>
          <w:p>
            <w:pPr>
              <w:adjustRightInd w:val="0"/>
              <w:snapToGrid w:val="0"/>
              <w:jc w:val="center"/>
              <w:rPr>
                <w:rFonts w:ascii="Times New Roman" w:hAnsi="Times New Roman"/>
                <w:color w:val="auto"/>
              </w:rPr>
            </w:pPr>
            <w:r>
              <w:rPr>
                <w:rFonts w:ascii="Times New Roman" w:hAnsi="Times New Roman"/>
                <w:color w:val="auto"/>
              </w:rPr>
              <w:t>钾肥</w:t>
            </w:r>
          </w:p>
        </w:tc>
        <w:tc>
          <w:tcPr>
            <w:tcW w:w="1985" w:type="dxa"/>
            <w:vAlign w:val="center"/>
          </w:tcPr>
          <w:p>
            <w:pPr>
              <w:adjustRightInd w:val="0"/>
              <w:snapToGrid w:val="0"/>
              <w:jc w:val="left"/>
              <w:rPr>
                <w:rFonts w:ascii="Times New Roman" w:hAnsi="Times New Roman"/>
                <w:color w:val="auto"/>
              </w:rPr>
            </w:pPr>
            <w:r>
              <w:rPr>
                <w:rFonts w:ascii="Times New Roman" w:hAnsi="Times New Roman"/>
                <w:color w:val="auto"/>
              </w:rPr>
              <w:t>HG/T 2598—1994 钙镁磷钾肥</w:t>
            </w:r>
          </w:p>
        </w:tc>
        <w:tc>
          <w:tcPr>
            <w:tcW w:w="5605" w:type="dxa"/>
            <w:vAlign w:val="center"/>
          </w:tcPr>
          <w:p>
            <w:pPr>
              <w:adjustRightInd w:val="0"/>
              <w:snapToGrid w:val="0"/>
              <w:jc w:val="left"/>
              <w:rPr>
                <w:rFonts w:ascii="Times New Roman" w:hAnsi="Times New Roman"/>
                <w:color w:val="auto"/>
              </w:rPr>
            </w:pPr>
            <w:r>
              <w:rPr>
                <w:rFonts w:ascii="Times New Roman" w:hAnsi="Times New Roman"/>
                <w:bCs/>
                <w:color w:val="auto"/>
              </w:rPr>
              <w:t>GB 18382—2021 肥料标识 内容和要求</w:t>
            </w:r>
          </w:p>
          <w:p>
            <w:pPr>
              <w:adjustRightInd w:val="0"/>
              <w:snapToGrid w:val="0"/>
              <w:jc w:val="left"/>
              <w:rPr>
                <w:rFonts w:ascii="Times New Roman" w:hAnsi="Times New Roman"/>
                <w:bCs/>
                <w:color w:val="auto"/>
              </w:rPr>
            </w:pPr>
            <w:r>
              <w:rPr>
                <w:rFonts w:ascii="Times New Roman" w:hAnsi="Times New Roman"/>
                <w:color w:val="auto"/>
              </w:rPr>
              <w:t>GB 38400—2019 肥料中有毒有害物质的限量要求</w:t>
            </w:r>
          </w:p>
          <w:p>
            <w:pPr>
              <w:adjustRightInd w:val="0"/>
              <w:snapToGrid w:val="0"/>
              <w:jc w:val="left"/>
              <w:rPr>
                <w:rFonts w:ascii="Times New Roman" w:hAnsi="Times New Roman"/>
                <w:bCs/>
                <w:color w:val="auto"/>
              </w:rPr>
            </w:pPr>
            <w:r>
              <w:rPr>
                <w:rFonts w:ascii="Times New Roman" w:hAnsi="Times New Roman"/>
                <w:bCs/>
                <w:color w:val="auto"/>
              </w:rPr>
              <w:t>GB/T 1871.1—1995 磷矿石和磷精矿中五氧化二磷含量的测定磷钼酸喹啉重量法和容量法</w:t>
            </w:r>
          </w:p>
          <w:p>
            <w:pPr>
              <w:adjustRightInd w:val="0"/>
              <w:snapToGrid w:val="0"/>
              <w:jc w:val="left"/>
              <w:rPr>
                <w:rFonts w:ascii="Times New Roman" w:hAnsi="Times New Roman"/>
                <w:bCs/>
                <w:color w:val="auto"/>
              </w:rPr>
            </w:pPr>
            <w:r>
              <w:rPr>
                <w:rFonts w:ascii="Times New Roman" w:hAnsi="Times New Roman"/>
                <w:bCs/>
                <w:color w:val="auto"/>
              </w:rPr>
              <w:t>GB/T 6003.1—</w:t>
            </w:r>
            <w:r>
              <w:rPr>
                <w:rFonts w:hint="eastAsia" w:ascii="Times New Roman" w:hAnsi="Times New Roman"/>
                <w:bCs/>
                <w:color w:val="auto"/>
              </w:rPr>
              <w:t>2022</w:t>
            </w:r>
            <w:r>
              <w:rPr>
                <w:rFonts w:ascii="Times New Roman" w:hAnsi="Times New Roman"/>
                <w:bCs/>
                <w:color w:val="auto"/>
              </w:rPr>
              <w:t xml:space="preserve"> 金属丝编织网试验筛</w:t>
            </w:r>
          </w:p>
          <w:p>
            <w:pPr>
              <w:adjustRightInd w:val="0"/>
              <w:snapToGrid w:val="0"/>
              <w:jc w:val="left"/>
              <w:rPr>
                <w:rFonts w:ascii="Times New Roman" w:hAnsi="Times New Roman"/>
                <w:bCs/>
                <w:color w:val="auto"/>
              </w:rPr>
            </w:pPr>
            <w:r>
              <w:rPr>
                <w:rFonts w:ascii="Times New Roman" w:hAnsi="Times New Roman"/>
                <w:bCs/>
                <w:color w:val="auto"/>
              </w:rPr>
              <w:t>GB/T 8170—2008 数值修约规则与极限数值的表示和判定</w:t>
            </w:r>
          </w:p>
          <w:p>
            <w:pPr>
              <w:adjustRightInd w:val="0"/>
              <w:snapToGrid w:val="0"/>
              <w:jc w:val="left"/>
              <w:rPr>
                <w:rFonts w:ascii="Times New Roman" w:hAnsi="Times New Roman"/>
                <w:bCs/>
                <w:color w:val="auto"/>
              </w:rPr>
            </w:pPr>
            <w:r>
              <w:rPr>
                <w:rFonts w:ascii="Times New Roman" w:hAnsi="Times New Roman"/>
                <w:bCs/>
                <w:color w:val="auto"/>
              </w:rPr>
              <w:t>GB/T 8569—2009 固体化学肥料包装</w:t>
            </w:r>
          </w:p>
          <w:p>
            <w:pPr>
              <w:adjustRightInd w:val="0"/>
              <w:snapToGrid w:val="0"/>
              <w:jc w:val="left"/>
              <w:rPr>
                <w:rFonts w:ascii="Times New Roman" w:hAnsi="Times New Roman"/>
                <w:bCs/>
                <w:color w:val="auto"/>
              </w:rPr>
            </w:pPr>
            <w:r>
              <w:rPr>
                <w:rFonts w:ascii="Times New Roman" w:hAnsi="Times New Roman"/>
                <w:bCs/>
                <w:color w:val="auto"/>
              </w:rPr>
              <w:t>GB/T 22923—2008 肥料中氮、磷、钾的自动分析仪测定法</w:t>
            </w:r>
          </w:p>
          <w:p>
            <w:pPr>
              <w:adjustRightInd w:val="0"/>
              <w:snapToGrid w:val="0"/>
              <w:jc w:val="left"/>
              <w:rPr>
                <w:rFonts w:ascii="Times New Roman" w:hAnsi="Times New Roman"/>
                <w:bCs/>
                <w:color w:val="auto"/>
              </w:rPr>
            </w:pPr>
            <w:r>
              <w:rPr>
                <w:rFonts w:ascii="Times New Roman" w:hAnsi="Times New Roman"/>
                <w:bCs/>
                <w:color w:val="auto"/>
              </w:rPr>
              <w:t>GB/T 23349—2020 肥料中砷、镉、铅、铬、汞含量的测定</w:t>
            </w:r>
          </w:p>
          <w:p>
            <w:pPr>
              <w:adjustRightInd w:val="0"/>
              <w:snapToGrid w:val="0"/>
              <w:jc w:val="left"/>
              <w:rPr>
                <w:rFonts w:ascii="Times New Roman" w:hAnsi="Times New Roman"/>
                <w:bCs/>
                <w:color w:val="auto"/>
              </w:rPr>
            </w:pPr>
            <w:r>
              <w:rPr>
                <w:rFonts w:ascii="Times New Roman" w:hAnsi="Times New Roman"/>
                <w:bCs/>
                <w:color w:val="auto"/>
              </w:rPr>
              <w:t>GB/T 39229—2020/ISO 17318：2015 肥料和土壤调理剂 砷、镉、铬、铅、汞含量的测定</w:t>
            </w:r>
          </w:p>
          <w:p>
            <w:pPr>
              <w:adjustRightInd w:val="0"/>
              <w:snapToGrid w:val="0"/>
              <w:jc w:val="left"/>
              <w:rPr>
                <w:rFonts w:ascii="Times New Roman" w:hAnsi="Times New Roman"/>
                <w:bCs/>
                <w:color w:val="auto"/>
              </w:rPr>
            </w:pPr>
            <w:r>
              <w:rPr>
                <w:rFonts w:ascii="Times New Roman" w:hAnsi="Times New Roman"/>
                <w:bCs/>
                <w:color w:val="auto"/>
              </w:rPr>
              <w:t>GB/T 39356—2020 肥料中总镍、总钴、总硒、总钒、总锑、总铊含量的测定 电感耦合等离子体发射光谱法</w:t>
            </w:r>
          </w:p>
          <w:p>
            <w:pPr>
              <w:adjustRightInd w:val="0"/>
              <w:snapToGrid w:val="0"/>
              <w:jc w:val="left"/>
              <w:rPr>
                <w:rFonts w:ascii="Times New Roman" w:hAnsi="Times New Roman"/>
                <w:bCs/>
                <w:color w:val="auto"/>
              </w:rPr>
            </w:pPr>
            <w:r>
              <w:rPr>
                <w:rFonts w:ascii="Times New Roman" w:hAnsi="Times New Roman"/>
                <w:bCs/>
                <w:color w:val="auto"/>
              </w:rPr>
              <w:t xml:space="preserve">HG/T 2675—1995 </w:t>
            </w:r>
            <w:r>
              <w:rPr>
                <w:rFonts w:hint="eastAsia" w:ascii="Times New Roman" w:hAnsi="Times New Roman"/>
                <w:bCs/>
                <w:color w:val="auto"/>
              </w:rPr>
              <w:t>钙镁磷肥用磷矿石</w:t>
            </w:r>
          </w:p>
          <w:p>
            <w:pPr>
              <w:adjustRightInd w:val="0"/>
              <w:snapToGrid w:val="0"/>
              <w:jc w:val="left"/>
              <w:rPr>
                <w:rFonts w:ascii="Times New Roman" w:hAnsi="Times New Roman"/>
                <w:bCs/>
                <w:color w:val="auto"/>
              </w:rPr>
            </w:pPr>
            <w:r>
              <w:rPr>
                <w:rFonts w:ascii="Times New Roman" w:hAnsi="Times New Roman"/>
                <w:bCs/>
                <w:color w:val="auto"/>
              </w:rPr>
              <w:t>HG/T 2843—1997 化肥产品化学分析中常用标准滴定溶液、标准溶液、试剂溶液和指示剂溶液</w:t>
            </w:r>
          </w:p>
          <w:p>
            <w:pPr>
              <w:adjustRightInd w:val="0"/>
              <w:snapToGrid w:val="0"/>
              <w:jc w:val="left"/>
              <w:rPr>
                <w:rFonts w:ascii="Times New Roman" w:hAnsi="Times New Roman"/>
                <w:bCs/>
                <w:color w:val="auto"/>
              </w:rPr>
            </w:pPr>
            <w:r>
              <w:rPr>
                <w:rFonts w:ascii="Times New Roman" w:hAnsi="Times New Roman"/>
                <w:bCs/>
                <w:color w:val="auto"/>
              </w:rPr>
              <w:t>NY/T 1117—2010 水溶肥料钙、镁、硫、氯含量的测定</w:t>
            </w:r>
          </w:p>
          <w:p>
            <w:pPr>
              <w:adjustRightInd w:val="0"/>
              <w:snapToGrid w:val="0"/>
              <w:jc w:val="left"/>
              <w:rPr>
                <w:rFonts w:ascii="Times New Roman" w:hAnsi="Times New Roman"/>
                <w:bCs/>
                <w:color w:val="auto"/>
              </w:rPr>
            </w:pPr>
            <w:r>
              <w:rPr>
                <w:rFonts w:ascii="Times New Roman" w:hAnsi="Times New Roman"/>
                <w:bCs/>
                <w:color w:val="auto"/>
              </w:rPr>
              <w:t>NY/T 1972—2010 水溶肥料钠、硒、硅含量的测定</w:t>
            </w:r>
          </w:p>
          <w:p>
            <w:pPr>
              <w:adjustRightInd w:val="0"/>
              <w:snapToGrid w:val="0"/>
              <w:jc w:val="left"/>
              <w:rPr>
                <w:rFonts w:ascii="Times New Roman" w:hAnsi="Times New Roman"/>
                <w:bCs/>
                <w:color w:val="auto"/>
              </w:rPr>
            </w:pPr>
            <w:r>
              <w:rPr>
                <w:rFonts w:ascii="Times New Roman" w:hAnsi="Times New Roman"/>
                <w:bCs/>
                <w:color w:val="auto"/>
              </w:rPr>
              <w:t>NY/T 1978—2022 肥料汞、砷、镉、铅、铬、镍含量的测定</w:t>
            </w:r>
          </w:p>
          <w:p>
            <w:pPr>
              <w:adjustRightInd w:val="0"/>
              <w:snapToGrid w:val="0"/>
              <w:jc w:val="left"/>
              <w:rPr>
                <w:rFonts w:ascii="Times New Roman" w:hAnsi="Times New Roman"/>
                <w:bCs/>
                <w:color w:val="auto"/>
              </w:rPr>
            </w:pPr>
            <w:r>
              <w:rPr>
                <w:rFonts w:ascii="Times New Roman" w:hAnsi="Times New Roman"/>
                <w:bCs/>
                <w:color w:val="auto"/>
              </w:rPr>
              <w:t>NT/T 2541—2014 肥料 磷含量的测定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7" w:type="dxa"/>
            <w:vAlign w:val="center"/>
          </w:tcPr>
          <w:p>
            <w:pPr>
              <w:adjustRightInd w:val="0"/>
              <w:snapToGrid w:val="0"/>
              <w:jc w:val="center"/>
              <w:rPr>
                <w:rFonts w:ascii="Times New Roman" w:hAnsi="Times New Roman"/>
                <w:color w:val="auto"/>
              </w:rPr>
            </w:pPr>
            <w:r>
              <w:rPr>
                <w:rFonts w:ascii="Times New Roman" w:hAnsi="Times New Roman"/>
                <w:color w:val="auto"/>
              </w:rPr>
              <w:t>4</w:t>
            </w:r>
          </w:p>
        </w:tc>
        <w:tc>
          <w:tcPr>
            <w:tcW w:w="1109" w:type="dxa"/>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c>
          <w:tcPr>
            <w:tcW w:w="1985" w:type="dxa"/>
            <w:vAlign w:val="center"/>
          </w:tcPr>
          <w:p>
            <w:pPr>
              <w:adjustRightInd w:val="0"/>
              <w:snapToGrid w:val="0"/>
              <w:jc w:val="left"/>
              <w:rPr>
                <w:rFonts w:ascii="Times New Roman" w:hAnsi="Times New Roman"/>
                <w:snapToGrid w:val="0"/>
                <w:color w:val="auto"/>
              </w:rPr>
            </w:pPr>
            <w:r>
              <w:rPr>
                <w:rFonts w:ascii="Times New Roman" w:hAnsi="Times New Roman"/>
                <w:snapToGrid w:val="0"/>
                <w:color w:val="auto"/>
              </w:rPr>
              <w:t>HG/T 3275—1999 肥料级磷酸氢钙</w:t>
            </w:r>
          </w:p>
        </w:tc>
        <w:tc>
          <w:tcPr>
            <w:tcW w:w="5605" w:type="dxa"/>
            <w:vAlign w:val="center"/>
          </w:tcPr>
          <w:p>
            <w:pPr>
              <w:adjustRightInd w:val="0"/>
              <w:snapToGrid w:val="0"/>
              <w:jc w:val="left"/>
              <w:rPr>
                <w:rFonts w:ascii="Times New Roman" w:hAnsi="Times New Roman"/>
                <w:color w:val="auto"/>
              </w:rPr>
            </w:pPr>
            <w:r>
              <w:rPr>
                <w:rFonts w:ascii="Times New Roman" w:hAnsi="Times New Roman"/>
                <w:bCs/>
                <w:color w:val="auto"/>
              </w:rPr>
              <w:t>GB 18382—2021 肥料标识 内容和要求</w:t>
            </w:r>
          </w:p>
          <w:p>
            <w:pPr>
              <w:adjustRightInd w:val="0"/>
              <w:snapToGrid w:val="0"/>
              <w:jc w:val="left"/>
              <w:rPr>
                <w:rFonts w:ascii="Times New Roman" w:hAnsi="Times New Roman"/>
                <w:bCs/>
                <w:color w:val="auto"/>
              </w:rPr>
            </w:pPr>
            <w:r>
              <w:rPr>
                <w:rFonts w:ascii="Times New Roman" w:hAnsi="Times New Roman"/>
                <w:color w:val="auto"/>
              </w:rPr>
              <w:t>GB 38400—2019 肥料中有毒有害物质的限量要求</w:t>
            </w:r>
          </w:p>
          <w:p>
            <w:pPr>
              <w:adjustRightInd w:val="0"/>
              <w:snapToGrid w:val="0"/>
              <w:jc w:val="left"/>
              <w:rPr>
                <w:rFonts w:ascii="Times New Roman" w:hAnsi="Times New Roman"/>
                <w:bCs/>
                <w:color w:val="auto"/>
              </w:rPr>
            </w:pPr>
            <w:r>
              <w:rPr>
                <w:rFonts w:ascii="Times New Roman" w:hAnsi="Times New Roman"/>
                <w:bCs/>
                <w:color w:val="auto"/>
              </w:rPr>
              <w:t>GB/T 1871.1—1995 磷矿石和磷精矿中五氧化二磷含量的测定磷钼酸喹啉重量法和容量法</w:t>
            </w:r>
          </w:p>
          <w:p>
            <w:pPr>
              <w:adjustRightInd w:val="0"/>
              <w:snapToGrid w:val="0"/>
              <w:jc w:val="left"/>
              <w:rPr>
                <w:rFonts w:ascii="Times New Roman" w:hAnsi="Times New Roman"/>
                <w:bCs/>
                <w:color w:val="auto"/>
              </w:rPr>
            </w:pPr>
            <w:r>
              <w:rPr>
                <w:rFonts w:ascii="Times New Roman" w:hAnsi="Times New Roman"/>
                <w:bCs/>
                <w:color w:val="auto"/>
              </w:rPr>
              <w:t>GB/T 6003.1—</w:t>
            </w:r>
            <w:r>
              <w:rPr>
                <w:rFonts w:hint="eastAsia" w:ascii="Times New Roman" w:hAnsi="Times New Roman"/>
                <w:bCs/>
                <w:color w:val="auto"/>
              </w:rPr>
              <w:t>2022</w:t>
            </w:r>
            <w:r>
              <w:rPr>
                <w:rFonts w:ascii="Times New Roman" w:hAnsi="Times New Roman"/>
                <w:bCs/>
                <w:color w:val="auto"/>
              </w:rPr>
              <w:t xml:space="preserve"> 金属丝编织网试验筛</w:t>
            </w:r>
          </w:p>
          <w:p>
            <w:pPr>
              <w:adjustRightInd w:val="0"/>
              <w:snapToGrid w:val="0"/>
              <w:jc w:val="left"/>
              <w:rPr>
                <w:rFonts w:ascii="Times New Roman" w:hAnsi="Times New Roman"/>
                <w:bCs/>
                <w:color w:val="auto"/>
              </w:rPr>
            </w:pPr>
            <w:r>
              <w:rPr>
                <w:rFonts w:ascii="Times New Roman" w:hAnsi="Times New Roman"/>
                <w:bCs/>
                <w:color w:val="auto"/>
              </w:rPr>
              <w:t>GB/T 8170—2008 数值修约规则与极限数值的表示和判定</w:t>
            </w:r>
          </w:p>
          <w:p>
            <w:pPr>
              <w:adjustRightInd w:val="0"/>
              <w:snapToGrid w:val="0"/>
              <w:jc w:val="left"/>
              <w:rPr>
                <w:rFonts w:ascii="Times New Roman" w:hAnsi="Times New Roman"/>
                <w:bCs/>
                <w:color w:val="auto"/>
              </w:rPr>
            </w:pPr>
            <w:r>
              <w:rPr>
                <w:rFonts w:ascii="Times New Roman" w:hAnsi="Times New Roman"/>
                <w:bCs/>
                <w:color w:val="auto"/>
              </w:rPr>
              <w:t>GB/T 8569—2009 固体化学肥料包装</w:t>
            </w:r>
          </w:p>
          <w:p>
            <w:pPr>
              <w:adjustRightInd w:val="0"/>
              <w:snapToGrid w:val="0"/>
              <w:jc w:val="left"/>
              <w:rPr>
                <w:rFonts w:ascii="Times New Roman" w:hAnsi="Times New Roman"/>
                <w:bCs/>
                <w:color w:val="auto"/>
              </w:rPr>
            </w:pPr>
            <w:r>
              <w:rPr>
                <w:rFonts w:ascii="Times New Roman" w:hAnsi="Times New Roman"/>
                <w:bCs/>
                <w:color w:val="auto"/>
              </w:rPr>
              <w:t>GB/T 22923—2008 肥料中氮、磷、钾的自动分析仪测定法</w:t>
            </w:r>
          </w:p>
          <w:p>
            <w:pPr>
              <w:adjustRightInd w:val="0"/>
              <w:snapToGrid w:val="0"/>
              <w:jc w:val="left"/>
              <w:rPr>
                <w:rFonts w:ascii="Times New Roman" w:hAnsi="Times New Roman"/>
                <w:bCs/>
                <w:color w:val="auto"/>
              </w:rPr>
            </w:pPr>
            <w:r>
              <w:rPr>
                <w:rFonts w:ascii="Times New Roman" w:hAnsi="Times New Roman"/>
                <w:bCs/>
                <w:color w:val="auto"/>
              </w:rPr>
              <w:t>GB/T 23349—2020 肥料中砷、镉、铅、铬、汞含量的测定</w:t>
            </w:r>
          </w:p>
          <w:p>
            <w:pPr>
              <w:adjustRightInd w:val="0"/>
              <w:snapToGrid w:val="0"/>
              <w:jc w:val="left"/>
              <w:rPr>
                <w:rFonts w:ascii="Times New Roman" w:hAnsi="Times New Roman"/>
                <w:bCs/>
                <w:color w:val="auto"/>
              </w:rPr>
            </w:pPr>
            <w:r>
              <w:rPr>
                <w:rFonts w:ascii="Times New Roman" w:hAnsi="Times New Roman"/>
                <w:bCs/>
                <w:color w:val="auto"/>
              </w:rPr>
              <w:t>GB/T 39229—2020/ISO 17318：2015 肥料和土壤调理剂 砷、镉、铬、铅、汞含量的测定</w:t>
            </w:r>
          </w:p>
          <w:p>
            <w:pPr>
              <w:adjustRightInd w:val="0"/>
              <w:snapToGrid w:val="0"/>
              <w:jc w:val="left"/>
              <w:rPr>
                <w:rFonts w:ascii="Times New Roman" w:hAnsi="Times New Roman"/>
                <w:bCs/>
                <w:color w:val="auto"/>
              </w:rPr>
            </w:pPr>
            <w:r>
              <w:rPr>
                <w:rFonts w:ascii="Times New Roman" w:hAnsi="Times New Roman"/>
                <w:bCs/>
                <w:color w:val="auto"/>
              </w:rPr>
              <w:t>GB/T 39356—2020 肥料中总镍、总钴、总硒、总钒、总锑、总铊含量的测定 电感耦合等离子体发射光谱法</w:t>
            </w:r>
          </w:p>
          <w:p>
            <w:pPr>
              <w:adjustRightInd w:val="0"/>
              <w:snapToGrid w:val="0"/>
              <w:jc w:val="left"/>
              <w:rPr>
                <w:rFonts w:ascii="Times New Roman" w:hAnsi="Times New Roman"/>
                <w:bCs/>
                <w:color w:val="auto"/>
              </w:rPr>
            </w:pPr>
            <w:r>
              <w:rPr>
                <w:rFonts w:ascii="Times New Roman" w:hAnsi="Times New Roman"/>
                <w:bCs/>
                <w:color w:val="auto"/>
              </w:rPr>
              <w:t xml:space="preserve">HG/T 2675—1995 </w:t>
            </w:r>
            <w:r>
              <w:rPr>
                <w:rFonts w:hint="eastAsia" w:ascii="Times New Roman" w:hAnsi="Times New Roman"/>
                <w:bCs/>
                <w:color w:val="auto"/>
              </w:rPr>
              <w:t>钙镁磷肥用磷矿石</w:t>
            </w:r>
          </w:p>
          <w:p>
            <w:pPr>
              <w:adjustRightInd w:val="0"/>
              <w:snapToGrid w:val="0"/>
              <w:jc w:val="left"/>
              <w:rPr>
                <w:rFonts w:ascii="Times New Roman" w:hAnsi="Times New Roman"/>
                <w:bCs/>
                <w:color w:val="auto"/>
              </w:rPr>
            </w:pPr>
            <w:r>
              <w:rPr>
                <w:rFonts w:ascii="Times New Roman" w:hAnsi="Times New Roman"/>
                <w:bCs/>
                <w:color w:val="auto"/>
              </w:rPr>
              <w:t>HG/T 2843—1997 化肥产品化学分析中常用标准滴定溶液、标准溶液、试剂溶液和指示剂溶液</w:t>
            </w:r>
          </w:p>
          <w:p>
            <w:pPr>
              <w:adjustRightInd w:val="0"/>
              <w:snapToGrid w:val="0"/>
              <w:jc w:val="left"/>
              <w:rPr>
                <w:rFonts w:ascii="Times New Roman" w:hAnsi="Times New Roman"/>
                <w:bCs/>
                <w:color w:val="auto"/>
              </w:rPr>
            </w:pPr>
            <w:r>
              <w:rPr>
                <w:rFonts w:ascii="Times New Roman" w:hAnsi="Times New Roman"/>
                <w:bCs/>
                <w:color w:val="auto"/>
              </w:rPr>
              <w:t>NY/T 1117—2010 水溶肥料钙、镁、硫、氯含量的测定</w:t>
            </w:r>
          </w:p>
          <w:p>
            <w:pPr>
              <w:adjustRightInd w:val="0"/>
              <w:snapToGrid w:val="0"/>
              <w:jc w:val="left"/>
              <w:rPr>
                <w:rFonts w:ascii="Times New Roman" w:hAnsi="Times New Roman"/>
                <w:bCs/>
                <w:color w:val="auto"/>
              </w:rPr>
            </w:pPr>
            <w:r>
              <w:rPr>
                <w:rFonts w:ascii="Times New Roman" w:hAnsi="Times New Roman"/>
                <w:bCs/>
                <w:color w:val="auto"/>
              </w:rPr>
              <w:t>NY/T 1972—2010 水溶肥料钠、硒、硅含量的测定</w:t>
            </w:r>
          </w:p>
          <w:p>
            <w:pPr>
              <w:adjustRightInd w:val="0"/>
              <w:snapToGrid w:val="0"/>
              <w:jc w:val="left"/>
              <w:rPr>
                <w:rFonts w:ascii="Times New Roman" w:hAnsi="Times New Roman"/>
                <w:bCs/>
                <w:color w:val="auto"/>
              </w:rPr>
            </w:pPr>
            <w:r>
              <w:rPr>
                <w:rFonts w:ascii="Times New Roman" w:hAnsi="Times New Roman"/>
                <w:bCs/>
                <w:color w:val="auto"/>
              </w:rPr>
              <w:t>NY/T 1978—2022 肥料汞、砷、镉、铅、铬、镍含量的测定</w:t>
            </w:r>
          </w:p>
          <w:p>
            <w:pPr>
              <w:adjustRightInd w:val="0"/>
              <w:snapToGrid w:val="0"/>
              <w:jc w:val="left"/>
              <w:rPr>
                <w:rFonts w:ascii="Times New Roman" w:hAnsi="Times New Roman"/>
                <w:bCs/>
                <w:color w:val="auto"/>
              </w:rPr>
            </w:pPr>
            <w:r>
              <w:rPr>
                <w:rFonts w:ascii="Times New Roman" w:hAnsi="Times New Roman"/>
                <w:bCs/>
                <w:color w:val="auto"/>
              </w:rPr>
              <w:t>NT/T 2541—2014 肥料 磷含量的测定</w:t>
            </w:r>
          </w:p>
        </w:tc>
      </w:tr>
    </w:tbl>
    <w:p>
      <w:pPr>
        <w:pStyle w:val="54"/>
        <w:widowControl w:val="0"/>
        <w:adjustRightInd/>
        <w:spacing w:before="120" w:beforeLines="50" w:after="240" w:afterLines="100"/>
        <w:rPr>
          <w:rFonts w:ascii="Times New Roman" w:hAnsi="Times New Roman" w:eastAsia="黑体"/>
          <w:iCs/>
          <w:color w:val="auto"/>
          <w:sz w:val="18"/>
          <w:szCs w:val="18"/>
        </w:rPr>
      </w:pPr>
    </w:p>
    <w:p>
      <w:pPr>
        <w:pStyle w:val="3"/>
        <w:spacing w:line="360" w:lineRule="auto"/>
        <w:jc w:val="center"/>
        <w:rPr>
          <w:rFonts w:ascii="Times New Roman" w:hAnsi="Times New Roman"/>
          <w:color w:val="auto"/>
        </w:rPr>
      </w:pPr>
      <w:bookmarkStart w:id="9" w:name="_Toc178002554"/>
      <w:bookmarkStart w:id="10" w:name="_Toc178002835"/>
      <w:r>
        <w:rPr>
          <w:rFonts w:ascii="Times New Roman" w:hAnsi="Times New Roman"/>
          <w:b/>
          <w:color w:val="auto"/>
          <w:sz w:val="28"/>
          <w:szCs w:val="28"/>
        </w:rPr>
        <w:t>第三章 企业申请生产许可证的基本条件和资料</w:t>
      </w:r>
      <w:bookmarkEnd w:id="9"/>
      <w:bookmarkEnd w:id="10"/>
    </w:p>
    <w:p>
      <w:pPr>
        <w:pStyle w:val="56"/>
        <w:adjustRightInd w:val="0"/>
        <w:snapToGrid w:val="0"/>
        <w:spacing w:line="360" w:lineRule="auto"/>
        <w:ind w:firstLineChars="200"/>
        <w:jc w:val="left"/>
        <w:rPr>
          <w:rFonts w:ascii="Times New Roman" w:hAnsi="Times New Roman" w:eastAsia="宋体"/>
          <w:color w:val="auto"/>
          <w:sz w:val="21"/>
          <w:szCs w:val="21"/>
        </w:rPr>
      </w:pPr>
      <w:r>
        <w:rPr>
          <w:rFonts w:ascii="Times New Roman" w:hAnsi="Times New Roman" w:eastAsia="宋体"/>
          <w:color w:val="auto"/>
          <w:sz w:val="21"/>
          <w:szCs w:val="21"/>
        </w:rPr>
        <w:t>第六条 基本条件</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企业应具备与所生产产品相适应的基本条件，具体如下：</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（一）有营业执照；</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（三）有与所生产产品相适应的生产条件和检验手段。企业应当具备生产和检验检测</w:t>
      </w:r>
      <w:r>
        <w:rPr>
          <w:rFonts w:hint="eastAsia" w:ascii="Times New Roman" w:hAnsi="Times New Roman"/>
          <w:color w:val="auto"/>
        </w:rPr>
        <w:t>场所、生产和检验检测</w:t>
      </w:r>
      <w:r>
        <w:rPr>
          <w:rFonts w:ascii="Times New Roman" w:hAnsi="Times New Roman"/>
          <w:color w:val="auto"/>
        </w:rPr>
        <w:t>设备，见表3-1～表3-3；</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（五）有健全有效的质量管理制度和责任制度。企业应当建立质量安全管理制度、质量安全追溯制度，有效落实产品质量安全主体责任：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1.有与所生产产品相适应的产品质量安全管理制度，包括：主要负责人、</w:t>
      </w:r>
      <w:r>
        <w:rPr>
          <w:rFonts w:ascii="Times New Roman" w:hAnsi="Times New Roman"/>
          <w:color w:val="auto"/>
          <w:shd w:val="clear" w:color="000000" w:fill="FFFFFF"/>
        </w:rPr>
        <w:t>质量安全总监和质量安全员的设立、调整、岗位职责</w:t>
      </w:r>
      <w:r>
        <w:rPr>
          <w:rFonts w:hint="eastAsia" w:ascii="Times New Roman" w:hAnsi="Times New Roman"/>
          <w:color w:val="auto"/>
          <w:shd w:val="clear" w:color="000000" w:fill="FFFFFF"/>
        </w:rPr>
        <w:t>以及质量安全总监和质量安全员的</w:t>
      </w:r>
      <w:r>
        <w:rPr>
          <w:rFonts w:ascii="Times New Roman" w:hAnsi="Times New Roman"/>
          <w:color w:val="auto"/>
          <w:shd w:val="clear" w:color="000000" w:fill="FFFFFF"/>
        </w:rPr>
        <w:t>培训考核要求等。</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2.有与所生产产品相适应的质量安全追溯制度，企业出厂产品的相关信息应可追溯。</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（六）产品符合有关国家标准、行业标准以及保障人体健康和人身、财产安全的要求。企业应按照现行有效的标准组织生产，有产品质量合格证明，并提交有资质的检验检测机构出具的检验检测报告。</w:t>
      </w:r>
    </w:p>
    <w:p>
      <w:pPr>
        <w:snapToGrid w:val="0"/>
        <w:spacing w:before="240" w:beforeLines="100"/>
        <w:jc w:val="center"/>
        <w:rPr>
          <w:rFonts w:ascii="Times New Roman" w:hAnsi="Times New Roman"/>
          <w:color w:val="auto"/>
        </w:rPr>
      </w:pPr>
      <w:r>
        <w:rPr>
          <w:rFonts w:ascii="Times New Roman" w:hAnsi="Times New Roman"/>
          <w:b/>
          <w:color w:val="auto"/>
        </w:rPr>
        <w:t>表3-1 应具备的场所设施</w:t>
      </w:r>
    </w:p>
    <w:tbl>
      <w:tblPr>
        <w:tblStyle w:val="37"/>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513"/>
        <w:gridCol w:w="6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rFonts w:ascii="Times New Roman" w:hAnsi="Times New Roman"/>
                <w:b/>
                <w:color w:val="auto"/>
              </w:rPr>
            </w:pPr>
            <w:r>
              <w:rPr>
                <w:rFonts w:ascii="Times New Roman" w:hAnsi="Times New Roman"/>
                <w:b/>
                <w:color w:val="auto"/>
              </w:rPr>
              <w:t>序号</w:t>
            </w:r>
          </w:p>
        </w:tc>
        <w:tc>
          <w:tcPr>
            <w:tcW w:w="1513" w:type="dxa"/>
            <w:vAlign w:val="center"/>
          </w:tcPr>
          <w:p>
            <w:pPr>
              <w:adjustRightInd w:val="0"/>
              <w:snapToGrid w:val="0"/>
              <w:jc w:val="center"/>
              <w:textAlignment w:val="baseline"/>
              <w:rPr>
                <w:rFonts w:ascii="Times New Roman" w:hAnsi="Times New Roman"/>
                <w:b/>
                <w:color w:val="auto"/>
              </w:rPr>
            </w:pPr>
            <w:r>
              <w:rPr>
                <w:rFonts w:ascii="Times New Roman" w:hAnsi="Times New Roman"/>
                <w:b/>
                <w:color w:val="auto"/>
              </w:rPr>
              <w:t>名称</w:t>
            </w:r>
          </w:p>
        </w:tc>
        <w:tc>
          <w:tcPr>
            <w:tcW w:w="6892" w:type="dxa"/>
            <w:vAlign w:val="center"/>
          </w:tcPr>
          <w:p>
            <w:pPr>
              <w:adjustRightInd w:val="0"/>
              <w:snapToGrid w:val="0"/>
              <w:jc w:val="center"/>
              <w:textAlignment w:val="baseline"/>
              <w:rPr>
                <w:rFonts w:ascii="Times New Roman" w:hAnsi="Times New Roman"/>
                <w:b/>
                <w:color w:val="auto"/>
              </w:rPr>
            </w:pPr>
            <w:r>
              <w:rPr>
                <w:rFonts w:ascii="Times New Roman" w:hAnsi="Times New Roman"/>
                <w:b/>
                <w:color w:val="auto"/>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w:t>
            </w:r>
          </w:p>
        </w:tc>
        <w:tc>
          <w:tcPr>
            <w:tcW w:w="1513" w:type="dxa"/>
            <w:vMerge w:val="restart"/>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生产场所</w:t>
            </w:r>
          </w:p>
        </w:tc>
        <w:tc>
          <w:tcPr>
            <w:tcW w:w="6892" w:type="dxa"/>
            <w:vAlign w:val="center"/>
          </w:tcPr>
          <w:p>
            <w:pPr>
              <w:adjustRightInd w:val="0"/>
              <w:snapToGrid w:val="0"/>
              <w:textAlignment w:val="baseline"/>
              <w:rPr>
                <w:rFonts w:ascii="Times New Roman" w:hAnsi="Times New Roman"/>
                <w:color w:val="auto"/>
              </w:rPr>
            </w:pPr>
            <w:r>
              <w:rPr>
                <w:rFonts w:ascii="Times New Roman" w:hAnsi="Times New Roman"/>
                <w:bCs/>
                <w:color w:val="auto"/>
              </w:rPr>
              <w:t>生产场所应能满足所申请产品正常批量生产的需求，包括满足原材料等的存放、产品的生产、成品存放等要求。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olor w:val="auto"/>
              </w:rPr>
            </w:pPr>
          </w:p>
        </w:tc>
        <w:tc>
          <w:tcPr>
            <w:tcW w:w="1513" w:type="dxa"/>
            <w:vMerge w:val="continue"/>
            <w:vAlign w:val="center"/>
          </w:tcPr>
          <w:p>
            <w:pPr>
              <w:adjustRightInd w:val="0"/>
              <w:snapToGrid w:val="0"/>
              <w:jc w:val="center"/>
              <w:textAlignment w:val="baseline"/>
              <w:rPr>
                <w:rFonts w:ascii="Times New Roman" w:hAnsi="Times New Roman"/>
                <w:color w:val="auto"/>
              </w:rPr>
            </w:pPr>
          </w:p>
        </w:tc>
        <w:tc>
          <w:tcPr>
            <w:tcW w:w="6892" w:type="dxa"/>
            <w:vAlign w:val="center"/>
          </w:tcPr>
          <w:p>
            <w:pPr>
              <w:adjustRightInd w:val="0"/>
              <w:snapToGrid w:val="0"/>
              <w:textAlignment w:val="baseline"/>
              <w:rPr>
                <w:rFonts w:ascii="Times New Roman" w:hAnsi="Times New Roman"/>
                <w:bCs/>
                <w:color w:val="auto"/>
              </w:rPr>
            </w:pPr>
            <w:r>
              <w:rPr>
                <w:rFonts w:ascii="Times New Roman" w:hAnsi="Times New Roman"/>
                <w:color w:val="auto"/>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2</w:t>
            </w:r>
          </w:p>
        </w:tc>
        <w:tc>
          <w:tcPr>
            <w:tcW w:w="1513" w:type="dxa"/>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检验检测场所</w:t>
            </w:r>
          </w:p>
        </w:tc>
        <w:tc>
          <w:tcPr>
            <w:tcW w:w="6892" w:type="dxa"/>
            <w:vAlign w:val="center"/>
          </w:tcPr>
          <w:p>
            <w:pPr>
              <w:adjustRightInd w:val="0"/>
              <w:snapToGrid w:val="0"/>
              <w:textAlignment w:val="baseline"/>
              <w:rPr>
                <w:rFonts w:ascii="Times New Roman" w:hAnsi="Times New Roman"/>
                <w:bCs/>
                <w:color w:val="auto"/>
              </w:rPr>
            </w:pPr>
            <w:r>
              <w:rPr>
                <w:rFonts w:ascii="Times New Roman" w:hAnsi="Times New Roman"/>
                <w:bCs/>
                <w:color w:val="auto"/>
              </w:rPr>
              <w:t>应有相对独立的检验检测场所，其环境条件应符合检验检测标准的要求。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3</w:t>
            </w:r>
          </w:p>
        </w:tc>
        <w:tc>
          <w:tcPr>
            <w:tcW w:w="1513" w:type="dxa"/>
            <w:vMerge w:val="restart"/>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仓库</w:t>
            </w:r>
          </w:p>
        </w:tc>
        <w:tc>
          <w:tcPr>
            <w:tcW w:w="6892" w:type="dxa"/>
            <w:vAlign w:val="center"/>
          </w:tcPr>
          <w:p>
            <w:pPr>
              <w:adjustRightInd w:val="0"/>
              <w:snapToGrid w:val="0"/>
              <w:textAlignment w:val="baseline"/>
              <w:rPr>
                <w:rFonts w:ascii="Times New Roman" w:hAnsi="Times New Roman"/>
                <w:bCs/>
                <w:color w:val="auto"/>
              </w:rPr>
            </w:pPr>
            <w:r>
              <w:rPr>
                <w:rFonts w:ascii="Times New Roman" w:hAnsi="Times New Roman"/>
                <w:bCs/>
                <w:color w:val="auto"/>
              </w:rPr>
              <w:t>在平层时，应有防水浸泡措施。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olor w:val="auto"/>
              </w:rPr>
            </w:pPr>
          </w:p>
        </w:tc>
        <w:tc>
          <w:tcPr>
            <w:tcW w:w="1513" w:type="dxa"/>
            <w:vMerge w:val="continue"/>
            <w:vAlign w:val="center"/>
          </w:tcPr>
          <w:p>
            <w:pPr>
              <w:keepNext/>
              <w:keepLines/>
              <w:adjustRightInd w:val="0"/>
              <w:snapToGrid w:val="0"/>
              <w:textAlignment w:val="baseline"/>
              <w:outlineLvl w:val="2"/>
              <w:rPr>
                <w:rFonts w:ascii="Times New Roman" w:hAnsi="Times New Roman"/>
                <w:color w:val="auto"/>
              </w:rPr>
            </w:pPr>
          </w:p>
        </w:tc>
        <w:tc>
          <w:tcPr>
            <w:tcW w:w="6892" w:type="dxa"/>
            <w:vAlign w:val="center"/>
          </w:tcPr>
          <w:p>
            <w:pPr>
              <w:adjustRightInd w:val="0"/>
              <w:snapToGrid w:val="0"/>
              <w:textAlignment w:val="baseline"/>
              <w:rPr>
                <w:rFonts w:ascii="Times New Roman" w:hAnsi="Times New Roman"/>
                <w:bCs/>
                <w:color w:val="auto"/>
              </w:rPr>
            </w:pPr>
            <w:r>
              <w:rPr>
                <w:rFonts w:ascii="Times New Roman" w:hAnsi="Times New Roman"/>
                <w:color w:val="auto"/>
              </w:rPr>
              <w:t>原材料、半成品、成品等应有物品标识和检验状态标识，应能有效区分物品、防止物品混淆。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olor w:val="auto"/>
              </w:rPr>
            </w:pPr>
          </w:p>
        </w:tc>
        <w:tc>
          <w:tcPr>
            <w:tcW w:w="1513" w:type="dxa"/>
            <w:vMerge w:val="continue"/>
            <w:vAlign w:val="center"/>
          </w:tcPr>
          <w:p>
            <w:pPr>
              <w:keepNext/>
              <w:keepLines/>
              <w:adjustRightInd w:val="0"/>
              <w:snapToGrid w:val="0"/>
              <w:textAlignment w:val="baseline"/>
              <w:outlineLvl w:val="2"/>
              <w:rPr>
                <w:rFonts w:ascii="Times New Roman" w:hAnsi="Times New Roman"/>
                <w:color w:val="auto"/>
              </w:rPr>
            </w:pPr>
          </w:p>
        </w:tc>
        <w:tc>
          <w:tcPr>
            <w:tcW w:w="6892" w:type="dxa"/>
            <w:vAlign w:val="center"/>
          </w:tcPr>
          <w:p>
            <w:pPr>
              <w:adjustRightInd w:val="0"/>
              <w:snapToGrid w:val="0"/>
              <w:textAlignment w:val="baseline"/>
              <w:rPr>
                <w:rFonts w:ascii="Times New Roman" w:hAnsi="Times New Roman"/>
                <w:color w:val="auto"/>
              </w:rPr>
            </w:pPr>
            <w:r>
              <w:rPr>
                <w:rFonts w:ascii="Times New Roman" w:hAnsi="Times New Roman"/>
                <w:color w:val="auto"/>
              </w:rPr>
              <w:t>存放的各类物品应分类、分区存放，不合格品应隔离。</w:t>
            </w:r>
          </w:p>
        </w:tc>
      </w:tr>
    </w:tbl>
    <w:p>
      <w:pPr>
        <w:snapToGrid w:val="0"/>
        <w:rPr>
          <w:rFonts w:ascii="Times New Roman" w:hAnsi="Times New Roman"/>
          <w:color w:val="auto"/>
          <w:sz w:val="18"/>
          <w:szCs w:val="18"/>
        </w:rPr>
      </w:pPr>
      <w:r>
        <w:rPr>
          <w:rFonts w:ascii="Times New Roman" w:hAnsi="Times New Roman"/>
          <w:color w:val="auto"/>
          <w:sz w:val="18"/>
          <w:szCs w:val="18"/>
        </w:rPr>
        <w:t>注：本细则列出的场所设施允许租赁。</w:t>
      </w:r>
    </w:p>
    <w:p>
      <w:pPr>
        <w:snapToGrid w:val="0"/>
        <w:spacing w:before="240" w:beforeLines="100"/>
        <w:jc w:val="center"/>
        <w:rPr>
          <w:rFonts w:ascii="Times New Roman" w:hAnsi="Times New Roman"/>
          <w:b/>
          <w:color w:val="auto"/>
        </w:rPr>
      </w:pPr>
      <w:bookmarkStart w:id="11" w:name="_Hlk167365790"/>
      <w:r>
        <w:rPr>
          <w:rFonts w:ascii="Times New Roman" w:hAnsi="Times New Roman"/>
          <w:b/>
          <w:color w:val="auto"/>
        </w:rPr>
        <w:t>表3-</w:t>
      </w:r>
      <w:bookmarkEnd w:id="11"/>
      <w:r>
        <w:rPr>
          <w:rFonts w:ascii="Times New Roman" w:hAnsi="Times New Roman"/>
          <w:b/>
          <w:color w:val="auto"/>
        </w:rPr>
        <w:t>2 应具备的生产设备</w:t>
      </w:r>
    </w:p>
    <w:tbl>
      <w:tblPr>
        <w:tblStyle w:val="37"/>
        <w:tblW w:w="90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646"/>
        <w:gridCol w:w="1334"/>
        <w:gridCol w:w="1701"/>
        <w:gridCol w:w="2977"/>
        <w:gridCol w:w="24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393" w:hRule="atLeast"/>
          <w:tblHeader/>
          <w:jc w:val="center"/>
        </w:trPr>
        <w:tc>
          <w:tcPr>
            <w:tcW w:w="646" w:type="dxa"/>
            <w:tcMar>
              <w:top w:w="0" w:type="dxa"/>
              <w:left w:w="108" w:type="dxa"/>
              <w:bottom w:w="0" w:type="dxa"/>
              <w:right w:w="108" w:type="dxa"/>
            </w:tcMar>
            <w:vAlign w:val="center"/>
          </w:tcPr>
          <w:p>
            <w:pPr>
              <w:adjustRightInd w:val="0"/>
              <w:snapToGrid w:val="0"/>
              <w:jc w:val="center"/>
              <w:rPr>
                <w:rFonts w:ascii="Times New Roman" w:hAnsi="Times New Roman"/>
                <w:b/>
                <w:color w:val="auto"/>
              </w:rPr>
            </w:pPr>
            <w:r>
              <w:rPr>
                <w:rFonts w:ascii="Times New Roman" w:hAnsi="Times New Roman"/>
                <w:b/>
                <w:color w:val="auto"/>
              </w:rPr>
              <w:t>序号</w:t>
            </w:r>
          </w:p>
        </w:tc>
        <w:tc>
          <w:tcPr>
            <w:tcW w:w="1334" w:type="dxa"/>
            <w:tcMar>
              <w:top w:w="0" w:type="dxa"/>
              <w:left w:w="108" w:type="dxa"/>
              <w:bottom w:w="0" w:type="dxa"/>
              <w:right w:w="108" w:type="dxa"/>
            </w:tcMar>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1701" w:type="dxa"/>
            <w:vAlign w:val="center"/>
          </w:tcPr>
          <w:p>
            <w:pPr>
              <w:adjustRightInd w:val="0"/>
              <w:snapToGrid w:val="0"/>
              <w:jc w:val="center"/>
              <w:rPr>
                <w:rFonts w:ascii="Times New Roman" w:hAnsi="Times New Roman"/>
                <w:b/>
                <w:color w:val="auto"/>
              </w:rPr>
            </w:pPr>
            <w:r>
              <w:rPr>
                <w:rFonts w:ascii="Times New Roman" w:hAnsi="Times New Roman"/>
                <w:b/>
                <w:color w:val="auto"/>
              </w:rPr>
              <w:t>磷肥种类</w:t>
            </w:r>
          </w:p>
        </w:tc>
        <w:tc>
          <w:tcPr>
            <w:tcW w:w="2977" w:type="dxa"/>
            <w:tcMar>
              <w:top w:w="0" w:type="dxa"/>
              <w:left w:w="108" w:type="dxa"/>
              <w:bottom w:w="0" w:type="dxa"/>
              <w:right w:w="108" w:type="dxa"/>
            </w:tcMar>
            <w:vAlign w:val="center"/>
          </w:tcPr>
          <w:p>
            <w:pPr>
              <w:adjustRightInd w:val="0"/>
              <w:snapToGrid w:val="0"/>
              <w:jc w:val="center"/>
              <w:rPr>
                <w:rFonts w:ascii="Times New Roman" w:hAnsi="Times New Roman"/>
                <w:b/>
                <w:color w:val="auto"/>
              </w:rPr>
            </w:pPr>
            <w:r>
              <w:rPr>
                <w:rFonts w:ascii="Times New Roman" w:hAnsi="Times New Roman"/>
                <w:b/>
                <w:color w:val="auto"/>
              </w:rPr>
              <w:t>设备名称</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b/>
                <w:color w:val="auto"/>
              </w:rPr>
            </w:pPr>
            <w:r>
              <w:rPr>
                <w:rFonts w:ascii="Times New Roman" w:hAnsi="Times New Roman"/>
                <w:b/>
                <w:color w:val="auto"/>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1</w:t>
            </w:r>
          </w:p>
        </w:tc>
        <w:tc>
          <w:tcPr>
            <w:tcW w:w="1334"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过磷酸钙</w:t>
            </w:r>
          </w:p>
        </w:tc>
        <w:tc>
          <w:tcPr>
            <w:tcW w:w="1701" w:type="dxa"/>
            <w:vMerge w:val="restart"/>
            <w:vAlign w:val="center"/>
          </w:tcPr>
          <w:p>
            <w:pPr>
              <w:pStyle w:val="63"/>
              <w:snapToGrid w:val="0"/>
              <w:jc w:val="center"/>
              <w:textAlignment w:val="auto"/>
              <w:rPr>
                <w:rFonts w:ascii="Times New Roman" w:hAnsi="Times New Roman" w:eastAsia="宋体"/>
                <w:color w:val="auto"/>
                <w:sz w:val="21"/>
                <w:szCs w:val="21"/>
              </w:rPr>
            </w:pPr>
            <w:r>
              <w:rPr>
                <w:rFonts w:ascii="Times New Roman" w:hAnsi="Times New Roman" w:eastAsia="宋体"/>
                <w:color w:val="auto"/>
                <w:sz w:val="21"/>
                <w:szCs w:val="21"/>
              </w:rPr>
              <w:t>过磷酸钙</w:t>
            </w:r>
          </w:p>
        </w:tc>
        <w:tc>
          <w:tcPr>
            <w:tcW w:w="2977" w:type="dxa"/>
            <w:tcMar>
              <w:top w:w="0" w:type="dxa"/>
              <w:left w:w="108" w:type="dxa"/>
              <w:bottom w:w="0" w:type="dxa"/>
              <w:right w:w="108" w:type="dxa"/>
            </w:tcMar>
            <w:vAlign w:val="center"/>
          </w:tcPr>
          <w:p>
            <w:pPr>
              <w:pStyle w:val="63"/>
              <w:snapToGrid w:val="0"/>
              <w:textAlignment w:val="auto"/>
              <w:rPr>
                <w:rFonts w:ascii="Times New Roman" w:hAnsi="Times New Roman" w:eastAsia="宋体"/>
                <w:color w:val="auto"/>
                <w:sz w:val="21"/>
                <w:szCs w:val="21"/>
              </w:rPr>
            </w:pPr>
            <w:r>
              <w:rPr>
                <w:rFonts w:ascii="Times New Roman" w:hAnsi="Times New Roman" w:eastAsia="宋体"/>
                <w:color w:val="auto"/>
                <w:sz w:val="21"/>
                <w:szCs w:val="21"/>
              </w:rPr>
              <w:t>1.原料破碎、研磨设备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原料为磷矿粉时不适用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2977" w:type="dxa"/>
            <w:tcMar>
              <w:top w:w="0" w:type="dxa"/>
              <w:left w:w="108" w:type="dxa"/>
              <w:bottom w:w="0" w:type="dxa"/>
              <w:right w:w="108" w:type="dxa"/>
            </w:tcMar>
            <w:vAlign w:val="center"/>
          </w:tcPr>
          <w:p>
            <w:pPr>
              <w:pStyle w:val="63"/>
              <w:snapToGrid w:val="0"/>
              <w:textAlignment w:val="auto"/>
              <w:rPr>
                <w:rFonts w:ascii="Times New Roman" w:hAnsi="Times New Roman" w:eastAsia="宋体"/>
                <w:color w:val="auto"/>
                <w:sz w:val="21"/>
                <w:szCs w:val="21"/>
              </w:rPr>
            </w:pPr>
            <w:r>
              <w:rPr>
                <w:rFonts w:ascii="Times New Roman" w:hAnsi="Times New Roman" w:eastAsia="宋体"/>
                <w:color w:val="auto"/>
                <w:sz w:val="21"/>
                <w:szCs w:val="21"/>
              </w:rPr>
              <w:t>2.硫酸、矿粉（浆）计量设备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3.混合设备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配酸设备、酸矿混合器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4.化成设备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5.硫酸贮槽</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6.熟化库及机械翻堆设备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7.氟回收或处理设备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8.干燥及温控设备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b/>
                <w:color w:val="auto"/>
                <w:vertAlign w:val="superscript"/>
              </w:rPr>
            </w:pPr>
            <w:r>
              <w:rPr>
                <w:rFonts w:ascii="Times New Roman" w:hAnsi="Times New Roman"/>
                <w:color w:val="auto"/>
              </w:rPr>
              <w:t>自产矿粉干法工艺及粒状过磷酸钙生产适用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9.造粒设备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粒状过磷酸钙生产适用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10.成品筛分设备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粒状过磷酸钙生产适用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11.矿浆泵</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b/>
                <w:color w:val="auto"/>
                <w:vertAlign w:val="superscript"/>
              </w:rPr>
            </w:pPr>
            <w:r>
              <w:rPr>
                <w:rFonts w:ascii="Times New Roman" w:hAnsi="Times New Roman"/>
                <w:color w:val="auto"/>
              </w:rPr>
              <w:t>湿法工艺适用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2</w:t>
            </w:r>
          </w:p>
        </w:tc>
        <w:tc>
          <w:tcPr>
            <w:tcW w:w="1334"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c>
          <w:tcPr>
            <w:tcW w:w="1701" w:type="dxa"/>
            <w:vMerge w:val="restart"/>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1.配料计量设备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2.热风炉</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3.高炉及高炉上料设备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4.风机（热风机和鼓风机）</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5.烘干磨细设备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6.造粒设备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粒状钙镁磷肥生产适用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7.成品筛分设备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b/>
                <w:color w:val="auto"/>
                <w:vertAlign w:val="superscript"/>
              </w:rPr>
            </w:pPr>
            <w:r>
              <w:rPr>
                <w:rFonts w:ascii="Times New Roman" w:hAnsi="Times New Roman"/>
                <w:color w:val="auto"/>
              </w:rPr>
              <w:t>粒状钙镁磷肥生产适用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3</w:t>
            </w:r>
          </w:p>
        </w:tc>
        <w:tc>
          <w:tcPr>
            <w:tcW w:w="1334" w:type="dxa"/>
            <w:vMerge w:val="restart"/>
            <w:tcMar>
              <w:top w:w="0" w:type="dxa"/>
              <w:left w:w="108" w:type="dxa"/>
              <w:bottom w:w="0" w:type="dxa"/>
              <w:right w:w="108" w:type="dxa"/>
            </w:tcMar>
            <w:vAlign w:val="center"/>
          </w:tcPr>
          <w:p>
            <w:pPr>
              <w:adjustRightInd w:val="0"/>
              <w:snapToGrid w:val="0"/>
              <w:jc w:val="center"/>
              <w:rPr>
                <w:rFonts w:ascii="Times New Roman" w:hAnsi="Times New Roman"/>
                <w:bCs/>
                <w:color w:val="auto"/>
              </w:rPr>
            </w:pPr>
            <w:r>
              <w:rPr>
                <w:rFonts w:ascii="Times New Roman" w:hAnsi="Times New Roman"/>
                <w:color w:val="auto"/>
              </w:rPr>
              <w:t>钙镁磷钾肥</w:t>
            </w:r>
          </w:p>
        </w:tc>
        <w:tc>
          <w:tcPr>
            <w:tcW w:w="1701" w:type="dxa"/>
            <w:vMerge w:val="restart"/>
            <w:vAlign w:val="center"/>
          </w:tcPr>
          <w:p>
            <w:pPr>
              <w:adjustRightInd w:val="0"/>
              <w:snapToGrid w:val="0"/>
              <w:jc w:val="center"/>
              <w:rPr>
                <w:rFonts w:ascii="Times New Roman" w:hAnsi="Times New Roman"/>
                <w:color w:val="auto"/>
              </w:rPr>
            </w:pPr>
            <w:r>
              <w:rPr>
                <w:rFonts w:ascii="Times New Roman" w:hAnsi="Times New Roman"/>
                <w:color w:val="auto"/>
              </w:rPr>
              <w:t>钙镁磷钾肥</w:t>
            </w: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1.配料计量设备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2.热风炉</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3.高炉及高炉上料设备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4.高炉气净化除尘设备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5.风机（热风机和鼓风机）</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6.氟回收或处理设备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vAlign w:val="center"/>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7.烘干磨细设备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4</w:t>
            </w:r>
          </w:p>
        </w:tc>
        <w:tc>
          <w:tcPr>
            <w:tcW w:w="1334"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c>
          <w:tcPr>
            <w:tcW w:w="1701" w:type="dxa"/>
            <w:vMerge w:val="restart"/>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1.燃烧炉</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2.干燥机</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701" w:type="dxa"/>
            <w:vMerge w:val="continue"/>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3.干燥机进出口风温测定仪</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color w:val="auto"/>
              </w:rPr>
              <w:t>4.鼓、引风机</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tcPr>
          <w:p>
            <w:pPr>
              <w:adjustRightInd w:val="0"/>
              <w:snapToGrid w:val="0"/>
              <w:jc w:val="center"/>
              <w:rPr>
                <w:rFonts w:ascii="Times New Roman" w:hAnsi="Times New Roman"/>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5.气固分离设备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646"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3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701" w:type="dxa"/>
            <w:vMerge w:val="continue"/>
          </w:tcPr>
          <w:p>
            <w:pPr>
              <w:adjustRightInd w:val="0"/>
              <w:snapToGrid w:val="0"/>
              <w:jc w:val="center"/>
              <w:rPr>
                <w:rFonts w:ascii="Times New Roman" w:hAnsi="Times New Roman"/>
                <w:bCs/>
                <w:color w:val="auto"/>
              </w:rPr>
            </w:pPr>
          </w:p>
        </w:tc>
        <w:tc>
          <w:tcPr>
            <w:tcW w:w="2977"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6.含尘气体净化回收设备</w:t>
            </w:r>
          </w:p>
        </w:tc>
        <w:tc>
          <w:tcPr>
            <w:tcW w:w="2409"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bl>
    <w:p>
      <w:pPr>
        <w:pStyle w:val="54"/>
        <w:widowControl w:val="0"/>
        <w:spacing w:before="120" w:beforeLines="50"/>
        <w:rPr>
          <w:rFonts w:ascii="Times New Roman" w:hAnsi="Times New Roman"/>
          <w:color w:val="auto"/>
          <w:sz w:val="18"/>
          <w:szCs w:val="18"/>
        </w:rPr>
      </w:pPr>
      <w:r>
        <w:rPr>
          <w:rFonts w:ascii="Times New Roman" w:hAnsi="Times New Roman" w:eastAsia="黑体"/>
          <w:iCs/>
          <w:color w:val="auto"/>
          <w:sz w:val="18"/>
          <w:szCs w:val="18"/>
        </w:rPr>
        <w:t>注：</w:t>
      </w:r>
      <w:r>
        <w:rPr>
          <w:rFonts w:hint="eastAsia" w:ascii="Times New Roman" w:hAnsi="Times New Roman"/>
          <w:color w:val="auto"/>
          <w:sz w:val="18"/>
          <w:szCs w:val="18"/>
        </w:rPr>
        <w:t>1.以上为典型工艺应必备的生产设备，对于采用非典型生产工艺的企业，按本细则的要求对企业工艺设计文件规定的生产设备进行核查。</w:t>
      </w:r>
    </w:p>
    <w:p>
      <w:pPr>
        <w:pStyle w:val="54"/>
        <w:widowControl w:val="0"/>
        <w:adjustRightInd/>
        <w:spacing w:before="0" w:beforeLines="0"/>
        <w:ind w:firstLine="360" w:firstLineChars="200"/>
        <w:jc w:val="both"/>
        <w:rPr>
          <w:rFonts w:ascii="Times New Roman" w:hAnsi="Times New Roman"/>
          <w:iCs/>
          <w:color w:val="auto"/>
          <w:sz w:val="18"/>
          <w:szCs w:val="18"/>
        </w:rPr>
      </w:pPr>
      <w:r>
        <w:rPr>
          <w:rFonts w:hint="eastAsia" w:ascii="Times New Roman" w:hAnsi="Times New Roman"/>
          <w:color w:val="auto"/>
          <w:sz w:val="18"/>
          <w:szCs w:val="18"/>
          <w:lang w:val="en-US" w:eastAsia="zh-CN"/>
        </w:rPr>
        <w:t>2</w:t>
      </w:r>
      <w:r>
        <w:rPr>
          <w:rFonts w:hint="eastAsia" w:ascii="Times New Roman" w:hAnsi="Times New Roman"/>
          <w:color w:val="auto"/>
          <w:sz w:val="18"/>
          <w:szCs w:val="18"/>
        </w:rPr>
        <w:t>. 本表为企业应具备的基本生产设备，可与上述设备名称不同，但应满足上述设备的功能、性能要求，生产设备必须自有，不得租赁。</w:t>
      </w:r>
    </w:p>
    <w:p>
      <w:pPr>
        <w:snapToGrid w:val="0"/>
        <w:spacing w:before="240" w:beforeLines="100"/>
        <w:jc w:val="center"/>
        <w:rPr>
          <w:rFonts w:ascii="Times New Roman" w:hAnsi="Times New Roman"/>
          <w:b/>
          <w:color w:val="auto"/>
        </w:rPr>
      </w:pPr>
      <w:r>
        <w:rPr>
          <w:rFonts w:ascii="Times New Roman" w:hAnsi="Times New Roman"/>
          <w:b/>
          <w:color w:val="auto"/>
        </w:rPr>
        <w:t>表3-3  应具备的检验检测设备</w:t>
      </w:r>
    </w:p>
    <w:tbl>
      <w:tblPr>
        <w:tblStyle w:val="37"/>
        <w:tblW w:w="93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26"/>
        <w:gridCol w:w="708"/>
        <w:gridCol w:w="709"/>
        <w:gridCol w:w="1134"/>
        <w:gridCol w:w="1276"/>
        <w:gridCol w:w="1701"/>
        <w:gridCol w:w="1559"/>
        <w:gridCol w:w="113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blHeader/>
        </w:trPr>
        <w:tc>
          <w:tcPr>
            <w:tcW w:w="426"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序号</w:t>
            </w:r>
          </w:p>
        </w:tc>
        <w:tc>
          <w:tcPr>
            <w:tcW w:w="708"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709" w:type="dxa"/>
          </w:tcPr>
          <w:p>
            <w:pPr>
              <w:adjustRightInd w:val="0"/>
              <w:snapToGrid w:val="0"/>
              <w:jc w:val="center"/>
              <w:rPr>
                <w:rFonts w:ascii="Times New Roman" w:hAnsi="Times New Roman"/>
                <w:b/>
                <w:color w:val="auto"/>
              </w:rPr>
            </w:pPr>
            <w:r>
              <w:rPr>
                <w:rFonts w:ascii="Times New Roman" w:hAnsi="Times New Roman"/>
                <w:b/>
                <w:color w:val="auto"/>
              </w:rPr>
              <w:t>磷肥种类</w:t>
            </w:r>
          </w:p>
        </w:tc>
        <w:tc>
          <w:tcPr>
            <w:tcW w:w="1134"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检验检测项目</w:t>
            </w:r>
          </w:p>
        </w:tc>
        <w:tc>
          <w:tcPr>
            <w:tcW w:w="1276"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依据标准及条款</w:t>
            </w: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检验检测设备</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技术参数</w:t>
            </w:r>
          </w:p>
        </w:tc>
        <w:tc>
          <w:tcPr>
            <w:tcW w:w="1134"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检验类别</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r>
              <w:rPr>
                <w:rFonts w:ascii="Times New Roman" w:hAnsi="Times New Roman"/>
                <w:bCs/>
                <w:color w:val="auto"/>
              </w:rPr>
              <w:t>1</w:t>
            </w:r>
          </w:p>
        </w:tc>
        <w:tc>
          <w:tcPr>
            <w:tcW w:w="708"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过磷酸钙</w:t>
            </w:r>
          </w:p>
        </w:tc>
        <w:tc>
          <w:tcPr>
            <w:tcW w:w="709" w:type="dxa"/>
            <w:vMerge w:val="restart"/>
            <w:vAlign w:val="center"/>
          </w:tcPr>
          <w:p>
            <w:pPr>
              <w:adjustRightInd w:val="0"/>
              <w:snapToGrid w:val="0"/>
              <w:jc w:val="center"/>
              <w:rPr>
                <w:rFonts w:ascii="Times New Roman" w:hAnsi="Times New Roman"/>
                <w:color w:val="auto"/>
              </w:rPr>
            </w:pPr>
            <w:r>
              <w:rPr>
                <w:rFonts w:ascii="Times New Roman" w:hAnsi="Times New Roman"/>
                <w:color w:val="auto"/>
              </w:rPr>
              <w:t>过磷酸钙</w:t>
            </w:r>
          </w:p>
        </w:tc>
        <w:tc>
          <w:tcPr>
            <w:tcW w:w="1134" w:type="dxa"/>
            <w:vMerge w:val="restart"/>
            <w:tcMar>
              <w:top w:w="0" w:type="dxa"/>
              <w:left w:w="57" w:type="dxa"/>
              <w:bottom w:w="0" w:type="dxa"/>
              <w:right w:w="57" w:type="dxa"/>
            </w:tcMar>
            <w:vAlign w:val="center"/>
          </w:tcPr>
          <w:p>
            <w:pPr>
              <w:adjustRightInd w:val="0"/>
              <w:snapToGrid w:val="0"/>
              <w:jc w:val="left"/>
              <w:rPr>
                <w:rFonts w:ascii="Times New Roman" w:hAnsi="Times New Roman"/>
                <w:color w:val="auto"/>
              </w:rPr>
            </w:pPr>
            <w:r>
              <w:rPr>
                <w:rFonts w:ascii="Times New Roman" w:hAnsi="Times New Roman"/>
                <w:color w:val="auto"/>
              </w:rPr>
              <w:t>有效磷（以P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计）、水溶性磷（以P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计）</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r>
              <w:rPr>
                <w:rFonts w:ascii="Times New Roman" w:hAnsi="Times New Roman"/>
                <w:color w:val="auto"/>
              </w:rPr>
              <w:t>GB/T 20413—2017 过磷酸钙</w:t>
            </w:r>
          </w:p>
          <w:p>
            <w:pPr>
              <w:adjustRightInd w:val="0"/>
              <w:snapToGrid w:val="0"/>
              <w:jc w:val="left"/>
              <w:textAlignment w:val="baseline"/>
              <w:rPr>
                <w:rFonts w:ascii="Times New Roman" w:hAnsi="Times New Roman"/>
                <w:b/>
                <w:color w:val="auto"/>
              </w:rPr>
            </w:pPr>
            <w:r>
              <w:rPr>
                <w:rFonts w:ascii="Times New Roman" w:hAnsi="Times New Roman"/>
                <w:color w:val="auto"/>
              </w:rPr>
              <w:t>5.3</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电热恒温干燥箱</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（180±2）℃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恒温水浴振荡器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（60±2）℃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真空抽滤装置</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游离酸</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r>
              <w:rPr>
                <w:rFonts w:ascii="Times New Roman" w:hAnsi="Times New Roman"/>
                <w:color w:val="auto"/>
              </w:rPr>
              <w:t>GB/T 20413—2017 过磷酸钙</w:t>
            </w:r>
          </w:p>
          <w:p>
            <w:pPr>
              <w:adjustRightInd w:val="0"/>
              <w:snapToGrid w:val="0"/>
              <w:jc w:val="left"/>
              <w:textAlignment w:val="baseline"/>
              <w:rPr>
                <w:rFonts w:ascii="Times New Roman" w:hAnsi="Times New Roman"/>
                <w:b/>
                <w:color w:val="auto"/>
              </w:rPr>
            </w:pPr>
            <w:r>
              <w:rPr>
                <w:rFonts w:ascii="Times New Roman" w:hAnsi="Times New Roman"/>
                <w:color w:val="auto"/>
              </w:rPr>
              <w:t>5.5</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碱式滴定管</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10mL或25mL</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酸度计</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±0.01pH</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仅采用酸度计法时适用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游离水</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r>
              <w:rPr>
                <w:rFonts w:ascii="Times New Roman" w:hAnsi="Times New Roman"/>
                <w:color w:val="auto"/>
              </w:rPr>
              <w:t>GB/T 20413—2017 过磷酸钙</w:t>
            </w:r>
          </w:p>
          <w:p>
            <w:pPr>
              <w:adjustRightInd w:val="0"/>
              <w:snapToGrid w:val="0"/>
              <w:jc w:val="left"/>
              <w:textAlignment w:val="baseline"/>
              <w:rPr>
                <w:rFonts w:ascii="Times New Roman" w:hAnsi="Times New Roman"/>
                <w:b/>
                <w:color w:val="auto"/>
              </w:rPr>
            </w:pPr>
            <w:r>
              <w:rPr>
                <w:rFonts w:ascii="Times New Roman" w:hAnsi="Times New Roman"/>
                <w:color w:val="auto"/>
              </w:rPr>
              <w:t>5.6</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恒温干燥箱</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100±2℃</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粒度</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r>
              <w:rPr>
                <w:rFonts w:ascii="Times New Roman" w:hAnsi="Times New Roman"/>
                <w:color w:val="auto"/>
              </w:rPr>
              <w:t>GB/T 20413—2017 过磷酸钙</w:t>
            </w:r>
          </w:p>
          <w:p>
            <w:pPr>
              <w:adjustRightInd w:val="0"/>
              <w:snapToGrid w:val="0"/>
              <w:jc w:val="left"/>
              <w:textAlignment w:val="baseline"/>
              <w:rPr>
                <w:rFonts w:ascii="Times New Roman" w:hAnsi="Times New Roman"/>
                <w:b/>
                <w:color w:val="auto"/>
              </w:rPr>
            </w:pPr>
            <w:r>
              <w:rPr>
                <w:rFonts w:ascii="Times New Roman" w:hAnsi="Times New Roman"/>
                <w:color w:val="auto"/>
              </w:rPr>
              <w:t>5.7</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试验筛</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孔径为1.00mm、4.75mm或3.35mm、5.60mm</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感量0.5g</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rPr>
                <w:rFonts w:ascii="Times New Roman" w:hAnsi="Times New Roman"/>
                <w:b/>
                <w:color w:val="auto"/>
              </w:rPr>
            </w:pPr>
            <w:r>
              <w:rPr>
                <w:rFonts w:ascii="Times New Roman" w:hAnsi="Times New Roman"/>
                <w:color w:val="auto"/>
              </w:rPr>
              <w:t>硫（以S计）</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r>
              <w:rPr>
                <w:rFonts w:ascii="Times New Roman" w:hAnsi="Times New Roman"/>
                <w:color w:val="auto"/>
              </w:rPr>
              <w:t>GB/T 20413—2017 过磷酸钙</w:t>
            </w:r>
          </w:p>
          <w:p>
            <w:pPr>
              <w:adjustRightInd w:val="0"/>
              <w:snapToGrid w:val="0"/>
              <w:jc w:val="left"/>
              <w:rPr>
                <w:rFonts w:ascii="Times New Roman" w:hAnsi="Times New Roman"/>
                <w:color w:val="auto"/>
              </w:rPr>
            </w:pPr>
            <w:r>
              <w:rPr>
                <w:rFonts w:ascii="Times New Roman" w:hAnsi="Times New Roman"/>
                <w:color w:val="auto"/>
              </w:rPr>
              <w:t>5.4</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p>
        </w:tc>
        <w:tc>
          <w:tcPr>
            <w:tcW w:w="709" w:type="dxa"/>
            <w:vMerge w:val="continue"/>
            <w:vAlign w:val="center"/>
          </w:tcPr>
          <w:p>
            <w:pPr>
              <w:adjustRightInd w:val="0"/>
              <w:snapToGrid w:val="0"/>
              <w:jc w:val="center"/>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玻璃坩埚式滤器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4号，容积30mL</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p>
        </w:tc>
        <w:tc>
          <w:tcPr>
            <w:tcW w:w="709" w:type="dxa"/>
            <w:vMerge w:val="continue"/>
            <w:vAlign w:val="center"/>
          </w:tcPr>
          <w:p>
            <w:pPr>
              <w:adjustRightInd w:val="0"/>
              <w:snapToGrid w:val="0"/>
              <w:jc w:val="center"/>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干燥箱</w:t>
            </w:r>
          </w:p>
        </w:tc>
        <w:tc>
          <w:tcPr>
            <w:tcW w:w="1559"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color w:val="auto"/>
              </w:rPr>
              <w:t>（180±2）℃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箱式电阻炉</w:t>
            </w:r>
          </w:p>
        </w:tc>
        <w:tc>
          <w:tcPr>
            <w:tcW w:w="1559"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color w:val="auto"/>
              </w:rPr>
              <w:t>（800±50）℃</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仅采用灼烧法时适用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干燥箱</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（120±2）℃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等离子体发射光谱仪</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仅采用等离子体发射光谱法时适用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挥发性有机化合物</w:t>
            </w:r>
          </w:p>
        </w:tc>
        <w:tc>
          <w:tcPr>
            <w:tcW w:w="1276" w:type="dxa"/>
            <w:vMerge w:val="restart"/>
            <w:tcMar>
              <w:top w:w="0" w:type="dxa"/>
              <w:left w:w="57" w:type="dxa"/>
              <w:bottom w:w="0" w:type="dxa"/>
              <w:right w:w="57" w:type="dxa"/>
            </w:tcMar>
            <w:vAlign w:val="center"/>
          </w:tcPr>
          <w:p>
            <w:pPr>
              <w:adjustRightInd w:val="0"/>
              <w:snapToGrid w:val="0"/>
              <w:jc w:val="left"/>
              <w:rPr>
                <w:rFonts w:ascii="Times New Roman" w:hAnsi="Times New Roman"/>
                <w:color w:val="auto"/>
              </w:rPr>
            </w:pPr>
            <w:r>
              <w:rPr>
                <w:rFonts w:ascii="Times New Roman" w:hAnsi="Times New Roman"/>
                <w:color w:val="auto"/>
              </w:rPr>
              <w:t>GB/T 20413—2017 过磷酸钙</w:t>
            </w:r>
          </w:p>
          <w:p>
            <w:pPr>
              <w:adjustRightInd w:val="0"/>
              <w:snapToGrid w:val="0"/>
              <w:jc w:val="left"/>
              <w:rPr>
                <w:rFonts w:ascii="Times New Roman" w:hAnsi="Times New Roman"/>
                <w:color w:val="auto"/>
              </w:rPr>
            </w:pPr>
            <w:r>
              <w:rPr>
                <w:rFonts w:ascii="Times New Roman" w:hAnsi="Times New Roman"/>
                <w:color w:val="auto"/>
              </w:rPr>
              <w:t>5.8</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精度0.01g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型式检验</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顶空进样器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气相色谱-质谱仪</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总镉、总铅、总铬</w:t>
            </w:r>
          </w:p>
        </w:tc>
        <w:tc>
          <w:tcPr>
            <w:tcW w:w="1276"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GB 38400—2019 肥料中有毒有害物质的限量要求5.</w:t>
            </w:r>
            <w:r>
              <w:rPr>
                <w:rFonts w:ascii="Times New Roman" w:hAnsi="Times New Roman" w:eastAsia="宋体"/>
                <w:color w:val="auto"/>
                <w:sz w:val="21"/>
                <w:szCs w:val="21"/>
              </w:rPr>
              <w:t>7</w:t>
            </w: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rPr>
                <w:rFonts w:ascii="Times New Roman" w:hAnsi="Times New Roman" w:eastAsia="宋体"/>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原子吸收分光光度计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有背景校正装置</w:t>
            </w:r>
          </w:p>
          <w:p>
            <w:pPr>
              <w:adjustRightInd w:val="0"/>
              <w:snapToGrid w:val="0"/>
              <w:jc w:val="center"/>
              <w:rPr>
                <w:rFonts w:ascii="Times New Roman" w:hAnsi="Times New Roman"/>
                <w:color w:val="auto"/>
              </w:rPr>
            </w:pPr>
            <w:r>
              <w:rPr>
                <w:rFonts w:ascii="Times New Roman" w:hAnsi="Times New Roman"/>
                <w:color w:val="auto"/>
              </w:rPr>
              <w:t>配有镉、铅、铬空心阴极灯和空气－乙炔燃烧器或石墨炉</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rPr>
                <w:rFonts w:ascii="Times New Roman" w:hAnsi="Times New Roman" w:eastAsia="宋体"/>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总汞</w:t>
            </w:r>
          </w:p>
        </w:tc>
        <w:tc>
          <w:tcPr>
            <w:tcW w:w="1276" w:type="dxa"/>
            <w:vMerge w:val="continue"/>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rPr>
                <w:rFonts w:ascii="Times New Roman" w:hAnsi="Times New Roman" w:eastAsia="宋体"/>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原子吸收分光光度计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配有氢化物发生器、汞空心阴极灯</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总砷</w:t>
            </w: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定砷仪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1cm吸收池</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三氯乙醛</w:t>
            </w:r>
          </w:p>
        </w:tc>
        <w:tc>
          <w:tcPr>
            <w:tcW w:w="1276" w:type="dxa"/>
            <w:vMerge w:val="restart"/>
            <w:tcMar>
              <w:top w:w="0" w:type="dxa"/>
              <w:left w:w="57" w:type="dxa"/>
              <w:bottom w:w="0" w:type="dxa"/>
              <w:right w:w="57" w:type="dxa"/>
            </w:tcMar>
            <w:vAlign w:val="center"/>
          </w:tcPr>
          <w:p>
            <w:pPr>
              <w:adjustRightInd w:val="0"/>
              <w:snapToGrid w:val="0"/>
              <w:jc w:val="left"/>
              <w:rPr>
                <w:rFonts w:ascii="Times New Roman" w:hAnsi="Times New Roman"/>
                <w:color w:val="auto"/>
              </w:rPr>
            </w:pPr>
            <w:r>
              <w:rPr>
                <w:rFonts w:ascii="Times New Roman" w:hAnsi="Times New Roman"/>
                <w:color w:val="auto"/>
              </w:rPr>
              <w:t>GB/T 20413—2017 过磷酸钙</w:t>
            </w:r>
          </w:p>
          <w:p>
            <w:pPr>
              <w:adjustRightInd w:val="0"/>
              <w:snapToGrid w:val="0"/>
              <w:jc w:val="left"/>
              <w:rPr>
                <w:rFonts w:ascii="Times New Roman" w:hAnsi="Times New Roman"/>
                <w:color w:val="auto"/>
              </w:rPr>
            </w:pPr>
            <w:r>
              <w:rPr>
                <w:rFonts w:ascii="Times New Roman" w:hAnsi="Times New Roman"/>
                <w:color w:val="auto"/>
              </w:rPr>
              <w:t>5.10</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型式检验</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振荡器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气相色谱仪</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带微电子捕获</w:t>
            </w:r>
          </w:p>
          <w:p>
            <w:pPr>
              <w:adjustRightInd w:val="0"/>
              <w:snapToGrid w:val="0"/>
              <w:jc w:val="center"/>
              <w:textAlignment w:val="baseline"/>
              <w:rPr>
                <w:rFonts w:ascii="Times New Roman" w:hAnsi="Times New Roman"/>
                <w:color w:val="auto"/>
              </w:rPr>
            </w:pPr>
            <w:r>
              <w:rPr>
                <w:rFonts w:ascii="Times New Roman" w:hAnsi="Times New Roman"/>
                <w:color w:val="auto"/>
              </w:rPr>
              <w:t>检测器</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rPr>
                <w:rFonts w:ascii="Times New Roman" w:hAnsi="Times New Roman" w:eastAsia="宋体"/>
                <w:b/>
                <w:color w:val="auto"/>
                <w:sz w:val="21"/>
                <w:szCs w:val="21"/>
              </w:rPr>
            </w:pPr>
            <w:r>
              <w:rPr>
                <w:rFonts w:ascii="Times New Roman" w:hAnsi="Times New Roman" w:eastAsia="宋体"/>
                <w:bCs/>
                <w:color w:val="auto"/>
                <w:sz w:val="21"/>
                <w:szCs w:val="21"/>
              </w:rPr>
              <w:t>总铊</w:t>
            </w:r>
          </w:p>
        </w:tc>
        <w:tc>
          <w:tcPr>
            <w:tcW w:w="1276" w:type="dxa"/>
            <w:vMerge w:val="restart"/>
            <w:tcMar>
              <w:top w:w="0" w:type="dxa"/>
              <w:left w:w="57" w:type="dxa"/>
              <w:bottom w:w="0" w:type="dxa"/>
              <w:right w:w="57" w:type="dxa"/>
            </w:tcMar>
            <w:vAlign w:val="center"/>
          </w:tcPr>
          <w:p>
            <w:pPr>
              <w:pStyle w:val="63"/>
              <w:snapToGrid w:val="0"/>
              <w:jc w:val="left"/>
              <w:rPr>
                <w:rFonts w:ascii="Times New Roman" w:hAnsi="Times New Roman" w:eastAsia="宋体"/>
                <w:b/>
                <w:color w:val="auto"/>
                <w:sz w:val="21"/>
                <w:szCs w:val="21"/>
              </w:rPr>
            </w:pPr>
            <w:r>
              <w:rPr>
                <w:rFonts w:ascii="Times New Roman" w:hAnsi="Times New Roman" w:eastAsia="宋体"/>
                <w:bCs/>
                <w:color w:val="auto"/>
                <w:sz w:val="21"/>
                <w:szCs w:val="21"/>
              </w:rPr>
              <w:t>GB 38400—2019 肥料中有毒有害物质的限量要求5.8</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电感耦合等离子发射光谱仪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r>
              <w:rPr>
                <w:rFonts w:ascii="Times New Roman" w:hAnsi="Times New Roman"/>
                <w:bCs/>
                <w:color w:val="auto"/>
              </w:rPr>
              <w:t>2</w:t>
            </w:r>
          </w:p>
        </w:tc>
        <w:tc>
          <w:tcPr>
            <w:tcW w:w="708"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c>
          <w:tcPr>
            <w:tcW w:w="709" w:type="dxa"/>
            <w:vMerge w:val="restart"/>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c>
          <w:tcPr>
            <w:tcW w:w="1134" w:type="dxa"/>
            <w:vMerge w:val="restart"/>
            <w:tcMar>
              <w:top w:w="0" w:type="dxa"/>
              <w:left w:w="57" w:type="dxa"/>
              <w:bottom w:w="0" w:type="dxa"/>
              <w:right w:w="57" w:type="dxa"/>
            </w:tcMar>
            <w:vAlign w:val="center"/>
          </w:tcPr>
          <w:p>
            <w:pPr>
              <w:adjustRightInd w:val="0"/>
              <w:snapToGrid w:val="0"/>
              <w:jc w:val="left"/>
              <w:rPr>
                <w:rFonts w:ascii="Times New Roman" w:hAnsi="Times New Roman"/>
                <w:color w:val="auto"/>
              </w:rPr>
            </w:pPr>
            <w:r>
              <w:rPr>
                <w:rFonts w:ascii="Times New Roman" w:hAnsi="Times New Roman"/>
                <w:color w:val="auto"/>
              </w:rPr>
              <w:t>有效五氧化二磷（P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GB/T 20412—2021 钙镁磷肥6.4</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恒温水浴振荡器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能控制温度在28-30℃的往复式振荡器或回旋式振荡器</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恒温干燥箱</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180±2℃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真空抽滤装置</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玻璃坩埚式滤器</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4号，容积30mL</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bottom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流动分析仪</w:t>
            </w:r>
          </w:p>
        </w:tc>
        <w:tc>
          <w:tcPr>
            <w:tcW w:w="1559" w:type="dxa"/>
            <w:tcBorders>
              <w:bottom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Borders>
              <w:bottom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水分（H</w:t>
            </w:r>
            <w:r>
              <w:rPr>
                <w:rFonts w:ascii="Times New Roman" w:hAnsi="Times New Roman"/>
                <w:color w:val="auto"/>
                <w:vertAlign w:val="subscript"/>
              </w:rPr>
              <w:t>2</w:t>
            </w:r>
            <w:r>
              <w:rPr>
                <w:rFonts w:ascii="Times New Roman" w:hAnsi="Times New Roman"/>
                <w:color w:val="auto"/>
              </w:rPr>
              <w:t>O）</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GB/T 20412—2021 钙镁磷肥6.5</w:t>
            </w: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电热恒温干燥箱</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130±2℃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r>
              <w:rPr>
                <w:rFonts w:ascii="Times New Roman" w:hAnsi="Times New Roman"/>
                <w:color w:val="auto"/>
              </w:rPr>
              <w:t>有效钙（Ca）</w:t>
            </w:r>
          </w:p>
          <w:p>
            <w:pPr>
              <w:adjustRightInd w:val="0"/>
              <w:snapToGrid w:val="0"/>
              <w:jc w:val="left"/>
              <w:textAlignment w:val="baseline"/>
              <w:rPr>
                <w:rFonts w:ascii="Times New Roman" w:hAnsi="Times New Roman"/>
                <w:b/>
                <w:color w:val="auto"/>
              </w:rPr>
            </w:pPr>
            <w:r>
              <w:rPr>
                <w:rFonts w:ascii="Times New Roman" w:hAnsi="Times New Roman"/>
                <w:color w:val="auto"/>
              </w:rPr>
              <w:t>有效镁（Mg）</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r>
              <w:rPr>
                <w:rFonts w:ascii="Times New Roman" w:hAnsi="Times New Roman"/>
                <w:color w:val="auto"/>
              </w:rPr>
              <w:t>GB/T 20412—2021 钙镁磷肥6.6</w:t>
            </w:r>
          </w:p>
          <w:p>
            <w:pPr>
              <w:adjustRightInd w:val="0"/>
              <w:snapToGrid w:val="0"/>
              <w:jc w:val="left"/>
              <w:textAlignment w:val="baseline"/>
              <w:rPr>
                <w:rFonts w:ascii="Times New Roman" w:hAnsi="Times New Roman"/>
                <w:b/>
                <w:color w:val="auto"/>
              </w:rPr>
            </w:pPr>
            <w:r>
              <w:rPr>
                <w:rFonts w:ascii="Times New Roman" w:hAnsi="Times New Roman"/>
                <w:color w:val="auto"/>
              </w:rPr>
              <w:t>6.7</w:t>
            </w: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恒温水浴振荡器</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28-30℃</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等离子体发射光谱仪</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仅采用等离子体发射光谱法时适用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可溶性硅（SiO</w:t>
            </w:r>
            <w:r>
              <w:rPr>
                <w:rFonts w:ascii="Times New Roman" w:hAnsi="Times New Roman"/>
                <w:color w:val="auto"/>
                <w:vertAlign w:val="subscript"/>
              </w:rPr>
              <w:t>2</w:t>
            </w:r>
            <w:r>
              <w:rPr>
                <w:rFonts w:ascii="Times New Roman" w:hAnsi="Times New Roman"/>
                <w:color w:val="auto"/>
              </w:rPr>
              <w:t>）</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GB/T 20412—2021 钙镁磷肥6.8</w:t>
            </w: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恒温水浴振荡器</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28-30℃</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聚乙烯烧杯、聚乙烯漏斗、聚乙烯搅拌棒</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等离子体发射光谱仪</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仅采用等离子体发射光谱法时适用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细度</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GB/T 20412—2021 钙镁磷肥6.9</w:t>
            </w: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精度0.5g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vMerge w:val="restart"/>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0.25mm试验筛</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粒度</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GB/T 20412—2021 钙镁磷肥6.10</w:t>
            </w: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精度0.5g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vMerge w:val="restart"/>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试验筛</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孔径为2.00mm、4.75mm</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颗粒平均抗压碎力</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GB/T 20412—2021 钙镁磷肥6.11</w:t>
            </w:r>
          </w:p>
        </w:tc>
        <w:tc>
          <w:tcPr>
            <w:tcW w:w="1701"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颗粒强度测定仪</w:t>
            </w:r>
          </w:p>
        </w:tc>
        <w:tc>
          <w:tcPr>
            <w:tcW w:w="1559" w:type="dxa"/>
            <w:tcBorders>
              <w:top w:val="single" w:color="auto" w:sz="4" w:space="0"/>
            </w:tcBorders>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0.0-300.0N</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vMerge w:val="restart"/>
            <w:tcBorders>
              <w:top w:val="single" w:color="auto" w:sz="4" w:space="0"/>
            </w:tcBorders>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试验筛</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孔径为2.80mm、4.00mm</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溶散率</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r>
              <w:rPr>
                <w:rFonts w:ascii="Times New Roman" w:hAnsi="Times New Roman"/>
                <w:color w:val="auto"/>
              </w:rPr>
              <w:t>GB/T 20412—2021 钙镁磷肥6.12</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精度0.01g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试验筛</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孔径为1.00mm</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电热恒温干燥箱</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130±2℃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总镉、总铅、总铬</w:t>
            </w:r>
          </w:p>
        </w:tc>
        <w:tc>
          <w:tcPr>
            <w:tcW w:w="1276"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GB 38400—2019 肥料中有毒有害物质的限量要求5.7</w:t>
            </w: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原子吸收分光光度计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有背景校正装置</w:t>
            </w:r>
          </w:p>
          <w:p>
            <w:pPr>
              <w:adjustRightInd w:val="0"/>
              <w:snapToGrid w:val="0"/>
              <w:jc w:val="center"/>
              <w:rPr>
                <w:rFonts w:ascii="Times New Roman" w:hAnsi="Times New Roman"/>
                <w:color w:val="auto"/>
              </w:rPr>
            </w:pPr>
            <w:r>
              <w:rPr>
                <w:rFonts w:ascii="Times New Roman" w:hAnsi="Times New Roman"/>
                <w:color w:val="auto"/>
              </w:rPr>
              <w:t>配有镉、铅、铬空心阴极灯和空气－乙炔燃烧器或石墨炉</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Cs/>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bCs/>
                <w:color w:val="auto"/>
              </w:rPr>
              <w:t>总汞</w:t>
            </w: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Cs/>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原子吸收分光光度计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配有氢化物发生器、汞空心阴极灯</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bookmarkStart w:id="12" w:name="OLE_LINK1"/>
            <w:r>
              <w:rPr>
                <w:rFonts w:ascii="Times New Roman" w:hAnsi="Times New Roman"/>
                <w:color w:val="auto"/>
              </w:rPr>
              <w:t>——</w:t>
            </w:r>
            <w:bookmarkEnd w:id="12"/>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总砷</w:t>
            </w: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定砷仪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1cm吸收池</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总铊</w:t>
            </w:r>
          </w:p>
        </w:tc>
        <w:tc>
          <w:tcPr>
            <w:tcW w:w="1276"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GB 38400—2019 肥料中有毒有害物质的限量要求5.8</w:t>
            </w: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电感耦合等离子发射光谱仪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3</w:t>
            </w:r>
          </w:p>
        </w:tc>
        <w:tc>
          <w:tcPr>
            <w:tcW w:w="708"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钙镁磷钾肥</w:t>
            </w:r>
          </w:p>
        </w:tc>
        <w:tc>
          <w:tcPr>
            <w:tcW w:w="709" w:type="dxa"/>
            <w:vMerge w:val="restart"/>
            <w:vAlign w:val="center"/>
          </w:tcPr>
          <w:p>
            <w:pPr>
              <w:adjustRightInd w:val="0"/>
              <w:snapToGrid w:val="0"/>
              <w:jc w:val="center"/>
              <w:rPr>
                <w:rFonts w:ascii="Times New Roman" w:hAnsi="Times New Roman"/>
                <w:color w:val="auto"/>
              </w:rPr>
            </w:pPr>
            <w:r>
              <w:rPr>
                <w:rFonts w:ascii="Times New Roman" w:hAnsi="Times New Roman"/>
                <w:color w:val="auto"/>
              </w:rPr>
              <w:t>钙镁磷钾肥</w:t>
            </w:r>
          </w:p>
        </w:tc>
        <w:tc>
          <w:tcPr>
            <w:tcW w:w="1134" w:type="dxa"/>
            <w:vMerge w:val="restart"/>
            <w:tcMar>
              <w:top w:w="0" w:type="dxa"/>
              <w:left w:w="57" w:type="dxa"/>
              <w:bottom w:w="0" w:type="dxa"/>
              <w:right w:w="57" w:type="dxa"/>
            </w:tcMar>
            <w:vAlign w:val="center"/>
          </w:tcPr>
          <w:p>
            <w:pPr>
              <w:adjustRightInd w:val="0"/>
              <w:snapToGrid w:val="0"/>
              <w:jc w:val="left"/>
              <w:rPr>
                <w:rFonts w:ascii="Times New Roman" w:hAnsi="Times New Roman"/>
                <w:b/>
                <w:color w:val="auto"/>
              </w:rPr>
            </w:pPr>
            <w:r>
              <w:rPr>
                <w:rFonts w:ascii="Times New Roman" w:hAnsi="Times New Roman"/>
                <w:color w:val="auto"/>
              </w:rPr>
              <w:t>有效五氧化二磷（P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HG/T 2598—1994 钙镁磷钾肥4.1、4.2</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精度0.001g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恒温水浴振荡器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35-40r/min、28-30℃</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恒温干燥箱</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180±2℃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真空抽滤装置</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玻璃坩埚式滤器</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4号，容积30mL</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color w:val="auto"/>
                <w:sz w:val="21"/>
                <w:szCs w:val="21"/>
              </w:rPr>
              <w:t>有效钾（K</w:t>
            </w:r>
            <w:r>
              <w:rPr>
                <w:rFonts w:ascii="Times New Roman" w:hAnsi="Times New Roman" w:eastAsia="宋体"/>
                <w:color w:val="auto"/>
                <w:sz w:val="21"/>
                <w:szCs w:val="21"/>
                <w:vertAlign w:val="subscript"/>
              </w:rPr>
              <w:t>2</w:t>
            </w:r>
            <w:r>
              <w:rPr>
                <w:rFonts w:ascii="Times New Roman" w:hAnsi="Times New Roman" w:eastAsia="宋体"/>
                <w:color w:val="auto"/>
                <w:sz w:val="21"/>
                <w:szCs w:val="21"/>
              </w:rPr>
              <w:t>O）</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r>
              <w:rPr>
                <w:rFonts w:ascii="Times New Roman" w:hAnsi="Times New Roman"/>
                <w:color w:val="auto"/>
              </w:rPr>
              <w:t>HG/T 2598—1994 钙镁磷钾肥4.3</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精度0.001g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恒温水浴振荡器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35-40r/min、28-30℃</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玻璃坩埚式滤器</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4号，容积30mL</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真空抽滤装置</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恒温干燥箱</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120±2℃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color w:val="auto"/>
                <w:sz w:val="21"/>
                <w:szCs w:val="21"/>
              </w:rPr>
              <w:t>水分</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r>
              <w:rPr>
                <w:rFonts w:ascii="Times New Roman" w:hAnsi="Times New Roman"/>
                <w:color w:val="auto"/>
              </w:rPr>
              <w:t>HG/T 2598—1994 钙镁磷钾肥4.4</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精度0.001g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电热恒温干燥箱</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130±2℃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color w:val="auto"/>
                <w:sz w:val="21"/>
                <w:szCs w:val="21"/>
              </w:rPr>
              <w:t>细度</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r>
              <w:rPr>
                <w:rFonts w:ascii="Times New Roman" w:hAnsi="Times New Roman"/>
                <w:color w:val="auto"/>
              </w:rPr>
              <w:t>HG/T 2598—1994 钙镁磷钾肥4.5</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精度0.5g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标准筛网</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孔径为250</w:t>
            </w:r>
            <w:r>
              <w:rPr>
                <w:rFonts w:ascii="Times New Roman" w:hAnsi="Times New Roman"/>
                <w:color w:val="auto"/>
                <w:shd w:val="clear" w:color="auto" w:fill="FFFFFF"/>
              </w:rPr>
              <w:t>μm</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总镉、总铅、总铬</w:t>
            </w:r>
          </w:p>
        </w:tc>
        <w:tc>
          <w:tcPr>
            <w:tcW w:w="1276"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GB 38400—2019 肥料中有毒有害物质的限量要求5.7</w:t>
            </w: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原子吸收分光光度计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有背景校正装置</w:t>
            </w:r>
          </w:p>
          <w:p>
            <w:pPr>
              <w:adjustRightInd w:val="0"/>
              <w:snapToGrid w:val="0"/>
              <w:jc w:val="center"/>
              <w:rPr>
                <w:rFonts w:ascii="Times New Roman" w:hAnsi="Times New Roman"/>
                <w:color w:val="auto"/>
              </w:rPr>
            </w:pPr>
            <w:r>
              <w:rPr>
                <w:rFonts w:ascii="Times New Roman" w:hAnsi="Times New Roman"/>
                <w:color w:val="auto"/>
              </w:rPr>
              <w:t>配有镉、铅、铬空心阴极灯和空气－乙炔燃烧器或石墨炉</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Cs/>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bCs/>
                <w:color w:val="auto"/>
              </w:rPr>
              <w:t>总汞</w:t>
            </w: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Cs/>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原子吸收分光光度计</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配有氢化物发生器、汞空心阴极灯</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总砷</w:t>
            </w: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定砷仪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1cm吸收池</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总铊</w:t>
            </w:r>
          </w:p>
        </w:tc>
        <w:tc>
          <w:tcPr>
            <w:tcW w:w="1276"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GB 38400—2019 肥料中有毒有害物质的限量要求5.8</w:t>
            </w: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电感耦合等离子发射光谱仪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4</w:t>
            </w:r>
          </w:p>
        </w:tc>
        <w:tc>
          <w:tcPr>
            <w:tcW w:w="708"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c>
          <w:tcPr>
            <w:tcW w:w="709" w:type="dxa"/>
            <w:vMerge w:val="restart"/>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c>
          <w:tcPr>
            <w:tcW w:w="1134" w:type="dxa"/>
            <w:vMerge w:val="restart"/>
            <w:tcMar>
              <w:top w:w="0" w:type="dxa"/>
              <w:left w:w="57" w:type="dxa"/>
              <w:bottom w:w="0" w:type="dxa"/>
              <w:right w:w="57" w:type="dxa"/>
            </w:tcMar>
            <w:vAlign w:val="center"/>
          </w:tcPr>
          <w:p>
            <w:pPr>
              <w:adjustRightInd w:val="0"/>
              <w:snapToGrid w:val="0"/>
              <w:jc w:val="left"/>
              <w:rPr>
                <w:rFonts w:ascii="Times New Roman" w:hAnsi="Times New Roman"/>
                <w:color w:val="auto"/>
              </w:rPr>
            </w:pPr>
            <w:r>
              <w:rPr>
                <w:rFonts w:ascii="Times New Roman" w:hAnsi="Times New Roman"/>
                <w:color w:val="auto"/>
              </w:rPr>
              <w:t>有效五氧化二磷（P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color w:val="auto"/>
              </w:rPr>
              <w:t>HG/T 3275—1999 肥料级磷酸氢钙4.1、4.2</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恒温水浴振荡器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65±1℃</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恒温干燥箱</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180±2℃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真空抽滤装置</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玻璃坩埚式滤器</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4号，容积30mL</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color w:val="auto"/>
                <w:sz w:val="21"/>
                <w:szCs w:val="21"/>
              </w:rPr>
              <w:t>游离水分</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r>
              <w:rPr>
                <w:rFonts w:ascii="Times New Roman" w:hAnsi="Times New Roman"/>
                <w:color w:val="auto"/>
              </w:rPr>
              <w:t>HG/T 3275—1999 肥料级磷酸氢钙4.3、4.4</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电热恒温真空干燥箱</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50±2℃</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卡尔费休水分仪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仅采用卡尔费休法时适用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color w:val="auto"/>
                <w:sz w:val="21"/>
                <w:szCs w:val="21"/>
              </w:rPr>
              <w:t>pH值</w:t>
            </w:r>
          </w:p>
        </w:tc>
        <w:tc>
          <w:tcPr>
            <w:tcW w:w="1276"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r>
              <w:rPr>
                <w:rFonts w:ascii="Times New Roman" w:hAnsi="Times New Roman"/>
                <w:color w:val="auto"/>
              </w:rPr>
              <w:t>HG/T 3275—1999 肥料级磷酸氢钙4.5</w:t>
            </w: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酸度计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灵敏度：0.01pH单位</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总镉、总铅、总铬</w:t>
            </w:r>
          </w:p>
        </w:tc>
        <w:tc>
          <w:tcPr>
            <w:tcW w:w="1276"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GB 38400—2019 肥料中有毒有害物质的限量要求5.7</w:t>
            </w: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原子吸收分光光度计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有背景校正装置</w:t>
            </w:r>
          </w:p>
          <w:p>
            <w:pPr>
              <w:adjustRightInd w:val="0"/>
              <w:snapToGrid w:val="0"/>
              <w:jc w:val="center"/>
              <w:rPr>
                <w:rFonts w:ascii="Times New Roman" w:hAnsi="Times New Roman"/>
                <w:color w:val="auto"/>
              </w:rPr>
            </w:pPr>
            <w:r>
              <w:rPr>
                <w:rFonts w:ascii="Times New Roman" w:hAnsi="Times New Roman"/>
                <w:color w:val="auto"/>
              </w:rPr>
              <w:t>配有镉空心阴极灯和空气－乙炔燃烧器或石墨炉</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Cs/>
                <w:color w:val="auto"/>
              </w:rPr>
            </w:pPr>
          </w:p>
        </w:tc>
        <w:tc>
          <w:tcPr>
            <w:tcW w:w="1134" w:type="dxa"/>
            <w:vMerge w:val="restart"/>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r>
              <w:rPr>
                <w:rFonts w:ascii="Times New Roman" w:hAnsi="Times New Roman"/>
                <w:bCs/>
                <w:color w:val="auto"/>
              </w:rPr>
              <w:t>总汞</w:t>
            </w: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Cs/>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Cs/>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原子吸收分光光度计</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配有氢化物发生器、汞空心阴极灯</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adjustRightInd w:val="0"/>
              <w:snapToGrid w:val="0"/>
              <w:jc w:val="center"/>
              <w:textAlignment w:val="baseline"/>
              <w:rPr>
                <w:rFonts w:ascii="Times New Roman" w:hAnsi="Times New Roman"/>
                <w:b/>
                <w:color w:val="auto"/>
              </w:rPr>
            </w:pPr>
          </w:p>
        </w:tc>
        <w:tc>
          <w:tcPr>
            <w:tcW w:w="1134"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276"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701"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559" w:type="dxa"/>
            <w:tcMar>
              <w:top w:w="0" w:type="dxa"/>
              <w:left w:w="57" w:type="dxa"/>
              <w:bottom w:w="0" w:type="dxa"/>
              <w:right w:w="57" w:type="dxa"/>
            </w:tcMar>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总砷</w:t>
            </w: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定砷仪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分光光度计</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1cm吸收池</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sz w:val="18"/>
                <w:szCs w:val="18"/>
              </w:rPr>
            </w:pPr>
            <w:r>
              <w:rPr>
                <w:rFonts w:ascii="Times New Roman" w:hAnsi="Times New Roman"/>
                <w:color w:val="auto"/>
                <w:sz w:val="18"/>
                <w:szCs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vAlign w:val="center"/>
          </w:tcPr>
          <w:p>
            <w:pPr>
              <w:pStyle w:val="63"/>
              <w:snapToGrid w:val="0"/>
              <w:jc w:val="center"/>
              <w:rPr>
                <w:rFonts w:ascii="Times New Roman" w:hAnsi="Times New Roman" w:eastAsia="宋体"/>
                <w:bCs/>
                <w:color w:val="auto"/>
                <w:sz w:val="21"/>
                <w:szCs w:val="21"/>
              </w:rPr>
            </w:pPr>
          </w:p>
        </w:tc>
        <w:tc>
          <w:tcPr>
            <w:tcW w:w="1134"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总铊</w:t>
            </w:r>
          </w:p>
        </w:tc>
        <w:tc>
          <w:tcPr>
            <w:tcW w:w="1276"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GB 38400—2019 肥料中有毒有害物质的限量要求5.8</w:t>
            </w: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1134"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rPr>
        <w:tc>
          <w:tcPr>
            <w:tcW w:w="426"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9" w:type="dxa"/>
            <w:vMerge w:val="continue"/>
          </w:tcPr>
          <w:p>
            <w:pPr>
              <w:pStyle w:val="63"/>
              <w:snapToGrid w:val="0"/>
              <w:jc w:val="center"/>
              <w:textAlignment w:val="auto"/>
              <w:rPr>
                <w:rFonts w:ascii="Times New Roman" w:hAnsi="Times New Roman" w:eastAsia="宋体"/>
                <w:bCs/>
                <w:color w:val="auto"/>
                <w:sz w:val="21"/>
                <w:szCs w:val="21"/>
              </w:rPr>
            </w:pPr>
          </w:p>
        </w:tc>
        <w:tc>
          <w:tcPr>
            <w:tcW w:w="1134"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 w:val="21"/>
                <w:szCs w:val="21"/>
              </w:rPr>
            </w:pPr>
          </w:p>
        </w:tc>
        <w:tc>
          <w:tcPr>
            <w:tcW w:w="1276"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 w:val="21"/>
                <w:szCs w:val="21"/>
              </w:rPr>
            </w:pPr>
          </w:p>
        </w:tc>
        <w:tc>
          <w:tcPr>
            <w:tcW w:w="170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电感耦合等离子发射光谱仪</w:t>
            </w:r>
          </w:p>
        </w:tc>
        <w:tc>
          <w:tcPr>
            <w:tcW w:w="155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1134"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bl>
    <w:p>
      <w:pPr>
        <w:pStyle w:val="54"/>
        <w:spacing w:before="120" w:beforeLines="50"/>
        <w:rPr>
          <w:rFonts w:ascii="Times New Roman" w:hAnsi="Times New Roman"/>
          <w:color w:val="auto"/>
          <w:sz w:val="18"/>
          <w:szCs w:val="18"/>
        </w:rPr>
      </w:pPr>
      <w:r>
        <w:rPr>
          <w:rFonts w:ascii="Times New Roman" w:hAnsi="Times New Roman" w:eastAsia="黑体"/>
          <w:color w:val="auto"/>
          <w:sz w:val="18"/>
          <w:szCs w:val="18"/>
        </w:rPr>
        <w:t>注：</w:t>
      </w:r>
      <w:r>
        <w:rPr>
          <w:rFonts w:ascii="Times New Roman" w:hAnsi="Times New Roman"/>
          <w:color w:val="auto"/>
          <w:sz w:val="18"/>
          <w:szCs w:val="18"/>
        </w:rPr>
        <w:t>1. 本表为企业应具备的检验检测设备，可与上述设备名称不同，但应满足上述设备的功能、量程、精度要求</w:t>
      </w:r>
      <w:r>
        <w:rPr>
          <w:rFonts w:hint="eastAsia" w:ascii="Times New Roman" w:hAnsi="Times New Roman"/>
          <w:color w:val="auto"/>
          <w:sz w:val="18"/>
          <w:szCs w:val="18"/>
        </w:rPr>
        <w:t>，检验检测设备不得租赁</w:t>
      </w:r>
      <w:r>
        <w:rPr>
          <w:rFonts w:ascii="Times New Roman" w:hAnsi="Times New Roman"/>
          <w:color w:val="auto"/>
          <w:sz w:val="18"/>
          <w:szCs w:val="18"/>
        </w:rPr>
        <w:t>。</w:t>
      </w:r>
    </w:p>
    <w:p>
      <w:pPr>
        <w:pStyle w:val="66"/>
        <w:numPr>
          <w:ilvl w:val="0"/>
          <w:numId w:val="2"/>
        </w:numPr>
        <w:adjustRightInd w:val="0"/>
        <w:snapToGrid w:val="0"/>
        <w:spacing w:before="120" w:beforeLines="50"/>
        <w:ind w:firstLine="360"/>
        <w:rPr>
          <w:rFonts w:ascii="Times New Roman" w:hAnsi="Times New Roman"/>
          <w:color w:val="auto"/>
          <w:sz w:val="18"/>
          <w:szCs w:val="18"/>
        </w:rPr>
      </w:pPr>
      <w:r>
        <w:rPr>
          <w:rFonts w:hint="eastAsia" w:ascii="Times New Roman" w:hAnsi="Times New Roman" w:eastAsia="宋体"/>
          <w:color w:val="auto"/>
          <w:sz w:val="18"/>
          <w:szCs w:val="18"/>
        </w:rPr>
        <w:t>出厂检验项目若有多种检验方法，企业应至少满足其中一种检验方法所规定的检验检测设备。</w:t>
      </w:r>
    </w:p>
    <w:p>
      <w:pPr>
        <w:pStyle w:val="66"/>
        <w:adjustRightInd w:val="0"/>
        <w:snapToGrid w:val="0"/>
        <w:ind w:firstLine="360"/>
        <w:rPr>
          <w:rFonts w:ascii="Times New Roman" w:hAnsi="Times New Roman" w:eastAsia="宋体"/>
          <w:color w:val="auto"/>
          <w:sz w:val="18"/>
          <w:szCs w:val="18"/>
        </w:rPr>
      </w:pPr>
      <w:r>
        <w:rPr>
          <w:rFonts w:ascii="Times New Roman" w:hAnsi="Times New Roman" w:eastAsia="宋体"/>
          <w:color w:val="auto"/>
          <w:sz w:val="18"/>
          <w:szCs w:val="18"/>
        </w:rPr>
        <w:t>3. 企业可不具备型式检验检测设备，</w:t>
      </w:r>
      <w:bookmarkStart w:id="13" w:name="_Hlk167801498"/>
      <w:r>
        <w:rPr>
          <w:rFonts w:ascii="Times New Roman" w:hAnsi="Times New Roman" w:eastAsia="宋体"/>
          <w:color w:val="auto"/>
          <w:sz w:val="18"/>
          <w:szCs w:val="18"/>
        </w:rPr>
        <w:t>其相应的检验检测项目</w:t>
      </w:r>
      <w:bookmarkEnd w:id="13"/>
      <w:r>
        <w:rPr>
          <w:rFonts w:ascii="Times New Roman" w:hAnsi="Times New Roman" w:eastAsia="宋体"/>
          <w:color w:val="auto"/>
          <w:sz w:val="18"/>
          <w:szCs w:val="18"/>
        </w:rPr>
        <w:t>可委托具有CMA资质的第三方检验检测机构进行检验检测。</w:t>
      </w:r>
    </w:p>
    <w:p>
      <w:pPr>
        <w:pStyle w:val="66"/>
        <w:adjustRightInd w:val="0"/>
        <w:snapToGrid w:val="0"/>
        <w:ind w:firstLine="360"/>
        <w:rPr>
          <w:rFonts w:ascii="Times New Roman" w:hAnsi="Times New Roman" w:eastAsia="宋体"/>
          <w:color w:val="auto"/>
          <w:sz w:val="18"/>
          <w:szCs w:val="18"/>
        </w:rPr>
      </w:pPr>
      <w:r>
        <w:rPr>
          <w:rFonts w:ascii="Times New Roman" w:hAnsi="Times New Roman" w:eastAsia="宋体"/>
          <w:color w:val="auto"/>
          <w:sz w:val="18"/>
          <w:szCs w:val="18"/>
        </w:rPr>
        <w:t>4. 过磷酸钙产品的三氯乙醛、挥发性有机化合物、总镉、总汞、总砷、总铅、总铬、总铊含量每两年至少进行一次型式检验，钙镁磷肥、钙镁磷钾肥、肥料级磷酸氢钙产品的总镉、总汞、总砷、总铅、总铬、总铊含量每两年至少进行一次型式检验。</w:t>
      </w:r>
    </w:p>
    <w:p>
      <w:pPr>
        <w:pStyle w:val="66"/>
        <w:adjustRightInd w:val="0"/>
        <w:snapToGrid w:val="0"/>
        <w:ind w:firstLine="357"/>
        <w:rPr>
          <w:rFonts w:ascii="Times New Roman" w:hAnsi="Times New Roman" w:eastAsia="宋体"/>
          <w:color w:val="auto"/>
          <w:sz w:val="18"/>
          <w:szCs w:val="18"/>
        </w:rPr>
      </w:pPr>
      <w:r>
        <w:rPr>
          <w:rFonts w:ascii="Times New Roman" w:hAnsi="Times New Roman" w:eastAsia="宋体"/>
          <w:color w:val="auto"/>
          <w:sz w:val="18"/>
          <w:szCs w:val="18"/>
        </w:rPr>
        <w:t>5. 同一检验室和相关检测仪器仅限于一家企业的生产许可证申请，每个取证的分公司或生产厂点应具有独立的检验室和检测仪器。</w:t>
      </w:r>
    </w:p>
    <w:p>
      <w:pPr>
        <w:adjustRightInd w:val="0"/>
        <w:snapToGrid w:val="0"/>
        <w:spacing w:before="240" w:beforeLines="100" w:line="360" w:lineRule="auto"/>
        <w:ind w:firstLine="420" w:firstLineChars="200"/>
        <w:rPr>
          <w:rFonts w:ascii="Times New Roman" w:hAnsi="Times New Roman"/>
          <w:color w:val="auto"/>
        </w:rPr>
      </w:pPr>
      <w:r>
        <w:rPr>
          <w:rFonts w:ascii="Times New Roman" w:hAnsi="Times New Roman"/>
          <w:color w:val="auto"/>
        </w:rPr>
        <w:t>第七条 出厂检验要求</w:t>
      </w:r>
    </w:p>
    <w:p>
      <w:pPr>
        <w:spacing w:line="360" w:lineRule="auto"/>
        <w:ind w:firstLine="420"/>
        <w:rPr>
          <w:rFonts w:ascii="Times New Roman" w:hAnsi="Times New Roman"/>
          <w:color w:val="auto"/>
        </w:rPr>
      </w:pPr>
      <w:r>
        <w:rPr>
          <w:rFonts w:ascii="Times New Roman" w:hAnsi="Times New Roman"/>
          <w:color w:val="auto"/>
        </w:rPr>
        <w:t>企业应制定产品出厂检验相关制度，出厂检验项目应覆盖产品标准中规定的出厂检验项目。</w:t>
      </w:r>
    </w:p>
    <w:p>
      <w:pPr>
        <w:snapToGrid w:val="0"/>
        <w:spacing w:line="360" w:lineRule="auto"/>
        <w:ind w:firstLine="420"/>
        <w:rPr>
          <w:rFonts w:ascii="Times New Roman" w:hAnsi="Times New Roman"/>
          <w:color w:val="auto"/>
        </w:rPr>
      </w:pPr>
      <w:r>
        <w:rPr>
          <w:rFonts w:ascii="Times New Roman" w:hAnsi="Times New Roman"/>
          <w:color w:val="auto"/>
        </w:rPr>
        <w:t>第八条 企业申请发证、证书延续、许可范围变更（生产地址迁移，新建生产线、增加生产场点、增加产品单元、增加磷肥种类、应具备的生产设备发生变化、工艺变更）等事项，应进行实地核查，符合通则和本细则条件的，颁（换）发生产许可证证书。企业申请名称变更、补领、许可范围变更（减少生产场点、减少生产线、减少产品单元、减少磷肥种类）等事项，无需进行实地核查，符合通则及本细则条件的，颁（换）发生产许可证书。</w:t>
      </w:r>
    </w:p>
    <w:p>
      <w:pPr>
        <w:snapToGrid w:val="0"/>
        <w:spacing w:line="360" w:lineRule="auto"/>
        <w:ind w:firstLine="420"/>
        <w:rPr>
          <w:rFonts w:ascii="Times New Roman" w:hAnsi="Times New Roman"/>
          <w:color w:val="auto"/>
        </w:rPr>
      </w:pPr>
    </w:p>
    <w:p>
      <w:pPr>
        <w:spacing w:line="360" w:lineRule="auto"/>
        <w:jc w:val="center"/>
        <w:outlineLvl w:val="0"/>
        <w:rPr>
          <w:rFonts w:ascii="Times New Roman" w:hAnsi="Times New Roman"/>
          <w:b/>
          <w:color w:val="auto"/>
          <w:sz w:val="28"/>
          <w:szCs w:val="28"/>
        </w:rPr>
      </w:pPr>
      <w:bookmarkStart w:id="14" w:name="_Toc178002555"/>
      <w:bookmarkStart w:id="15" w:name="_Toc178002836"/>
      <w:bookmarkStart w:id="16" w:name="_Toc507721778"/>
      <w:r>
        <w:rPr>
          <w:rFonts w:ascii="Times New Roman" w:hAnsi="Times New Roman"/>
          <w:b/>
          <w:color w:val="auto"/>
          <w:sz w:val="28"/>
          <w:szCs w:val="28"/>
        </w:rPr>
        <w:t>第四章 产品检验检测报告</w:t>
      </w:r>
      <w:bookmarkEnd w:id="14"/>
      <w:bookmarkEnd w:id="15"/>
    </w:p>
    <w:p>
      <w:pPr>
        <w:adjustRightInd w:val="0"/>
        <w:snapToGrid w:val="0"/>
        <w:spacing w:line="360" w:lineRule="auto"/>
        <w:ind w:firstLine="420" w:firstLineChars="200"/>
        <w:rPr>
          <w:rFonts w:ascii="Times New Roman" w:hAnsi="Times New Roman"/>
          <w:color w:val="auto"/>
        </w:rPr>
      </w:pPr>
      <w:bookmarkStart w:id="17" w:name="_Hlk175121102"/>
      <w:r>
        <w:rPr>
          <w:rFonts w:ascii="Times New Roman" w:hAnsi="Times New Roman"/>
          <w:color w:val="auto"/>
        </w:rPr>
        <w:t>第九条</w:t>
      </w:r>
      <w:r>
        <w:rPr>
          <w:rFonts w:ascii="Times New Roman" w:hAnsi="Times New Roman"/>
          <w:color w:val="auto"/>
        </w:rPr>
        <w:tab/>
      </w:r>
      <w:r>
        <w:rPr>
          <w:rFonts w:ascii="Times New Roman" w:hAnsi="Times New Roman"/>
          <w:color w:val="auto"/>
        </w:rPr>
        <w:t xml:space="preserve"> 企业提交的产品检验检测报告包括型式检验报告、委托产品检验检测报告或省级以上政府监督检验报告中的任意一类报告。</w:t>
      </w:r>
    </w:p>
    <w:p>
      <w:pPr>
        <w:adjustRightInd w:val="0"/>
        <w:snapToGrid w:val="0"/>
        <w:spacing w:line="360" w:lineRule="auto"/>
        <w:ind w:firstLine="420" w:firstLineChars="200"/>
        <w:rPr>
          <w:rFonts w:ascii="Times New Roman" w:hAnsi="Times New Roman"/>
          <w:color w:val="auto"/>
        </w:rPr>
      </w:pPr>
      <w:bookmarkStart w:id="18" w:name="_Hlk167793021"/>
      <w:r>
        <w:rPr>
          <w:rFonts w:ascii="Times New Roman" w:hAnsi="Times New Roman"/>
          <w:color w:val="auto"/>
        </w:rPr>
        <w:t>（一）企业应按照申请取证的</w:t>
      </w:r>
      <w:bookmarkStart w:id="19" w:name="_Hlk174363223"/>
      <w:r>
        <w:rPr>
          <w:rFonts w:ascii="Times New Roman" w:hAnsi="Times New Roman"/>
          <w:color w:val="auto"/>
        </w:rPr>
        <w:t>产品单元</w:t>
      </w:r>
      <w:bookmarkEnd w:id="19"/>
      <w:r>
        <w:rPr>
          <w:rFonts w:ascii="Times New Roman" w:hAnsi="Times New Roman"/>
          <w:color w:val="auto"/>
        </w:rPr>
        <w:t>及磷肥种类提供相应的产品检验检测合格报告；</w:t>
      </w:r>
    </w:p>
    <w:bookmarkEnd w:id="17"/>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（二）1个磷肥种类应提交1份覆盖本细则附件1规定的产品检验检测项目的报告，不得为多份检验检测报告组合；</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（四）企业有多个生产场点时，按每个生产场点所申请的相应产品单元中的磷肥种类分别提交相应的产品检验检测合格报告。</w:t>
      </w:r>
    </w:p>
    <w:bookmarkEnd w:id="18"/>
    <w:p>
      <w:pPr>
        <w:pStyle w:val="56"/>
        <w:spacing w:line="360" w:lineRule="auto"/>
        <w:ind w:firstLine="0"/>
        <w:jc w:val="center"/>
        <w:outlineLvl w:val="0"/>
        <w:rPr>
          <w:rFonts w:ascii="Times New Roman" w:hAnsi="Times New Roman" w:eastAsia="宋体"/>
          <w:b/>
          <w:color w:val="auto"/>
          <w:sz w:val="28"/>
          <w:szCs w:val="28"/>
        </w:rPr>
      </w:pPr>
    </w:p>
    <w:p>
      <w:pPr>
        <w:pStyle w:val="56"/>
        <w:spacing w:line="360" w:lineRule="auto"/>
        <w:ind w:firstLine="0"/>
        <w:jc w:val="center"/>
        <w:outlineLvl w:val="0"/>
        <w:rPr>
          <w:rFonts w:ascii="Times New Roman" w:hAnsi="Times New Roman" w:eastAsia="宋体"/>
          <w:b/>
          <w:color w:val="auto"/>
          <w:sz w:val="28"/>
          <w:szCs w:val="28"/>
        </w:rPr>
      </w:pPr>
      <w:bookmarkStart w:id="20" w:name="_Toc178002837"/>
      <w:bookmarkStart w:id="21" w:name="_Toc178002556"/>
      <w:r>
        <w:rPr>
          <w:rFonts w:ascii="Times New Roman" w:hAnsi="Times New Roman" w:eastAsia="宋体"/>
          <w:b/>
          <w:color w:val="auto"/>
          <w:sz w:val="28"/>
          <w:szCs w:val="28"/>
        </w:rPr>
        <w:t>第五章 企业实地核查</w:t>
      </w:r>
      <w:bookmarkEnd w:id="16"/>
      <w:bookmarkEnd w:id="20"/>
      <w:bookmarkEnd w:id="21"/>
    </w:p>
    <w:p>
      <w:pPr>
        <w:adjustRightInd w:val="0"/>
        <w:snapToGrid w:val="0"/>
        <w:spacing w:line="360" w:lineRule="auto"/>
        <w:ind w:firstLine="420"/>
        <w:rPr>
          <w:rFonts w:ascii="Times New Roman" w:hAnsi="Times New Roman"/>
          <w:color w:val="auto"/>
        </w:rPr>
      </w:pPr>
      <w:bookmarkStart w:id="22" w:name="_Hlk142917776"/>
      <w:r>
        <w:rPr>
          <w:rFonts w:ascii="Times New Roman" w:hAnsi="Times New Roman"/>
          <w:color w:val="auto"/>
        </w:rPr>
        <w:t>第十条</w:t>
      </w:r>
      <w:bookmarkEnd w:id="22"/>
      <w:bookmarkStart w:id="23" w:name="_Hlk175121152"/>
      <w:r>
        <w:rPr>
          <w:rFonts w:ascii="Times New Roman" w:hAnsi="Times New Roman"/>
          <w:color w:val="auto"/>
        </w:rPr>
        <w:t xml:space="preserve"> 省级工业产品生产许可证主管部门受理企业申请后，应组织对企业的实地核查。</w:t>
      </w:r>
      <w:bookmarkEnd w:id="23"/>
    </w:p>
    <w:p>
      <w:pPr>
        <w:adjustRightInd w:val="0"/>
        <w:snapToGrid w:val="0"/>
        <w:spacing w:line="360" w:lineRule="auto"/>
        <w:ind w:firstLine="420"/>
        <w:rPr>
          <w:rFonts w:ascii="Times New Roman" w:hAnsi="Times New Roman"/>
          <w:color w:val="auto"/>
        </w:rPr>
      </w:pPr>
      <w:r>
        <w:rPr>
          <w:rFonts w:ascii="Times New Roman" w:hAnsi="Times New Roman"/>
          <w:color w:val="auto"/>
        </w:rPr>
        <w:t>企业应根据本细则要求和实际情况，准备好《企业核查时需准备的书面材料清单》（附件2）中要求的材料：</w:t>
      </w:r>
    </w:p>
    <w:p>
      <w:pPr>
        <w:adjustRightInd w:val="0"/>
        <w:snapToGrid w:val="0"/>
        <w:spacing w:line="360" w:lineRule="auto"/>
        <w:ind w:firstLine="420"/>
        <w:rPr>
          <w:rFonts w:ascii="Times New Roman" w:hAnsi="Times New Roman"/>
          <w:color w:val="auto"/>
        </w:rPr>
      </w:pPr>
      <w:r>
        <w:rPr>
          <w:rFonts w:ascii="Times New Roman" w:hAnsi="Times New Roman"/>
          <w:color w:val="auto"/>
        </w:rPr>
        <w:t>（一）</w:t>
      </w:r>
      <w:r>
        <w:rPr>
          <w:rFonts w:ascii="Times New Roman" w:hAnsi="Times New Roman"/>
          <w:color w:val="auto"/>
        </w:rPr>
        <w:tab/>
      </w:r>
      <w:r>
        <w:rPr>
          <w:rFonts w:ascii="Times New Roman" w:hAnsi="Times New Roman"/>
          <w:color w:val="auto"/>
        </w:rPr>
        <w:t>生产场所示意图（附件2-1）；</w:t>
      </w:r>
    </w:p>
    <w:p>
      <w:pPr>
        <w:adjustRightInd w:val="0"/>
        <w:snapToGrid w:val="0"/>
        <w:spacing w:line="360" w:lineRule="auto"/>
        <w:ind w:firstLine="420"/>
        <w:rPr>
          <w:rFonts w:ascii="Times New Roman" w:hAnsi="Times New Roman"/>
          <w:color w:val="auto"/>
        </w:rPr>
      </w:pPr>
      <w:r>
        <w:rPr>
          <w:rFonts w:ascii="Times New Roman" w:hAnsi="Times New Roman"/>
          <w:color w:val="auto"/>
        </w:rPr>
        <w:t>（二）</w:t>
      </w:r>
      <w:r>
        <w:rPr>
          <w:rFonts w:ascii="Times New Roman" w:hAnsi="Times New Roman"/>
          <w:color w:val="auto"/>
        </w:rPr>
        <w:tab/>
      </w:r>
      <w:r>
        <w:rPr>
          <w:rFonts w:ascii="Times New Roman" w:hAnsi="Times New Roman"/>
          <w:color w:val="auto"/>
        </w:rPr>
        <w:t>主要工艺流程图（附件2-2）；</w:t>
      </w:r>
    </w:p>
    <w:p>
      <w:pPr>
        <w:adjustRightInd w:val="0"/>
        <w:snapToGrid w:val="0"/>
        <w:spacing w:line="360" w:lineRule="auto"/>
        <w:ind w:firstLine="420"/>
        <w:rPr>
          <w:rFonts w:ascii="Times New Roman" w:hAnsi="Times New Roman"/>
          <w:color w:val="auto"/>
        </w:rPr>
      </w:pPr>
      <w:r>
        <w:rPr>
          <w:rFonts w:ascii="Times New Roman" w:hAnsi="Times New Roman"/>
          <w:color w:val="auto"/>
        </w:rPr>
        <w:t>（三）</w:t>
      </w:r>
      <w:r>
        <w:rPr>
          <w:rFonts w:ascii="Times New Roman" w:hAnsi="Times New Roman"/>
          <w:color w:val="auto"/>
        </w:rPr>
        <w:tab/>
      </w:r>
      <w:r>
        <w:rPr>
          <w:rFonts w:ascii="Times New Roman" w:hAnsi="Times New Roman"/>
          <w:color w:val="auto"/>
        </w:rPr>
        <w:t>主要生产设施和检验检测设施表（附件2-3）；</w:t>
      </w:r>
    </w:p>
    <w:p>
      <w:pPr>
        <w:adjustRightInd w:val="0"/>
        <w:snapToGrid w:val="0"/>
        <w:spacing w:line="360" w:lineRule="auto"/>
        <w:ind w:firstLine="420"/>
        <w:rPr>
          <w:rFonts w:ascii="Times New Roman" w:hAnsi="Times New Roman"/>
          <w:color w:val="auto"/>
        </w:rPr>
      </w:pPr>
      <w:r>
        <w:rPr>
          <w:rFonts w:ascii="Times New Roman" w:hAnsi="Times New Roman"/>
          <w:color w:val="auto"/>
        </w:rPr>
        <w:t>（四）</w:t>
      </w:r>
      <w:r>
        <w:rPr>
          <w:rFonts w:ascii="Times New Roman" w:hAnsi="Times New Roman"/>
          <w:color w:val="auto"/>
        </w:rPr>
        <w:tab/>
      </w:r>
      <w:r>
        <w:rPr>
          <w:rFonts w:ascii="Times New Roman" w:hAnsi="Times New Roman"/>
          <w:color w:val="auto"/>
        </w:rPr>
        <w:t>主要生产设备表（附件2-4）；</w:t>
      </w:r>
    </w:p>
    <w:p>
      <w:pPr>
        <w:adjustRightInd w:val="0"/>
        <w:snapToGrid w:val="0"/>
        <w:spacing w:line="360" w:lineRule="auto"/>
        <w:ind w:firstLine="420"/>
        <w:rPr>
          <w:rFonts w:ascii="Times New Roman" w:hAnsi="Times New Roman"/>
          <w:color w:val="auto"/>
        </w:rPr>
      </w:pPr>
      <w:r>
        <w:rPr>
          <w:rFonts w:ascii="Times New Roman" w:hAnsi="Times New Roman"/>
          <w:color w:val="auto"/>
        </w:rPr>
        <w:t>（五）</w:t>
      </w:r>
      <w:r>
        <w:rPr>
          <w:rFonts w:ascii="Times New Roman" w:hAnsi="Times New Roman"/>
          <w:color w:val="auto"/>
        </w:rPr>
        <w:tab/>
      </w:r>
      <w:r>
        <w:rPr>
          <w:rFonts w:ascii="Times New Roman" w:hAnsi="Times New Roman"/>
          <w:color w:val="auto"/>
        </w:rPr>
        <w:t>主要检验检测设备表（附件2-5）；</w:t>
      </w:r>
    </w:p>
    <w:p>
      <w:pPr>
        <w:adjustRightInd w:val="0"/>
        <w:snapToGrid w:val="0"/>
        <w:spacing w:line="360" w:lineRule="auto"/>
        <w:ind w:firstLine="420"/>
        <w:rPr>
          <w:rFonts w:ascii="Times New Roman" w:hAnsi="Times New Roman"/>
          <w:color w:val="auto"/>
        </w:rPr>
      </w:pPr>
      <w:r>
        <w:rPr>
          <w:rFonts w:ascii="Times New Roman" w:hAnsi="Times New Roman"/>
          <w:color w:val="auto"/>
        </w:rPr>
        <w:t>（六）</w:t>
      </w:r>
      <w:r>
        <w:rPr>
          <w:rFonts w:ascii="Times New Roman" w:hAnsi="Times New Roman"/>
          <w:color w:val="auto"/>
        </w:rPr>
        <w:tab/>
      </w:r>
      <w:r>
        <w:rPr>
          <w:rFonts w:ascii="Times New Roman" w:hAnsi="Times New Roman"/>
          <w:color w:val="auto"/>
        </w:rPr>
        <w:t>主要原材料明细表（附件2-6）；</w:t>
      </w:r>
    </w:p>
    <w:p>
      <w:pPr>
        <w:adjustRightInd w:val="0"/>
        <w:snapToGrid w:val="0"/>
        <w:spacing w:line="360" w:lineRule="auto"/>
        <w:ind w:firstLine="420"/>
        <w:rPr>
          <w:rFonts w:ascii="Times New Roman" w:hAnsi="Times New Roman"/>
          <w:color w:val="auto"/>
        </w:rPr>
      </w:pPr>
      <w:r>
        <w:rPr>
          <w:rFonts w:ascii="Times New Roman" w:hAnsi="Times New Roman"/>
          <w:color w:val="auto"/>
        </w:rPr>
        <w:t>（七）</w:t>
      </w:r>
      <w:r>
        <w:rPr>
          <w:rFonts w:ascii="Times New Roman" w:hAnsi="Times New Roman"/>
          <w:color w:val="auto"/>
        </w:rPr>
        <w:tab/>
      </w:r>
      <w:r>
        <w:rPr>
          <w:rFonts w:ascii="Times New Roman" w:hAnsi="Times New Roman"/>
          <w:color w:val="auto"/>
        </w:rPr>
        <w:t>关键岗位管理和专业技术人员表（附件2-7）；</w:t>
      </w:r>
    </w:p>
    <w:p>
      <w:pPr>
        <w:adjustRightInd w:val="0"/>
        <w:snapToGrid w:val="0"/>
        <w:spacing w:line="360" w:lineRule="auto"/>
        <w:ind w:firstLine="420"/>
        <w:rPr>
          <w:rFonts w:ascii="Times New Roman" w:hAnsi="Times New Roman"/>
          <w:color w:val="auto"/>
        </w:rPr>
      </w:pPr>
      <w:r>
        <w:rPr>
          <w:rFonts w:ascii="Times New Roman" w:hAnsi="Times New Roman"/>
          <w:color w:val="auto"/>
        </w:rPr>
        <w:t>（八）</w:t>
      </w:r>
      <w:r>
        <w:rPr>
          <w:rFonts w:ascii="Times New Roman" w:hAnsi="Times New Roman"/>
          <w:color w:val="auto"/>
        </w:rPr>
        <w:tab/>
      </w:r>
      <w:r>
        <w:rPr>
          <w:rFonts w:ascii="Times New Roman" w:hAnsi="Times New Roman"/>
          <w:color w:val="auto"/>
        </w:rPr>
        <w:t>技术文件和工艺文件清单（附件2-8）；</w:t>
      </w:r>
    </w:p>
    <w:p>
      <w:pPr>
        <w:adjustRightInd w:val="0"/>
        <w:snapToGrid w:val="0"/>
        <w:spacing w:line="360" w:lineRule="auto"/>
        <w:ind w:firstLine="420"/>
        <w:rPr>
          <w:rFonts w:ascii="Times New Roman" w:hAnsi="Times New Roman"/>
          <w:color w:val="auto"/>
        </w:rPr>
      </w:pPr>
      <w:r>
        <w:rPr>
          <w:rFonts w:ascii="Times New Roman" w:hAnsi="Times New Roman"/>
          <w:color w:val="auto"/>
        </w:rPr>
        <w:t>（九）</w:t>
      </w:r>
      <w:r>
        <w:rPr>
          <w:rFonts w:ascii="Times New Roman" w:hAnsi="Times New Roman"/>
          <w:color w:val="auto"/>
        </w:rPr>
        <w:tab/>
      </w:r>
      <w:r>
        <w:rPr>
          <w:rFonts w:ascii="Times New Roman" w:hAnsi="Times New Roman"/>
          <w:color w:val="auto"/>
        </w:rPr>
        <w:t>产品质量安全管理制度和产品质量安全追溯制度文件清单（附件2-9）；</w:t>
      </w:r>
    </w:p>
    <w:p>
      <w:pPr>
        <w:adjustRightInd w:val="0"/>
        <w:snapToGrid w:val="0"/>
        <w:spacing w:line="360" w:lineRule="auto"/>
        <w:ind w:firstLine="420"/>
        <w:rPr>
          <w:rFonts w:ascii="Times New Roman" w:hAnsi="Times New Roman"/>
          <w:color w:val="auto"/>
        </w:rPr>
      </w:pPr>
      <w:r>
        <w:rPr>
          <w:rFonts w:ascii="Times New Roman" w:hAnsi="Times New Roman"/>
          <w:color w:val="auto"/>
        </w:rPr>
        <w:t>（十）</w:t>
      </w:r>
      <w:r>
        <w:rPr>
          <w:rFonts w:ascii="Times New Roman" w:hAnsi="Times New Roman"/>
          <w:color w:val="auto"/>
        </w:rPr>
        <w:tab/>
      </w:r>
      <w:r>
        <w:rPr>
          <w:rFonts w:ascii="Times New Roman" w:hAnsi="Times New Roman"/>
          <w:color w:val="auto"/>
        </w:rPr>
        <w:t>企业执行的产品标准及相关标准清单（附件2-10）。</w:t>
      </w:r>
    </w:p>
    <w:p>
      <w:pPr>
        <w:adjustRightInd w:val="0"/>
        <w:snapToGrid w:val="0"/>
        <w:spacing w:line="360" w:lineRule="auto"/>
        <w:ind w:firstLine="420"/>
        <w:rPr>
          <w:rFonts w:ascii="Times New Roman" w:hAnsi="Times New Roman"/>
          <w:color w:val="auto"/>
        </w:rPr>
      </w:pPr>
      <w:r>
        <w:rPr>
          <w:rFonts w:ascii="Times New Roman" w:hAnsi="Times New Roman"/>
          <w:color w:val="auto"/>
        </w:rPr>
        <w:t>第十一条 现场实地核查时，企业应处于正常生产经营状态，申请取证产品应具备的生产设备处于正常运转状态，应具备的检验检测设备能够正常使用，相关人员应在岗到位。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ascii="Times New Roman" w:hAnsi="Times New Roman"/>
          <w:color w:val="auto"/>
        </w:rPr>
      </w:pPr>
      <w:r>
        <w:rPr>
          <w:rFonts w:ascii="Times New Roman" w:hAnsi="Times New Roman"/>
          <w:color w:val="auto"/>
        </w:rPr>
        <w:t>第十二条 核查组现场按照《磷肥产品生产许可证企业实地核查办法》（附件3）进行实地核查，做好记录，按产品单元分别填写《磷肥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color w:val="auto"/>
        </w:rPr>
      </w:pPr>
      <w:r>
        <w:rPr>
          <w:rFonts w:ascii="Times New Roman" w:hAnsi="Times New Roman"/>
          <w:color w:val="auto"/>
        </w:rPr>
        <w:t>第十三条 实地核查判定原则</w:t>
      </w:r>
    </w:p>
    <w:p>
      <w:pPr>
        <w:adjustRightInd w:val="0"/>
        <w:snapToGrid w:val="0"/>
        <w:spacing w:line="360" w:lineRule="auto"/>
        <w:ind w:firstLine="420"/>
        <w:rPr>
          <w:rFonts w:ascii="Times New Roman" w:hAnsi="Times New Roman"/>
          <w:color w:val="auto"/>
        </w:rPr>
      </w:pPr>
      <w:r>
        <w:rPr>
          <w:rFonts w:ascii="Times New Roman" w:hAnsi="Times New Roman"/>
          <w:color w:val="auto"/>
        </w:rPr>
        <w:t>（一）核查组应对实地核查办法的每一个条款进行核查，并根据其满足细则要求与否分别作出符合、不符合、建议改进的判定；</w:t>
      </w:r>
    </w:p>
    <w:p>
      <w:pPr>
        <w:adjustRightInd w:val="0"/>
        <w:snapToGrid w:val="0"/>
        <w:spacing w:line="360" w:lineRule="auto"/>
        <w:ind w:firstLine="420"/>
        <w:rPr>
          <w:rFonts w:ascii="Times New Roman" w:hAnsi="Times New Roman"/>
          <w:color w:val="auto"/>
        </w:rPr>
      </w:pPr>
      <w:r>
        <w:rPr>
          <w:rFonts w:ascii="Times New Roman" w:hAnsi="Times New Roman"/>
          <w:color w:val="auto"/>
        </w:rPr>
        <w:t>（二）对判为建议改进项和不符合项的，核查组应填写事实描述；</w:t>
      </w:r>
    </w:p>
    <w:p>
      <w:pPr>
        <w:pStyle w:val="56"/>
        <w:tabs>
          <w:tab w:val="left" w:pos="1276"/>
        </w:tabs>
        <w:adjustRightInd w:val="0"/>
        <w:snapToGrid w:val="0"/>
        <w:spacing w:line="360" w:lineRule="auto"/>
        <w:rPr>
          <w:rFonts w:ascii="Times New Roman" w:hAnsi="Times New Roman" w:eastAsia="宋体"/>
          <w:color w:val="auto"/>
          <w:sz w:val="21"/>
          <w:szCs w:val="21"/>
        </w:rPr>
      </w:pPr>
      <w:r>
        <w:rPr>
          <w:rFonts w:ascii="Times New Roman" w:hAnsi="Times New Roman" w:eastAsia="宋体"/>
          <w:color w:val="auto"/>
          <w:sz w:val="21"/>
          <w:szCs w:val="21"/>
        </w:rPr>
        <w:t>（三）核查结论的确定原则：实地核查按产品单元核查，核查结论按照磷肥种类进行判定。磷肥种类合格，则判定为该磷肥种类合格，反之，则判定为该磷肥种类不合格。</w:t>
      </w:r>
    </w:p>
    <w:p>
      <w:pPr>
        <w:spacing w:line="360" w:lineRule="auto"/>
        <w:jc w:val="center"/>
        <w:outlineLvl w:val="0"/>
        <w:rPr>
          <w:rFonts w:ascii="Times New Roman" w:hAnsi="Times New Roman"/>
          <w:b/>
          <w:color w:val="auto"/>
          <w:sz w:val="28"/>
          <w:szCs w:val="28"/>
        </w:rPr>
      </w:pPr>
      <w:bookmarkStart w:id="24" w:name="_Toc507721780"/>
    </w:p>
    <w:p>
      <w:pPr>
        <w:spacing w:line="360" w:lineRule="auto"/>
        <w:jc w:val="center"/>
        <w:outlineLvl w:val="0"/>
        <w:rPr>
          <w:rFonts w:ascii="Times New Roman" w:hAnsi="Times New Roman"/>
          <w:color w:val="auto"/>
        </w:rPr>
      </w:pPr>
      <w:bookmarkStart w:id="25" w:name="_Toc178002557"/>
      <w:bookmarkStart w:id="26" w:name="_Toc178002838"/>
      <w:r>
        <w:rPr>
          <w:rFonts w:ascii="Times New Roman" w:hAnsi="Times New Roman"/>
          <w:b/>
          <w:color w:val="auto"/>
          <w:sz w:val="28"/>
          <w:szCs w:val="28"/>
        </w:rPr>
        <w:t>第六章</w:t>
      </w:r>
      <w:bookmarkEnd w:id="24"/>
      <w:r>
        <w:rPr>
          <w:rFonts w:ascii="Times New Roman" w:hAnsi="Times New Roman"/>
          <w:b/>
          <w:color w:val="auto"/>
          <w:sz w:val="28"/>
          <w:szCs w:val="28"/>
        </w:rPr>
        <w:t xml:space="preserve"> 证书许可范围</w:t>
      </w:r>
      <w:bookmarkEnd w:id="25"/>
      <w:bookmarkEnd w:id="26"/>
    </w:p>
    <w:p>
      <w:pPr>
        <w:tabs>
          <w:tab w:val="left" w:pos="1276"/>
        </w:tabs>
        <w:snapToGrid w:val="0"/>
        <w:spacing w:line="360" w:lineRule="auto"/>
        <w:ind w:firstLine="420"/>
        <w:rPr>
          <w:rFonts w:ascii="Times New Roman" w:hAnsi="Times New Roman"/>
          <w:color w:val="auto"/>
        </w:rPr>
      </w:pPr>
      <w:r>
        <w:rPr>
          <w:rFonts w:ascii="Times New Roman" w:hAnsi="Times New Roman"/>
          <w:color w:val="auto"/>
        </w:rPr>
        <w:t>第十四条</w:t>
      </w:r>
      <w:bookmarkStart w:id="27" w:name="_Hlk160560229"/>
      <w:r>
        <w:rPr>
          <w:rFonts w:ascii="Times New Roman" w:hAnsi="Times New Roman"/>
          <w:color w:val="auto"/>
        </w:rPr>
        <w:t xml:space="preserve"> 企业实地核查完成后，根据企业申请和实地核查结果，对符合通则和本细则规定要求的，予以发证。证书许可范围示例见表4。</w:t>
      </w:r>
      <w:bookmarkEnd w:id="27"/>
    </w:p>
    <w:p>
      <w:pPr>
        <w:snapToGrid w:val="0"/>
        <w:spacing w:before="240" w:beforeLines="100"/>
        <w:jc w:val="center"/>
        <w:rPr>
          <w:rFonts w:ascii="Times New Roman" w:hAnsi="Times New Roman"/>
          <w:b/>
          <w:color w:val="auto"/>
        </w:rPr>
      </w:pPr>
      <w:r>
        <w:rPr>
          <w:rFonts w:ascii="Times New Roman" w:hAnsi="Times New Roman"/>
          <w:b/>
          <w:color w:val="auto"/>
        </w:rPr>
        <w:t>表4证书许可范围示例</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2034"/>
        <w:gridCol w:w="2180"/>
        <w:gridCol w:w="2032"/>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序号</w:t>
            </w:r>
          </w:p>
        </w:tc>
        <w:tc>
          <w:tcPr>
            <w:tcW w:w="10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11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企业申请内容</w:t>
            </w:r>
          </w:p>
        </w:tc>
        <w:tc>
          <w:tcPr>
            <w:tcW w:w="109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实地核查报告结果</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证书许可范围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bCs/>
                <w:color w:val="auto"/>
              </w:rPr>
              <w:t>1</w:t>
            </w:r>
          </w:p>
        </w:tc>
        <w:tc>
          <w:tcPr>
            <w:tcW w:w="10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过磷酸钙</w:t>
            </w:r>
          </w:p>
        </w:tc>
        <w:tc>
          <w:tcPr>
            <w:tcW w:w="11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过磷酸钙/磷肥种类（如：过磷酸钙，企业申请时应注明申请的磷肥种类）</w:t>
            </w:r>
          </w:p>
        </w:tc>
        <w:tc>
          <w:tcPr>
            <w:tcW w:w="109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核查合格</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过磷酸钙/磷肥种类（如：过磷酸钙，企业申请的磷肥种类）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bCs/>
                <w:color w:val="auto"/>
              </w:rPr>
              <w:t>2</w:t>
            </w:r>
          </w:p>
        </w:tc>
        <w:tc>
          <w:tcPr>
            <w:tcW w:w="10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c>
          <w:tcPr>
            <w:tcW w:w="11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钙镁磷肥/磷肥种类（如：钙镁磷肥，企业申请时应注明申请的磷肥种类）</w:t>
            </w:r>
          </w:p>
        </w:tc>
        <w:tc>
          <w:tcPr>
            <w:tcW w:w="109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核查合格</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钙镁磷肥/磷肥种类（如：钙镁磷肥，企业申请的磷肥种类）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bCs/>
                <w:color w:val="auto"/>
              </w:rPr>
              <w:t>3</w:t>
            </w:r>
          </w:p>
        </w:tc>
        <w:tc>
          <w:tcPr>
            <w:tcW w:w="10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钙镁磷钾肥</w:t>
            </w:r>
          </w:p>
        </w:tc>
        <w:tc>
          <w:tcPr>
            <w:tcW w:w="11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钙镁磷钾肥/磷肥种类（如：钙镁磷钾肥，企业申请时应注明申请的磷肥种类）</w:t>
            </w:r>
          </w:p>
        </w:tc>
        <w:tc>
          <w:tcPr>
            <w:tcW w:w="109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核查合格</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钙镁磷钾肥/磷肥种类（如：钙镁磷钾肥，企业申请的磷肥种类）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bCs/>
                <w:color w:val="auto"/>
              </w:rPr>
              <w:t>4</w:t>
            </w:r>
          </w:p>
        </w:tc>
        <w:tc>
          <w:tcPr>
            <w:tcW w:w="10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c>
          <w:tcPr>
            <w:tcW w:w="11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肥料级磷酸氢钙/磷肥种类（如：肥料级磷酸氢钙，企业申请时应注明申请的磷肥种类）</w:t>
            </w:r>
          </w:p>
        </w:tc>
        <w:tc>
          <w:tcPr>
            <w:tcW w:w="109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核查合格</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肥料级磷酸氢钙/磷肥种类（如：肥料级磷酸氢钙，企业申请的磷肥种类）</w:t>
            </w:r>
          </w:p>
        </w:tc>
      </w:tr>
    </w:tbl>
    <w:p>
      <w:pPr>
        <w:pStyle w:val="56"/>
        <w:spacing w:before="240" w:beforeLines="100" w:line="360" w:lineRule="auto"/>
        <w:ind w:firstLine="0"/>
        <w:jc w:val="center"/>
        <w:outlineLvl w:val="0"/>
        <w:rPr>
          <w:rFonts w:ascii="Times New Roman" w:hAnsi="Times New Roman" w:eastAsia="宋体"/>
          <w:b/>
          <w:color w:val="auto"/>
          <w:sz w:val="28"/>
          <w:szCs w:val="28"/>
        </w:rPr>
      </w:pPr>
      <w:bookmarkStart w:id="28" w:name="_Toc507721781"/>
    </w:p>
    <w:p>
      <w:pPr>
        <w:pStyle w:val="56"/>
        <w:spacing w:before="240" w:beforeLines="100" w:line="360" w:lineRule="auto"/>
        <w:ind w:firstLine="0"/>
        <w:jc w:val="center"/>
        <w:outlineLvl w:val="0"/>
        <w:rPr>
          <w:rFonts w:ascii="Times New Roman" w:hAnsi="Times New Roman" w:eastAsia="宋体"/>
          <w:b/>
          <w:color w:val="auto"/>
          <w:sz w:val="28"/>
          <w:szCs w:val="28"/>
        </w:rPr>
      </w:pPr>
      <w:bookmarkStart w:id="29" w:name="_Toc178002558"/>
      <w:bookmarkStart w:id="30" w:name="_Toc178002839"/>
      <w:r>
        <w:rPr>
          <w:rFonts w:ascii="Times New Roman" w:hAnsi="Times New Roman" w:eastAsia="宋体"/>
          <w:b/>
          <w:color w:val="auto"/>
          <w:sz w:val="28"/>
          <w:szCs w:val="28"/>
        </w:rPr>
        <w:t>第七章 附则</w:t>
      </w:r>
      <w:bookmarkEnd w:id="28"/>
      <w:bookmarkEnd w:id="29"/>
      <w:bookmarkEnd w:id="30"/>
    </w:p>
    <w:p>
      <w:pPr>
        <w:tabs>
          <w:tab w:val="left" w:pos="1276"/>
        </w:tabs>
        <w:snapToGrid w:val="0"/>
        <w:spacing w:line="360" w:lineRule="auto"/>
        <w:ind w:firstLine="420"/>
        <w:rPr>
          <w:rFonts w:ascii="Times New Roman" w:hAnsi="Times New Roman"/>
          <w:color w:val="auto"/>
        </w:rPr>
      </w:pPr>
      <w:r>
        <w:rPr>
          <w:rFonts w:ascii="Times New Roman" w:hAnsi="Times New Roman"/>
          <w:color w:val="auto"/>
        </w:rPr>
        <w:t xml:space="preserve">第十五条 </w:t>
      </w:r>
      <w:bookmarkStart w:id="31" w:name="_Toc507721782"/>
    </w:p>
    <w:p>
      <w:pPr>
        <w:tabs>
          <w:tab w:val="left" w:pos="1276"/>
        </w:tabs>
        <w:snapToGrid w:val="0"/>
        <w:spacing w:line="360" w:lineRule="auto"/>
        <w:ind w:firstLine="420"/>
        <w:rPr>
          <w:rFonts w:ascii="Times New Roman" w:hAnsi="Times New Roman"/>
          <w:color w:val="auto"/>
        </w:rPr>
      </w:pPr>
      <w:r>
        <w:rPr>
          <w:rFonts w:ascii="Times New Roman" w:hAnsi="Times New Roman"/>
          <w:color w:val="auto"/>
        </w:rPr>
        <w:t>全国化肥产品生产许可证审查部（设在国家化肥质量检验检测中心（上海））</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地    址：上海市云岭东路345号</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电    话：021-31015249</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联 系 人：房朋、段路路</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本细则参与起草单位：上海化工研究院有限公司、全国工业产品生产许可证审查中心、全国肥料和土壤调理剂标准化技术委员会、中国磷复肥工业协会、云南省化工产品质量监督检验站、四川省产品质量检验研究院有限责任公司、山东省产品质量检验研究院、贵州省产品质量检验检测院</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本细则主要起草人：商照聪、房朋、段路路、黄婧、贾贺峰、靳宇、修学峰、桂素萍、李铭、陈迪荣、黄富林、田树刚、陈泉</w:t>
      </w:r>
    </w:p>
    <w:p>
      <w:pPr>
        <w:pStyle w:val="56"/>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第十六条 本细则由</w:t>
      </w:r>
      <w:r>
        <w:rPr>
          <w:rFonts w:ascii="Times New Roman" w:hAnsi="Times New Roman" w:eastAsia="宋体"/>
          <w:color w:val="auto"/>
          <w:spacing w:val="-2"/>
          <w:sz w:val="21"/>
          <w:szCs w:val="21"/>
        </w:rPr>
        <w:t>国家市场监督管理总局</w:t>
      </w:r>
      <w:r>
        <w:rPr>
          <w:rFonts w:ascii="Times New Roman" w:hAnsi="Times New Roman" w:eastAsia="宋体"/>
          <w:color w:val="auto"/>
          <w:sz w:val="21"/>
          <w:szCs w:val="21"/>
        </w:rPr>
        <w:t>负责解释。</w:t>
      </w:r>
    </w:p>
    <w:p>
      <w:pPr>
        <w:tabs>
          <w:tab w:val="left" w:pos="1276"/>
        </w:tabs>
        <w:snapToGrid w:val="0"/>
        <w:spacing w:line="360" w:lineRule="auto"/>
        <w:ind w:firstLine="420"/>
        <w:rPr>
          <w:rFonts w:ascii="Times New Roman" w:hAnsi="Times New Roman"/>
          <w:color w:val="auto"/>
          <w:sz w:val="24"/>
          <w:szCs w:val="24"/>
        </w:rPr>
      </w:pPr>
      <w:r>
        <w:rPr>
          <w:rFonts w:ascii="Times New Roman" w:hAnsi="Times New Roman"/>
          <w:color w:val="auto"/>
        </w:rPr>
        <w:t>第十七条 本细则自202X年X月X日起实施。</w:t>
      </w:r>
      <w:r>
        <w:rPr>
          <w:rFonts w:ascii="Times New Roman" w:hAnsi="Times New Roman"/>
          <w:color w:val="auto"/>
        </w:rPr>
        <w:br w:type="page"/>
      </w:r>
    </w:p>
    <w:p>
      <w:pPr>
        <w:tabs>
          <w:tab w:val="left" w:pos="0"/>
        </w:tabs>
        <w:spacing w:line="360" w:lineRule="auto"/>
        <w:jc w:val="left"/>
        <w:rPr>
          <w:rFonts w:ascii="Times New Roman" w:hAnsi="Times New Roman"/>
          <w:color w:val="auto"/>
          <w:sz w:val="28"/>
          <w:szCs w:val="28"/>
        </w:rPr>
        <w:sectPr>
          <w:footerReference r:id="rId5" w:type="default"/>
          <w:pgSz w:w="11906" w:h="16838"/>
          <w:pgMar w:top="1418" w:right="1418" w:bottom="1418" w:left="1418" w:header="851" w:footer="992" w:gutter="0"/>
          <w:pgNumType w:start="1"/>
          <w:cols w:space="720" w:num="1"/>
          <w:docGrid w:linePitch="360" w:charSpace="6144"/>
        </w:sectPr>
      </w:pPr>
    </w:p>
    <w:p>
      <w:pPr>
        <w:pStyle w:val="3"/>
        <w:outlineLvl w:val="0"/>
        <w:rPr>
          <w:rFonts w:ascii="Times New Roman" w:hAnsi="Times New Roman"/>
          <w:color w:val="auto"/>
          <w:sz w:val="28"/>
          <w:szCs w:val="28"/>
        </w:rPr>
      </w:pPr>
      <w:bookmarkStart w:id="32" w:name="_Toc178002840"/>
      <w:r>
        <w:rPr>
          <w:rFonts w:ascii="Times New Roman" w:hAnsi="Times New Roman"/>
          <w:color w:val="auto"/>
          <w:sz w:val="28"/>
          <w:szCs w:val="28"/>
        </w:rPr>
        <w:t>附件1</w:t>
      </w:r>
      <w:bookmarkEnd w:id="32"/>
    </w:p>
    <w:p>
      <w:pPr>
        <w:tabs>
          <w:tab w:val="left" w:pos="0"/>
        </w:tabs>
        <w:spacing w:line="360" w:lineRule="auto"/>
        <w:jc w:val="center"/>
        <w:rPr>
          <w:rFonts w:ascii="Times New Roman" w:hAnsi="Times New Roman"/>
          <w:b/>
          <w:bCs/>
          <w:color w:val="auto"/>
          <w:sz w:val="28"/>
          <w:szCs w:val="28"/>
        </w:rPr>
      </w:pPr>
      <w:r>
        <w:rPr>
          <w:rFonts w:ascii="Times New Roman" w:hAnsi="Times New Roman"/>
          <w:b/>
          <w:bCs/>
          <w:color w:val="auto"/>
          <w:sz w:val="28"/>
          <w:szCs w:val="28"/>
        </w:rPr>
        <w:t>检验检测项目及依据标准</w:t>
      </w:r>
    </w:p>
    <w:tbl>
      <w:tblPr>
        <w:tblStyle w:val="37"/>
        <w:tblW w:w="14456"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57" w:type="dxa"/>
          <w:bottom w:w="0" w:type="dxa"/>
          <w:right w:w="57" w:type="dxa"/>
        </w:tblCellMar>
      </w:tblPr>
      <w:tblGrid>
        <w:gridCol w:w="697"/>
        <w:gridCol w:w="1710"/>
        <w:gridCol w:w="1843"/>
        <w:gridCol w:w="3544"/>
        <w:gridCol w:w="666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513" w:hRule="atLeast"/>
          <w:tblHeader/>
          <w:jc w:val="center"/>
        </w:trPr>
        <w:tc>
          <w:tcPr>
            <w:tcW w:w="697" w:type="dxa"/>
            <w:tcBorders>
              <w:tl2br w:val="nil"/>
              <w:tr2bl w:val="nil"/>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序号</w:t>
            </w:r>
          </w:p>
        </w:tc>
        <w:tc>
          <w:tcPr>
            <w:tcW w:w="1710" w:type="dxa"/>
            <w:tcBorders>
              <w:tl2br w:val="nil"/>
              <w:tr2bl w:val="nil"/>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产品单元</w:t>
            </w:r>
          </w:p>
        </w:tc>
        <w:tc>
          <w:tcPr>
            <w:tcW w:w="1843" w:type="dxa"/>
            <w:tcBorders>
              <w:tl2br w:val="nil"/>
              <w:tr2bl w:val="nil"/>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磷肥种类</w:t>
            </w:r>
          </w:p>
        </w:tc>
        <w:tc>
          <w:tcPr>
            <w:tcW w:w="3544" w:type="dxa"/>
            <w:tcBorders>
              <w:tl2br w:val="nil"/>
              <w:tr2bl w:val="nil"/>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标准名称</w:t>
            </w:r>
          </w:p>
        </w:tc>
        <w:tc>
          <w:tcPr>
            <w:tcW w:w="6662" w:type="dxa"/>
            <w:tcBorders>
              <w:tl2br w:val="nil"/>
              <w:tr2bl w:val="nil"/>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检验检测项目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697" w:type="dxa"/>
            <w:tcBorders>
              <w:tl2br w:val="nil"/>
              <w:tr2bl w:val="nil"/>
            </w:tcBorders>
            <w:vAlign w:val="center"/>
          </w:tcPr>
          <w:p>
            <w:pPr>
              <w:adjustRightInd w:val="0"/>
              <w:snapToGrid w:val="0"/>
              <w:jc w:val="center"/>
              <w:rPr>
                <w:rFonts w:ascii="Times New Roman" w:hAnsi="Times New Roman"/>
                <w:color w:val="auto"/>
              </w:rPr>
            </w:pPr>
            <w:r>
              <w:rPr>
                <w:rFonts w:ascii="Times New Roman" w:hAnsi="Times New Roman"/>
                <w:color w:val="auto"/>
              </w:rPr>
              <w:t>1</w:t>
            </w:r>
          </w:p>
        </w:tc>
        <w:tc>
          <w:tcPr>
            <w:tcW w:w="1710" w:type="dxa"/>
            <w:tcBorders>
              <w:tl2br w:val="nil"/>
              <w:tr2bl w:val="nil"/>
            </w:tcBorders>
            <w:vAlign w:val="center"/>
          </w:tcPr>
          <w:p>
            <w:pPr>
              <w:adjustRightInd w:val="0"/>
              <w:snapToGrid w:val="0"/>
              <w:jc w:val="center"/>
              <w:rPr>
                <w:rFonts w:ascii="Times New Roman" w:hAnsi="Times New Roman"/>
                <w:color w:val="auto"/>
              </w:rPr>
            </w:pPr>
            <w:r>
              <w:rPr>
                <w:rFonts w:ascii="Times New Roman" w:hAnsi="Times New Roman"/>
                <w:color w:val="auto"/>
              </w:rPr>
              <w:t>过磷酸钙</w:t>
            </w:r>
          </w:p>
        </w:tc>
        <w:tc>
          <w:tcPr>
            <w:tcW w:w="1843"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过磷酸钙</w:t>
            </w:r>
          </w:p>
        </w:tc>
        <w:tc>
          <w:tcPr>
            <w:tcW w:w="3544"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GB/T 20413—2017 过磷酸钙</w:t>
            </w:r>
          </w:p>
          <w:p>
            <w:pPr>
              <w:adjustRightInd w:val="0"/>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6662"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有效磷（以P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计）、水溶性磷（以P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计）、游离酸、游离水、粒度（针对粒状产品）、硫（以S计）、挥发性有机化合物、总砷、总镉、总铅、总铬、总汞、总铊、三氯乙醛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697" w:type="dxa"/>
            <w:tcBorders>
              <w:tl2br w:val="nil"/>
              <w:tr2bl w:val="nil"/>
            </w:tcBorders>
            <w:vAlign w:val="center"/>
          </w:tcPr>
          <w:p>
            <w:pPr>
              <w:adjustRightInd w:val="0"/>
              <w:snapToGrid w:val="0"/>
              <w:jc w:val="center"/>
              <w:rPr>
                <w:rFonts w:ascii="Times New Roman" w:hAnsi="Times New Roman"/>
                <w:color w:val="auto"/>
              </w:rPr>
            </w:pPr>
            <w:r>
              <w:rPr>
                <w:rFonts w:ascii="Times New Roman" w:hAnsi="Times New Roman"/>
                <w:color w:val="auto"/>
              </w:rPr>
              <w:t>2</w:t>
            </w:r>
          </w:p>
        </w:tc>
        <w:tc>
          <w:tcPr>
            <w:tcW w:w="1710" w:type="dxa"/>
            <w:tcBorders>
              <w:tl2br w:val="nil"/>
              <w:tr2bl w:val="nil"/>
            </w:tcBorders>
            <w:vAlign w:val="center"/>
          </w:tcPr>
          <w:p>
            <w:pPr>
              <w:adjustRightInd w:val="0"/>
              <w:snapToGrid w:val="0"/>
              <w:jc w:val="center"/>
              <w:rPr>
                <w:rFonts w:ascii="Times New Roman" w:hAnsi="Times New Roman"/>
                <w:color w:val="auto"/>
              </w:rPr>
            </w:pPr>
            <w:r>
              <w:rPr>
                <w:rFonts w:ascii="Times New Roman" w:hAnsi="Times New Roman"/>
                <w:color w:val="auto"/>
              </w:rPr>
              <w:t>钙镁磷肥</w:t>
            </w:r>
          </w:p>
        </w:tc>
        <w:tc>
          <w:tcPr>
            <w:tcW w:w="1843"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钙镁磷肥</w:t>
            </w:r>
          </w:p>
        </w:tc>
        <w:tc>
          <w:tcPr>
            <w:tcW w:w="3544"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GB/T 20412—2021 钙镁磷肥</w:t>
            </w:r>
          </w:p>
          <w:p>
            <w:pPr>
              <w:adjustRightInd w:val="0"/>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6662"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有效五氧化二磷（P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）、水分（H</w:t>
            </w:r>
            <w:r>
              <w:rPr>
                <w:rFonts w:ascii="Times New Roman" w:hAnsi="Times New Roman"/>
                <w:color w:val="auto"/>
                <w:vertAlign w:val="subscript"/>
              </w:rPr>
              <w:t>2</w:t>
            </w:r>
            <w:r>
              <w:rPr>
                <w:rFonts w:ascii="Times New Roman" w:hAnsi="Times New Roman"/>
                <w:color w:val="auto"/>
              </w:rPr>
              <w:t>0）、有效钙（Ca）、有效镁（Mg）、可溶性硅（SiO</w:t>
            </w:r>
            <w:r>
              <w:rPr>
                <w:rFonts w:ascii="Times New Roman" w:hAnsi="Times New Roman"/>
                <w:color w:val="auto"/>
                <w:vertAlign w:val="subscript"/>
              </w:rPr>
              <w:t>2</w:t>
            </w:r>
            <w:r>
              <w:rPr>
                <w:rFonts w:ascii="Times New Roman" w:hAnsi="Times New Roman"/>
                <w:color w:val="auto"/>
              </w:rPr>
              <w:t>）、细度（针对粉状或砂状产品）、粒度（针对颗粒状产品）、颗粒平均抗压碎力（针对颗粒状产品）、溶散率（针对颗粒状产品）、总砷、总镉、总铅、总铬、总汞、总铊、</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697" w:type="dxa"/>
            <w:tcBorders>
              <w:top w:val="single" w:color="auto" w:sz="4" w:space="0"/>
              <w:tl2br w:val="nil"/>
              <w:tr2bl w:val="nil"/>
            </w:tcBorders>
            <w:vAlign w:val="center"/>
          </w:tcPr>
          <w:p>
            <w:pPr>
              <w:adjustRightInd w:val="0"/>
              <w:snapToGrid w:val="0"/>
              <w:jc w:val="center"/>
              <w:rPr>
                <w:rFonts w:ascii="Times New Roman" w:hAnsi="Times New Roman"/>
                <w:color w:val="auto"/>
              </w:rPr>
            </w:pPr>
            <w:r>
              <w:rPr>
                <w:rFonts w:ascii="Times New Roman" w:hAnsi="Times New Roman"/>
                <w:color w:val="auto"/>
              </w:rPr>
              <w:t>3</w:t>
            </w:r>
          </w:p>
        </w:tc>
        <w:tc>
          <w:tcPr>
            <w:tcW w:w="1710" w:type="dxa"/>
            <w:tcBorders>
              <w:top w:val="single" w:color="auto" w:sz="4" w:space="0"/>
              <w:tl2br w:val="nil"/>
              <w:tr2bl w:val="nil"/>
            </w:tcBorders>
            <w:vAlign w:val="center"/>
          </w:tcPr>
          <w:p>
            <w:pPr>
              <w:adjustRightInd w:val="0"/>
              <w:snapToGrid w:val="0"/>
              <w:jc w:val="center"/>
              <w:rPr>
                <w:rFonts w:ascii="Times New Roman" w:hAnsi="Times New Roman"/>
                <w:color w:val="auto"/>
              </w:rPr>
            </w:pPr>
            <w:r>
              <w:rPr>
                <w:rFonts w:ascii="Times New Roman" w:hAnsi="Times New Roman"/>
                <w:color w:val="auto"/>
              </w:rPr>
              <w:t>钙镁磷钾肥</w:t>
            </w:r>
          </w:p>
        </w:tc>
        <w:tc>
          <w:tcPr>
            <w:tcW w:w="1843" w:type="dxa"/>
            <w:tcBorders>
              <w:top w:val="single" w:color="auto" w:sz="4" w:space="0"/>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钙镁磷钾肥</w:t>
            </w:r>
          </w:p>
        </w:tc>
        <w:tc>
          <w:tcPr>
            <w:tcW w:w="3544"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HG/T 2598—1994 钙镁磷钾肥</w:t>
            </w:r>
          </w:p>
          <w:p>
            <w:pPr>
              <w:adjustRightInd w:val="0"/>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6662"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总养分（P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O）、有效钾（K</w:t>
            </w:r>
            <w:r>
              <w:rPr>
                <w:rFonts w:ascii="Times New Roman" w:hAnsi="Times New Roman"/>
                <w:color w:val="auto"/>
                <w:vertAlign w:val="subscript"/>
              </w:rPr>
              <w:t>2</w:t>
            </w:r>
            <w:r>
              <w:rPr>
                <w:rFonts w:ascii="Times New Roman" w:hAnsi="Times New Roman"/>
                <w:color w:val="auto"/>
              </w:rPr>
              <w:t>O）、水分、细度、总砷、总镉、总铅、总铬、总汞、总铊</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697" w:type="dxa"/>
            <w:tcBorders>
              <w:tl2br w:val="nil"/>
              <w:tr2bl w:val="nil"/>
            </w:tcBorders>
            <w:vAlign w:val="center"/>
          </w:tcPr>
          <w:p>
            <w:pPr>
              <w:adjustRightInd w:val="0"/>
              <w:snapToGrid w:val="0"/>
              <w:jc w:val="center"/>
              <w:rPr>
                <w:rFonts w:ascii="Times New Roman" w:hAnsi="Times New Roman"/>
                <w:color w:val="auto"/>
              </w:rPr>
            </w:pPr>
            <w:r>
              <w:rPr>
                <w:rFonts w:ascii="Times New Roman" w:hAnsi="Times New Roman"/>
                <w:color w:val="auto"/>
              </w:rPr>
              <w:t>4</w:t>
            </w:r>
          </w:p>
        </w:tc>
        <w:tc>
          <w:tcPr>
            <w:tcW w:w="1710" w:type="dxa"/>
            <w:tcBorders>
              <w:tl2br w:val="nil"/>
              <w:tr2bl w:val="nil"/>
            </w:tcBorders>
            <w:vAlign w:val="center"/>
          </w:tcPr>
          <w:p>
            <w:pPr>
              <w:adjustRightInd w:val="0"/>
              <w:snapToGrid w:val="0"/>
              <w:jc w:val="center"/>
              <w:rPr>
                <w:rFonts w:ascii="Times New Roman" w:hAnsi="Times New Roman"/>
                <w:color w:val="auto"/>
              </w:rPr>
            </w:pPr>
            <w:r>
              <w:rPr>
                <w:rFonts w:ascii="Times New Roman" w:hAnsi="Times New Roman"/>
                <w:color w:val="auto"/>
              </w:rPr>
              <w:t>肥料级磷酸氢钙</w:t>
            </w:r>
          </w:p>
        </w:tc>
        <w:tc>
          <w:tcPr>
            <w:tcW w:w="1843"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肥料级磷酸氢钙</w:t>
            </w:r>
          </w:p>
        </w:tc>
        <w:tc>
          <w:tcPr>
            <w:tcW w:w="3544"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HG/T 3275—1999 肥料级磷酸氢钙</w:t>
            </w:r>
          </w:p>
          <w:p>
            <w:pPr>
              <w:adjustRightInd w:val="0"/>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6662" w:type="dxa"/>
            <w:tcBorders>
              <w:tl2br w:val="nil"/>
              <w:tr2bl w:val="nil"/>
            </w:tcBorders>
            <w:vAlign w:val="center"/>
          </w:tcPr>
          <w:p>
            <w:pPr>
              <w:adjustRightInd w:val="0"/>
              <w:snapToGrid w:val="0"/>
              <w:jc w:val="left"/>
              <w:rPr>
                <w:rFonts w:ascii="Times New Roman" w:hAnsi="Times New Roman"/>
                <w:color w:val="auto"/>
              </w:rPr>
            </w:pPr>
            <w:r>
              <w:rPr>
                <w:rFonts w:ascii="Times New Roman" w:hAnsi="Times New Roman"/>
                <w:color w:val="auto"/>
              </w:rPr>
              <w:t>有效五氧化二磷（P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）、pH值、游离水分、总砷、总镉、总铅、总铬、总汞、总铊</w:t>
            </w:r>
          </w:p>
        </w:tc>
      </w:tr>
    </w:tbl>
    <w:p>
      <w:pPr>
        <w:pStyle w:val="54"/>
        <w:widowControl w:val="0"/>
        <w:adjustRightInd/>
        <w:spacing w:before="120" w:beforeLines="50" w:after="240" w:afterLines="100"/>
        <w:rPr>
          <w:rFonts w:ascii="Times New Roman" w:hAnsi="Times New Roman" w:eastAsia="黑体"/>
          <w:iCs/>
          <w:color w:val="auto"/>
          <w:sz w:val="18"/>
          <w:szCs w:val="18"/>
        </w:rPr>
      </w:pPr>
    </w:p>
    <w:p>
      <w:pPr>
        <w:rPr>
          <w:rFonts w:ascii="Times New Roman" w:hAnsi="Times New Roman"/>
          <w:color w:val="auto"/>
        </w:rPr>
        <w:sectPr>
          <w:pgSz w:w="16838" w:h="11906" w:orient="landscape"/>
          <w:pgMar w:top="1418" w:right="1418" w:bottom="1418" w:left="1418" w:header="851" w:footer="992" w:gutter="0"/>
          <w:cols w:space="720" w:num="1"/>
          <w:docGrid w:linePitch="360" w:charSpace="6144"/>
        </w:sectPr>
      </w:pPr>
      <w:r>
        <w:rPr>
          <w:rFonts w:ascii="Times New Roman" w:hAnsi="Times New Roman"/>
          <w:color w:val="auto"/>
        </w:rPr>
        <w:br w:type="page"/>
      </w:r>
    </w:p>
    <w:p>
      <w:pPr>
        <w:outlineLvl w:val="0"/>
        <w:rPr>
          <w:rFonts w:ascii="Times New Roman" w:hAnsi="Times New Roman"/>
          <w:b/>
          <w:color w:val="auto"/>
          <w:sz w:val="28"/>
          <w:szCs w:val="28"/>
        </w:rPr>
      </w:pPr>
      <w:r>
        <w:rPr>
          <w:rFonts w:ascii="Times New Roman" w:hAnsi="Times New Roman"/>
          <w:color w:val="auto"/>
          <w:sz w:val="28"/>
          <w:szCs w:val="28"/>
        </w:rPr>
        <w:t>附件</w:t>
      </w:r>
      <w:bookmarkEnd w:id="31"/>
      <w:r>
        <w:rPr>
          <w:rFonts w:ascii="Times New Roman" w:hAnsi="Times New Roman"/>
          <w:color w:val="auto"/>
          <w:sz w:val="28"/>
          <w:szCs w:val="28"/>
        </w:rPr>
        <w:t>2</w:t>
      </w:r>
    </w:p>
    <w:p>
      <w:pPr>
        <w:jc w:val="center"/>
        <w:outlineLvl w:val="0"/>
        <w:rPr>
          <w:rFonts w:ascii="Times New Roman" w:hAnsi="Times New Roman"/>
          <w:b/>
          <w:color w:val="auto"/>
          <w:sz w:val="28"/>
          <w:szCs w:val="28"/>
        </w:rPr>
      </w:pPr>
      <w:bookmarkStart w:id="33" w:name="_Toc507721783"/>
      <w:bookmarkStart w:id="34" w:name="_Toc178002841"/>
      <w:bookmarkStart w:id="35" w:name="_Toc178002559"/>
      <w:r>
        <w:rPr>
          <w:rFonts w:ascii="Times New Roman" w:hAnsi="Times New Roman"/>
          <w:b/>
          <w:color w:val="auto"/>
          <w:sz w:val="28"/>
          <w:szCs w:val="28"/>
        </w:rPr>
        <w:t>企业核查时需准备的书面材料清单</w:t>
      </w:r>
      <w:bookmarkEnd w:id="33"/>
      <w:bookmarkEnd w:id="34"/>
      <w:bookmarkEnd w:id="35"/>
    </w:p>
    <w:p>
      <w:pPr>
        <w:spacing w:line="360" w:lineRule="auto"/>
        <w:rPr>
          <w:rFonts w:ascii="Times New Roman" w:hAnsi="Times New Roman"/>
          <w:color w:val="auto"/>
          <w:sz w:val="28"/>
          <w:szCs w:val="28"/>
        </w:rPr>
      </w:pPr>
    </w:p>
    <w:p>
      <w:pPr>
        <w:snapToGrid w:val="0"/>
        <w:spacing w:line="360" w:lineRule="auto"/>
        <w:ind w:firstLine="420"/>
        <w:rPr>
          <w:rFonts w:ascii="Times New Roman" w:hAnsi="Times New Roman"/>
          <w:color w:val="auto"/>
        </w:rPr>
      </w:pPr>
      <w:r>
        <w:rPr>
          <w:rFonts w:ascii="Times New Roman" w:hAnsi="Times New Roman"/>
          <w:color w:val="auto"/>
        </w:rPr>
        <w:t>附件2-1生产场所示意图</w:t>
      </w:r>
    </w:p>
    <w:p>
      <w:pPr>
        <w:snapToGrid w:val="0"/>
        <w:spacing w:line="360" w:lineRule="auto"/>
        <w:ind w:firstLine="420"/>
        <w:rPr>
          <w:rFonts w:ascii="Times New Roman" w:hAnsi="Times New Roman"/>
          <w:color w:val="auto"/>
        </w:rPr>
      </w:pPr>
      <w:r>
        <w:rPr>
          <w:rFonts w:ascii="Times New Roman" w:hAnsi="Times New Roman"/>
          <w:color w:val="auto"/>
        </w:rPr>
        <w:t>附件2-2主要工艺流程图</w:t>
      </w:r>
    </w:p>
    <w:p>
      <w:pPr>
        <w:snapToGrid w:val="0"/>
        <w:spacing w:line="360" w:lineRule="auto"/>
        <w:ind w:firstLine="420"/>
        <w:rPr>
          <w:rFonts w:ascii="Times New Roman" w:hAnsi="Times New Roman"/>
          <w:color w:val="auto"/>
        </w:rPr>
      </w:pPr>
      <w:r>
        <w:rPr>
          <w:rFonts w:ascii="Times New Roman" w:hAnsi="Times New Roman"/>
          <w:color w:val="auto"/>
        </w:rPr>
        <w:t>附件2-3主要生产设施和检验检测设施表</w:t>
      </w:r>
    </w:p>
    <w:p>
      <w:pPr>
        <w:snapToGrid w:val="0"/>
        <w:spacing w:line="360" w:lineRule="auto"/>
        <w:ind w:firstLine="420"/>
        <w:rPr>
          <w:rFonts w:ascii="Times New Roman" w:hAnsi="Times New Roman"/>
          <w:color w:val="auto"/>
        </w:rPr>
      </w:pPr>
      <w:r>
        <w:rPr>
          <w:rFonts w:ascii="Times New Roman" w:hAnsi="Times New Roman"/>
          <w:color w:val="auto"/>
        </w:rPr>
        <w:t>附件2-4主要生产设备表</w:t>
      </w:r>
    </w:p>
    <w:p>
      <w:pPr>
        <w:snapToGrid w:val="0"/>
        <w:spacing w:line="360" w:lineRule="auto"/>
        <w:ind w:firstLine="420"/>
        <w:rPr>
          <w:rFonts w:ascii="Times New Roman" w:hAnsi="Times New Roman"/>
          <w:color w:val="auto"/>
        </w:rPr>
      </w:pPr>
      <w:r>
        <w:rPr>
          <w:rFonts w:ascii="Times New Roman" w:hAnsi="Times New Roman"/>
          <w:color w:val="auto"/>
        </w:rPr>
        <w:t>附件2-5主要检验检测设备表</w:t>
      </w:r>
    </w:p>
    <w:p>
      <w:pPr>
        <w:snapToGrid w:val="0"/>
        <w:spacing w:line="360" w:lineRule="auto"/>
        <w:ind w:firstLine="420"/>
        <w:rPr>
          <w:rFonts w:ascii="Times New Roman" w:hAnsi="Times New Roman"/>
          <w:color w:val="auto"/>
        </w:rPr>
      </w:pPr>
      <w:r>
        <w:rPr>
          <w:rFonts w:ascii="Times New Roman" w:hAnsi="Times New Roman"/>
          <w:color w:val="auto"/>
        </w:rPr>
        <w:t>附件2-6主要原材料明细表</w:t>
      </w:r>
    </w:p>
    <w:p>
      <w:pPr>
        <w:snapToGrid w:val="0"/>
        <w:spacing w:line="360" w:lineRule="auto"/>
        <w:ind w:firstLine="420"/>
        <w:rPr>
          <w:rFonts w:ascii="Times New Roman" w:hAnsi="Times New Roman"/>
          <w:color w:val="auto"/>
        </w:rPr>
      </w:pPr>
      <w:r>
        <w:rPr>
          <w:rFonts w:ascii="Times New Roman" w:hAnsi="Times New Roman"/>
          <w:color w:val="auto"/>
        </w:rPr>
        <w:t>附件2-7关键岗位管理和专业技术人员表</w:t>
      </w:r>
    </w:p>
    <w:p>
      <w:pPr>
        <w:snapToGrid w:val="0"/>
        <w:spacing w:line="360" w:lineRule="auto"/>
        <w:ind w:firstLine="420"/>
        <w:rPr>
          <w:rFonts w:ascii="Times New Roman" w:hAnsi="Times New Roman"/>
          <w:color w:val="auto"/>
        </w:rPr>
      </w:pPr>
      <w:r>
        <w:rPr>
          <w:rFonts w:ascii="Times New Roman" w:hAnsi="Times New Roman"/>
          <w:color w:val="auto"/>
        </w:rPr>
        <w:t>附件2-8技术文件和工艺文件清单</w:t>
      </w:r>
    </w:p>
    <w:p>
      <w:pPr>
        <w:snapToGrid w:val="0"/>
        <w:spacing w:line="360" w:lineRule="auto"/>
        <w:ind w:firstLine="420"/>
        <w:rPr>
          <w:rFonts w:ascii="Times New Roman" w:hAnsi="Times New Roman"/>
          <w:color w:val="auto"/>
        </w:rPr>
      </w:pPr>
      <w:r>
        <w:rPr>
          <w:rFonts w:ascii="Times New Roman" w:hAnsi="Times New Roman"/>
          <w:color w:val="auto"/>
        </w:rPr>
        <w:t>附件2-9产品质量安全管理制度和产品质量安全追溯制度文件清单</w:t>
      </w:r>
    </w:p>
    <w:p>
      <w:pPr>
        <w:snapToGrid w:val="0"/>
        <w:spacing w:line="360" w:lineRule="auto"/>
        <w:ind w:firstLine="420"/>
        <w:rPr>
          <w:rFonts w:ascii="Times New Roman" w:hAnsi="Times New Roman"/>
          <w:color w:val="auto"/>
        </w:rPr>
      </w:pPr>
      <w:r>
        <w:rPr>
          <w:rFonts w:ascii="Times New Roman" w:hAnsi="Times New Roman"/>
          <w:color w:val="auto"/>
        </w:rPr>
        <w:t>附件2-10企业执行的产品标准及相关标准清单</w:t>
      </w:r>
    </w:p>
    <w:p>
      <w:pPr>
        <w:pStyle w:val="12"/>
        <w:rPr>
          <w:rFonts w:ascii="Times New Roman" w:hAnsi="Times New Roman"/>
          <w:color w:val="auto"/>
        </w:rPr>
      </w:pPr>
    </w:p>
    <w:p>
      <w:pPr>
        <w:spacing w:line="360" w:lineRule="auto"/>
        <w:ind w:firstLine="420"/>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ind w:firstLine="420"/>
        <w:rPr>
          <w:rFonts w:ascii="Times New Roman" w:hAnsi="Times New Roman"/>
          <w:color w:val="auto"/>
        </w:rPr>
      </w:pPr>
      <w:r>
        <w:rPr>
          <w:rFonts w:ascii="Times New Roman" w:hAnsi="Times New Roman"/>
          <w:color w:val="auto"/>
        </w:rPr>
        <w:t>企业名称：                          （盖章）</w:t>
      </w: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ind w:firstLine="420"/>
        <w:rPr>
          <w:rFonts w:ascii="Times New Roman" w:hAnsi="Times New Roman"/>
          <w:color w:val="auto"/>
        </w:rPr>
      </w:pPr>
      <w:r>
        <w:rPr>
          <w:rFonts w:ascii="Times New Roman" w:hAnsi="Times New Roman"/>
          <w:color w:val="auto"/>
        </w:rPr>
        <w:t>企业代表签字：                       年  月  日</w:t>
      </w:r>
    </w:p>
    <w:p>
      <w:pPr>
        <w:spacing w:line="360" w:lineRule="auto"/>
        <w:ind w:firstLine="420"/>
        <w:rPr>
          <w:rFonts w:ascii="Times New Roman" w:hAnsi="Times New Roman"/>
          <w:color w:val="auto"/>
        </w:rPr>
      </w:pPr>
      <w:r>
        <w:rPr>
          <w:rFonts w:hint="eastAsia" w:ascii="Times New Roman" w:hAnsi="Times New Roman"/>
          <w:color w:val="auto"/>
        </w:rPr>
        <w:t>核查</w:t>
      </w:r>
      <w:r>
        <w:rPr>
          <w:rFonts w:ascii="Times New Roman" w:hAnsi="Times New Roman"/>
          <w:color w:val="auto"/>
        </w:rPr>
        <w:t>组确认签字：                     年  月  日</w:t>
      </w:r>
    </w:p>
    <w:p>
      <w:pPr>
        <w:spacing w:line="360" w:lineRule="auto"/>
        <w:rPr>
          <w:rFonts w:ascii="Times New Roman" w:hAnsi="Times New Roman"/>
          <w:color w:val="auto"/>
        </w:rPr>
      </w:pPr>
    </w:p>
    <w:p>
      <w:pPr>
        <w:snapToGrid w:val="0"/>
        <w:ind w:firstLine="420"/>
        <w:jc w:val="left"/>
        <w:rPr>
          <w:rFonts w:ascii="Times New Roman" w:hAnsi="Times New Roman"/>
          <w:color w:val="auto"/>
          <w:sz w:val="18"/>
          <w:szCs w:val="18"/>
        </w:rPr>
      </w:pPr>
      <w:r>
        <w:rPr>
          <w:rFonts w:ascii="Times New Roman" w:hAnsi="Times New Roman" w:eastAsia="黑体"/>
          <w:color w:val="auto"/>
          <w:sz w:val="18"/>
          <w:szCs w:val="18"/>
        </w:rPr>
        <w:t>注：</w:t>
      </w:r>
      <w:r>
        <w:rPr>
          <w:rFonts w:ascii="Times New Roman" w:hAnsi="Times New Roman"/>
          <w:color w:val="auto"/>
          <w:sz w:val="18"/>
          <w:szCs w:val="18"/>
        </w:rPr>
        <w:t>本清单内所有书面材料经实地核查确认后企业加盖骑缝章。</w:t>
      </w:r>
    </w:p>
    <w:p>
      <w:pPr>
        <w:spacing w:line="360" w:lineRule="auto"/>
        <w:rPr>
          <w:rFonts w:ascii="Times New Roman" w:hAnsi="Times New Roman"/>
          <w:color w:val="auto"/>
        </w:rPr>
      </w:pPr>
    </w:p>
    <w:p>
      <w:pPr>
        <w:spacing w:line="360" w:lineRule="auto"/>
        <w:rPr>
          <w:rFonts w:ascii="Times New Roman" w:hAnsi="Times New Roman"/>
          <w:color w:val="auto"/>
          <w:sz w:val="28"/>
          <w:szCs w:val="28"/>
        </w:rPr>
      </w:pPr>
    </w:p>
    <w:p>
      <w:pPr>
        <w:pStyle w:val="4"/>
        <w:spacing w:line="360" w:lineRule="auto"/>
        <w:rPr>
          <w:rFonts w:eastAsia="宋体"/>
          <w:color w:val="auto"/>
        </w:rPr>
        <w:sectPr>
          <w:pgSz w:w="11906" w:h="16838"/>
          <w:pgMar w:top="1418" w:right="1418" w:bottom="1418" w:left="1418" w:header="851" w:footer="992" w:gutter="0"/>
          <w:cols w:space="720" w:num="1"/>
          <w:docGrid w:linePitch="360" w:charSpace="6144"/>
        </w:sectPr>
      </w:pPr>
      <w:bookmarkStart w:id="36" w:name="_Toc507721784"/>
      <w:bookmarkEnd w:id="36"/>
    </w:p>
    <w:p>
      <w:pPr>
        <w:spacing w:line="360" w:lineRule="auto"/>
        <w:outlineLvl w:val="0"/>
        <w:rPr>
          <w:rFonts w:ascii="Times New Roman" w:hAnsi="Times New Roman"/>
          <w:color w:val="auto"/>
          <w:sz w:val="28"/>
          <w:szCs w:val="28"/>
        </w:rPr>
      </w:pPr>
      <w:r>
        <w:rPr>
          <w:rFonts w:ascii="Times New Roman" w:hAnsi="Times New Roman"/>
          <w:color w:val="auto"/>
          <w:sz w:val="28"/>
          <w:szCs w:val="28"/>
        </w:rPr>
        <w:t>附件2-1</w:t>
      </w:r>
    </w:p>
    <w:p>
      <w:pPr>
        <w:spacing w:line="380" w:lineRule="exact"/>
        <w:jc w:val="center"/>
        <w:outlineLvl w:val="0"/>
        <w:rPr>
          <w:rFonts w:ascii="Times New Roman" w:hAnsi="Times New Roman"/>
          <w:b/>
          <w:color w:val="auto"/>
          <w:sz w:val="28"/>
          <w:szCs w:val="28"/>
        </w:rPr>
      </w:pPr>
      <w:bookmarkStart w:id="37" w:name="_Toc178002842"/>
      <w:bookmarkStart w:id="38" w:name="_Toc178002560"/>
      <w:r>
        <w:rPr>
          <w:rFonts w:ascii="Times New Roman" w:hAnsi="Times New Roman"/>
          <w:b/>
          <w:color w:val="auto"/>
          <w:sz w:val="28"/>
          <w:szCs w:val="28"/>
        </w:rPr>
        <w:t>生产场所示意图</w:t>
      </w:r>
      <w:bookmarkEnd w:id="37"/>
      <w:bookmarkEnd w:id="38"/>
    </w:p>
    <w:p>
      <w:pPr>
        <w:snapToGrid w:val="0"/>
        <w:spacing w:line="380" w:lineRule="exact"/>
        <w:ind w:firstLine="7379"/>
        <w:jc w:val="left"/>
        <w:rPr>
          <w:rFonts w:ascii="Times New Roman" w:hAnsi="Times New Roman"/>
          <w:b/>
          <w:color w:val="auto"/>
          <w:sz w:val="28"/>
          <w:szCs w:val="28"/>
        </w:rPr>
      </w:pPr>
      <w:r>
        <w:rPr>
          <w:rFonts w:ascii="Times New Roman" w:hAnsi="Times New Roman"/>
          <w:b/>
          <w:color w:val="auto"/>
        </w:rPr>
        <w:t>第   页</w:t>
      </w:r>
      <w:r>
        <w:rPr>
          <w:rFonts w:hint="eastAsia" w:ascii="Times New Roman" w:hAnsi="Times New Roman"/>
          <w:b/>
          <w:color w:val="auto"/>
        </w:rPr>
        <w:t xml:space="preserve"> </w:t>
      </w:r>
      <w:r>
        <w:rPr>
          <w:rFonts w:ascii="Times New Roman" w:hAnsi="Times New Roman"/>
          <w:b/>
          <w:color w:val="auto"/>
        </w:rPr>
        <w:t xml:space="preserve"> 共   页</w:t>
      </w:r>
    </w:p>
    <w:tbl>
      <w:tblPr>
        <w:tblStyle w:val="37"/>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color w:val="auto"/>
              </w:rPr>
            </w:pPr>
            <w:r>
              <w:rPr>
                <w:rFonts w:ascii="Times New Roman" w:hAnsi="Times New Roman"/>
                <w:b/>
                <w:bCs/>
                <w:color w:val="auto"/>
              </w:rPr>
              <w:t>企业名称</w:t>
            </w:r>
          </w:p>
        </w:tc>
        <w:tc>
          <w:tcPr>
            <w:tcW w:w="7873" w:type="dxa"/>
            <w:tcBorders>
              <w:tl2br w:val="nil"/>
              <w:tr2bl w:val="nil"/>
            </w:tcBorders>
            <w:shd w:val="clear" w:color="000000" w:fill="FFFFFF"/>
            <w:vAlign w:val="center"/>
          </w:tcPr>
          <w:p>
            <w:pPr>
              <w:snapToGrid w:val="0"/>
              <w:rPr>
                <w:rFonts w:ascii="Times New Roman" w:hAnsi="Times New Roman"/>
                <w:color w:val="auto"/>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color w:val="auto"/>
              </w:rPr>
            </w:pPr>
            <w:r>
              <w:rPr>
                <w:rFonts w:ascii="Times New Roman" w:hAnsi="Times New Roman"/>
                <w:b/>
                <w:bCs/>
                <w:color w:val="auto"/>
              </w:rPr>
              <w:t>生产地址</w:t>
            </w:r>
          </w:p>
        </w:tc>
        <w:tc>
          <w:tcPr>
            <w:tcW w:w="7873" w:type="dxa"/>
            <w:tcBorders>
              <w:tl2br w:val="nil"/>
              <w:tr2bl w:val="nil"/>
            </w:tcBorders>
            <w:shd w:val="clear" w:color="000000" w:fill="FFFFFF"/>
            <w:vAlign w:val="center"/>
          </w:tcPr>
          <w:p>
            <w:pPr>
              <w:snapToGrid w:val="0"/>
              <w:rPr>
                <w:rFonts w:ascii="Times New Roman" w:hAnsi="Times New Roman"/>
                <w:color w:val="auto"/>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color w:val="auto"/>
              </w:rPr>
            </w:pPr>
            <w:r>
              <w:rPr>
                <w:rFonts w:ascii="Times New Roman" w:hAnsi="Times New Roman"/>
                <w:color w:val="auto"/>
              </w:rPr>
              <w:t>（生产场所示意图，应标明其相邻特征道路、建筑物或单位方位、距离等，以及企业生产线在场所里的具体位置）</w:t>
            </w:r>
          </w:p>
          <w:p>
            <w:pPr>
              <w:snapToGrid w:val="0"/>
              <w:rPr>
                <w:rFonts w:ascii="Times New Roman" w:hAnsi="Times New Roman"/>
                <w:color w:val="auto"/>
              </w:rPr>
            </w:pPr>
          </w:p>
          <w:p>
            <w:pPr>
              <w:snapToGrid w:val="0"/>
              <w:rPr>
                <w:rFonts w:ascii="Times New Roman" w:hAnsi="Times New Roman"/>
                <w:color w:val="auto"/>
              </w:rPr>
            </w:pPr>
          </w:p>
          <w:p>
            <w:pPr>
              <w:snapToGrid w:val="0"/>
              <w:rPr>
                <w:rFonts w:ascii="Times New Roman" w:hAnsi="Times New Roman"/>
                <w:color w:val="auto"/>
              </w:rPr>
            </w:pPr>
          </w:p>
          <w:p>
            <w:pPr>
              <w:snapToGrid w:val="0"/>
              <w:rPr>
                <w:rFonts w:ascii="Times New Roman" w:hAnsi="Times New Roman"/>
                <w:color w:val="auto"/>
              </w:rPr>
            </w:pPr>
          </w:p>
        </w:tc>
      </w:tr>
    </w:tbl>
    <w:p>
      <w:pPr>
        <w:pStyle w:val="54"/>
        <w:widowControl w:val="0"/>
        <w:adjustRightInd/>
        <w:spacing w:before="120" w:beforeLines="50" w:after="240" w:afterLines="100"/>
        <w:rPr>
          <w:rFonts w:ascii="Times New Roman" w:hAnsi="Times New Roman" w:eastAsia="黑体"/>
          <w:iCs/>
          <w:color w:val="auto"/>
          <w:sz w:val="18"/>
          <w:szCs w:val="18"/>
        </w:rPr>
      </w:pPr>
      <w:r>
        <w:rPr>
          <w:rFonts w:ascii="Times New Roman" w:hAnsi="Times New Roman" w:eastAsia="黑体"/>
          <w:iCs/>
          <w:color w:val="auto"/>
          <w:sz w:val="18"/>
          <w:szCs w:val="18"/>
        </w:rPr>
        <w:t>注：</w:t>
      </w:r>
      <w:r>
        <w:rPr>
          <w:rFonts w:ascii="Times New Roman" w:hAnsi="Times New Roman"/>
          <w:iCs/>
          <w:color w:val="auto"/>
          <w:sz w:val="18"/>
          <w:szCs w:val="18"/>
        </w:rPr>
        <w:t>企业多场点的，应按照场点分别绘制。</w:t>
      </w:r>
    </w:p>
    <w:p>
      <w:pPr>
        <w:pStyle w:val="54"/>
        <w:widowControl w:val="0"/>
        <w:adjustRightInd/>
        <w:spacing w:before="120" w:beforeLines="50" w:after="240" w:afterLines="100"/>
        <w:rPr>
          <w:rFonts w:ascii="Times New Roman" w:hAnsi="Times New Roman" w:eastAsia="黑体"/>
          <w:iCs/>
          <w:color w:val="auto"/>
          <w:sz w:val="18"/>
          <w:szCs w:val="18"/>
        </w:rPr>
        <w:sectPr>
          <w:pgSz w:w="11906" w:h="16838"/>
          <w:pgMar w:top="1418" w:right="1418" w:bottom="1418" w:left="1418" w:header="851" w:footer="992" w:gutter="0"/>
          <w:cols w:space="720" w:num="1"/>
          <w:docGrid w:linePitch="360" w:charSpace="6144"/>
        </w:sectPr>
      </w:pPr>
    </w:p>
    <w:p>
      <w:pPr>
        <w:snapToGrid w:val="0"/>
        <w:spacing w:line="360" w:lineRule="auto"/>
        <w:outlineLvl w:val="0"/>
        <w:rPr>
          <w:rFonts w:ascii="Times New Roman" w:hAnsi="Times New Roman"/>
          <w:color w:val="auto"/>
          <w:sz w:val="28"/>
          <w:szCs w:val="28"/>
        </w:rPr>
      </w:pPr>
      <w:r>
        <w:rPr>
          <w:rFonts w:ascii="Times New Roman" w:hAnsi="Times New Roman"/>
          <w:color w:val="auto"/>
          <w:sz w:val="28"/>
          <w:szCs w:val="28"/>
        </w:rPr>
        <w:t>附件2-2</w:t>
      </w:r>
    </w:p>
    <w:p>
      <w:pPr>
        <w:pStyle w:val="2"/>
        <w:snapToGrid w:val="0"/>
        <w:spacing w:before="340" w:after="330"/>
        <w:jc w:val="center"/>
        <w:rPr>
          <w:rFonts w:ascii="Times New Roman" w:hAnsi="Times New Roman"/>
          <w:b w:val="0"/>
          <w:color w:val="auto"/>
          <w:sz w:val="28"/>
          <w:szCs w:val="28"/>
        </w:rPr>
      </w:pPr>
      <w:bookmarkStart w:id="39" w:name="_Toc178002561"/>
      <w:bookmarkStart w:id="40" w:name="_Toc178002843"/>
      <w:bookmarkStart w:id="41" w:name="_Toc162467097"/>
      <w:r>
        <w:rPr>
          <w:rFonts w:ascii="Times New Roman" w:hAnsi="Times New Roman"/>
          <w:color w:val="auto"/>
          <w:sz w:val="28"/>
          <w:szCs w:val="28"/>
        </w:rPr>
        <w:t>主要工艺流程图</w:t>
      </w:r>
      <w:bookmarkEnd w:id="39"/>
      <w:bookmarkEnd w:id="40"/>
      <w:bookmarkEnd w:id="41"/>
    </w:p>
    <w:p>
      <w:pPr>
        <w:snapToGrid w:val="0"/>
        <w:spacing w:line="380" w:lineRule="exact"/>
        <w:ind w:firstLine="7379"/>
        <w:rPr>
          <w:rFonts w:ascii="Times New Roman" w:hAnsi="Times New Roman"/>
          <w:b/>
          <w:i/>
          <w:color w:val="auto"/>
          <w:sz w:val="30"/>
          <w:szCs w:val="30"/>
        </w:rPr>
      </w:pPr>
      <w:r>
        <w:rPr>
          <w:rFonts w:ascii="Times New Roman" w:hAnsi="Times New Roman"/>
          <w:b/>
          <w:color w:val="auto"/>
        </w:rPr>
        <w:t>第   页</w:t>
      </w:r>
      <w:r>
        <w:rPr>
          <w:rFonts w:hint="eastAsia" w:ascii="Times New Roman" w:hAnsi="Times New Roman"/>
          <w:b/>
          <w:color w:val="auto"/>
        </w:rPr>
        <w:t xml:space="preserve"> </w:t>
      </w:r>
      <w:r>
        <w:rPr>
          <w:rFonts w:ascii="Times New Roman" w:hAnsi="Times New Roman"/>
          <w:b/>
          <w:color w:val="auto"/>
        </w:rPr>
        <w:t xml:space="preserve"> 共   页</w:t>
      </w:r>
    </w:p>
    <w:tbl>
      <w:tblPr>
        <w:tblStyle w:val="37"/>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color w:val="auto"/>
              </w:rPr>
            </w:pPr>
            <w:r>
              <w:rPr>
                <w:rFonts w:ascii="Times New Roman" w:hAnsi="Times New Roman"/>
                <w:b/>
                <w:color w:val="auto"/>
              </w:rPr>
              <w:t>产品单元</w:t>
            </w:r>
          </w:p>
        </w:tc>
        <w:tc>
          <w:tcPr>
            <w:tcW w:w="7955" w:type="dxa"/>
            <w:tcBorders>
              <w:tl2br w:val="nil"/>
              <w:tr2bl w:val="nil"/>
            </w:tcBorders>
            <w:shd w:val="clear" w:color="000000" w:fill="FFFFFF"/>
            <w:vAlign w:val="center"/>
          </w:tcPr>
          <w:p>
            <w:pPr>
              <w:snapToGrid w:val="0"/>
              <w:rPr>
                <w:rFonts w:ascii="Times New Roman" w:hAnsi="Times New Roman"/>
                <w:b/>
                <w:color w:val="auto"/>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color w:val="auto"/>
              </w:rPr>
            </w:pPr>
            <w:r>
              <w:rPr>
                <w:rFonts w:ascii="Times New Roman" w:hAnsi="Times New Roman"/>
                <w:b/>
                <w:color w:val="auto"/>
              </w:rPr>
              <w:t>工艺流程图</w:t>
            </w:r>
          </w:p>
          <w:p>
            <w:pPr>
              <w:snapToGrid w:val="0"/>
              <w:jc w:val="center"/>
              <w:rPr>
                <w:rFonts w:ascii="Times New Roman" w:hAnsi="Times New Roman"/>
                <w:b/>
                <w:color w:val="auto"/>
              </w:rPr>
            </w:pPr>
            <w:r>
              <w:rPr>
                <w:rFonts w:ascii="Times New Roman" w:hAnsi="Times New Roman"/>
                <w:b/>
                <w:color w:val="auto"/>
              </w:rPr>
              <w:t>（企业填写）</w:t>
            </w:r>
          </w:p>
        </w:tc>
        <w:tc>
          <w:tcPr>
            <w:tcW w:w="7955" w:type="dxa"/>
            <w:tcBorders>
              <w:tl2br w:val="nil"/>
              <w:tr2bl w:val="nil"/>
            </w:tcBorders>
            <w:shd w:val="clear" w:color="000000" w:fill="FFFFFF"/>
          </w:tcPr>
          <w:p>
            <w:pPr>
              <w:snapToGrid w:val="0"/>
              <w:rPr>
                <w:rFonts w:ascii="Times New Roman" w:hAnsi="Times New Roman"/>
                <w:color w:val="auto"/>
              </w:rPr>
            </w:pPr>
            <w:r>
              <w:rPr>
                <w:rFonts w:ascii="Times New Roman" w:hAnsi="Times New Roman"/>
                <w:color w:val="auto"/>
              </w:rPr>
              <w:t>以框图+箭头方式表述企业生产该产品的实际工艺流程、并以“★”在相应的框图上表示关键工序、以“▲”表示质量控制点。</w:t>
            </w:r>
          </w:p>
          <w:p>
            <w:pPr>
              <w:snapToGrid w:val="0"/>
              <w:rPr>
                <w:rFonts w:ascii="Times New Roman" w:hAnsi="Times New Roman"/>
                <w:color w:val="auto"/>
              </w:rPr>
            </w:pPr>
          </w:p>
          <w:p>
            <w:pPr>
              <w:snapToGrid w:val="0"/>
              <w:rPr>
                <w:rFonts w:ascii="Times New Roman" w:hAnsi="Times New Roman"/>
                <w:color w:val="auto"/>
              </w:rPr>
            </w:pPr>
          </w:p>
          <w:p>
            <w:pPr>
              <w:snapToGrid w:val="0"/>
              <w:rPr>
                <w:rFonts w:ascii="Times New Roman" w:hAnsi="Times New Roman"/>
                <w:color w:val="auto"/>
              </w:rPr>
            </w:pPr>
          </w:p>
          <w:p>
            <w:pPr>
              <w:ind w:firstLine="420"/>
              <w:rPr>
                <w:rFonts w:ascii="Times New Roman" w:hAnsi="Times New Roman"/>
                <w:color w:val="auto"/>
              </w:rPr>
            </w:pPr>
          </w:p>
        </w:tc>
      </w:tr>
    </w:tbl>
    <w:p>
      <w:pPr>
        <w:pStyle w:val="54"/>
        <w:widowControl w:val="0"/>
        <w:adjustRightInd/>
        <w:spacing w:before="120" w:beforeLines="50" w:after="240" w:afterLines="100"/>
        <w:rPr>
          <w:rFonts w:ascii="Times New Roman" w:hAnsi="Times New Roman"/>
          <w:color w:val="auto"/>
          <w:sz w:val="28"/>
          <w:szCs w:val="28"/>
        </w:rPr>
      </w:pPr>
      <w:r>
        <w:rPr>
          <w:rFonts w:ascii="Times New Roman" w:hAnsi="Times New Roman" w:eastAsia="黑体"/>
          <w:iCs/>
          <w:color w:val="auto"/>
          <w:sz w:val="18"/>
          <w:szCs w:val="18"/>
        </w:rPr>
        <w:t>注：</w:t>
      </w:r>
      <w:r>
        <w:rPr>
          <w:rFonts w:ascii="Times New Roman" w:hAnsi="Times New Roman"/>
          <w:iCs/>
          <w:color w:val="auto"/>
          <w:sz w:val="18"/>
          <w:szCs w:val="18"/>
        </w:rPr>
        <w:t>如果产品单元中各磷肥种类的生产工艺不同，则应分别绘制。</w:t>
      </w:r>
    </w:p>
    <w:p>
      <w:pPr>
        <w:pStyle w:val="4"/>
        <w:spacing w:line="360" w:lineRule="auto"/>
        <w:outlineLvl w:val="0"/>
        <w:rPr>
          <w:rFonts w:eastAsia="宋体"/>
          <w:b w:val="0"/>
          <w:color w:val="auto"/>
          <w:sz w:val="28"/>
          <w:szCs w:val="28"/>
        </w:rPr>
      </w:pPr>
      <w:bookmarkStart w:id="42" w:name="_Toc178002562"/>
      <w:r>
        <w:rPr>
          <w:rFonts w:eastAsia="宋体"/>
          <w:b w:val="0"/>
          <w:color w:val="auto"/>
          <w:sz w:val="28"/>
          <w:szCs w:val="28"/>
        </w:rPr>
        <w:t>附件2-3</w:t>
      </w:r>
      <w:bookmarkEnd w:id="42"/>
    </w:p>
    <w:p>
      <w:pPr>
        <w:spacing w:after="120"/>
        <w:jc w:val="center"/>
        <w:outlineLvl w:val="0"/>
        <w:rPr>
          <w:rFonts w:ascii="Times New Roman" w:hAnsi="Times New Roman"/>
          <w:color w:val="auto"/>
        </w:rPr>
      </w:pPr>
      <w:bookmarkStart w:id="43" w:name="_Toc178002563"/>
      <w:bookmarkStart w:id="44" w:name="_Toc178002844"/>
      <w:r>
        <w:rPr>
          <w:rFonts w:ascii="Times New Roman" w:hAnsi="Times New Roman"/>
          <w:b/>
          <w:color w:val="auto"/>
          <w:sz w:val="28"/>
          <w:szCs w:val="28"/>
        </w:rPr>
        <w:t>主要生产设施和检验检测设施表</w:t>
      </w:r>
      <w:bookmarkEnd w:id="43"/>
      <w:bookmarkEnd w:id="44"/>
    </w:p>
    <w:tbl>
      <w:tblPr>
        <w:tblStyle w:val="37"/>
        <w:tblW w:w="100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0"/>
        <w:gridCol w:w="1081"/>
        <w:gridCol w:w="3309"/>
        <w:gridCol w:w="2722"/>
        <w:gridCol w:w="1556"/>
        <w:gridCol w:w="6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680" w:type="dxa"/>
            <w:vAlign w:val="center"/>
          </w:tcPr>
          <w:p>
            <w:pPr>
              <w:jc w:val="center"/>
              <w:rPr>
                <w:rFonts w:ascii="Times New Roman" w:hAnsi="Times New Roman"/>
                <w:b/>
                <w:color w:val="auto"/>
              </w:rPr>
            </w:pPr>
            <w:r>
              <w:rPr>
                <w:rFonts w:ascii="Times New Roman" w:hAnsi="Times New Roman"/>
                <w:b/>
                <w:color w:val="auto"/>
              </w:rPr>
              <w:t>序号</w:t>
            </w:r>
          </w:p>
        </w:tc>
        <w:tc>
          <w:tcPr>
            <w:tcW w:w="1081" w:type="dxa"/>
            <w:vAlign w:val="center"/>
          </w:tcPr>
          <w:p>
            <w:pPr>
              <w:jc w:val="center"/>
              <w:rPr>
                <w:rFonts w:ascii="Times New Roman" w:hAnsi="Times New Roman"/>
                <w:b/>
                <w:color w:val="auto"/>
              </w:rPr>
            </w:pPr>
            <w:r>
              <w:rPr>
                <w:rFonts w:ascii="Times New Roman" w:hAnsi="Times New Roman"/>
                <w:b/>
                <w:color w:val="auto"/>
              </w:rPr>
              <w:t>产品单元</w:t>
            </w:r>
          </w:p>
        </w:tc>
        <w:tc>
          <w:tcPr>
            <w:tcW w:w="3309" w:type="dxa"/>
            <w:vAlign w:val="center"/>
          </w:tcPr>
          <w:p>
            <w:pPr>
              <w:jc w:val="center"/>
              <w:rPr>
                <w:rFonts w:ascii="Times New Roman" w:hAnsi="Times New Roman"/>
                <w:b/>
                <w:color w:val="auto"/>
              </w:rPr>
            </w:pPr>
            <w:r>
              <w:rPr>
                <w:rFonts w:ascii="Times New Roman" w:hAnsi="Times New Roman"/>
                <w:b/>
                <w:color w:val="auto"/>
              </w:rPr>
              <w:t>生产设施和检验检测设施名称</w:t>
            </w:r>
          </w:p>
        </w:tc>
        <w:tc>
          <w:tcPr>
            <w:tcW w:w="2722" w:type="dxa"/>
            <w:vAlign w:val="center"/>
          </w:tcPr>
          <w:p>
            <w:pPr>
              <w:jc w:val="center"/>
              <w:rPr>
                <w:rFonts w:ascii="Times New Roman" w:hAnsi="Times New Roman"/>
                <w:b/>
                <w:color w:val="auto"/>
              </w:rPr>
            </w:pPr>
            <w:r>
              <w:rPr>
                <w:rFonts w:ascii="Times New Roman" w:hAnsi="Times New Roman"/>
                <w:b/>
                <w:color w:val="auto"/>
              </w:rPr>
              <w:t>设施特征及用途描述</w:t>
            </w:r>
          </w:p>
        </w:tc>
        <w:tc>
          <w:tcPr>
            <w:tcW w:w="1556" w:type="dxa"/>
            <w:vAlign w:val="center"/>
          </w:tcPr>
          <w:p>
            <w:pPr>
              <w:jc w:val="center"/>
              <w:rPr>
                <w:rFonts w:ascii="Times New Roman" w:hAnsi="Times New Roman"/>
                <w:b/>
                <w:color w:val="auto"/>
              </w:rPr>
            </w:pPr>
            <w:r>
              <w:rPr>
                <w:rFonts w:ascii="Times New Roman" w:hAnsi="Times New Roman"/>
                <w:b/>
                <w:color w:val="auto"/>
              </w:rPr>
              <w:t>生产地址</w:t>
            </w:r>
          </w:p>
        </w:tc>
        <w:tc>
          <w:tcPr>
            <w:tcW w:w="682" w:type="dxa"/>
            <w:vAlign w:val="center"/>
          </w:tcPr>
          <w:p>
            <w:pPr>
              <w:jc w:val="center"/>
              <w:rPr>
                <w:rFonts w:ascii="Times New Roman" w:hAnsi="Times New Roman"/>
                <w:b/>
                <w:color w:val="auto"/>
              </w:rPr>
            </w:pPr>
            <w:r>
              <w:rPr>
                <w:rFonts w:ascii="Times New Roman" w:hAnsi="Times New Roman"/>
                <w:b/>
                <w:color w:val="auto"/>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3309" w:type="dxa"/>
          </w:tcPr>
          <w:p>
            <w:pPr>
              <w:rPr>
                <w:rFonts w:ascii="Times New Roman" w:hAnsi="Times New Roman"/>
                <w:color w:val="auto"/>
              </w:rPr>
            </w:pPr>
          </w:p>
        </w:tc>
        <w:tc>
          <w:tcPr>
            <w:tcW w:w="2722" w:type="dxa"/>
          </w:tcPr>
          <w:p>
            <w:pPr>
              <w:rPr>
                <w:rFonts w:ascii="Times New Roman" w:hAnsi="Times New Roman"/>
                <w:color w:val="auto"/>
              </w:rPr>
            </w:pPr>
          </w:p>
        </w:tc>
        <w:tc>
          <w:tcPr>
            <w:tcW w:w="1556" w:type="dxa"/>
          </w:tcPr>
          <w:p>
            <w:pPr>
              <w:rPr>
                <w:rFonts w:ascii="Times New Roman" w:hAnsi="Times New Roman"/>
                <w:color w:val="auto"/>
              </w:rPr>
            </w:pPr>
          </w:p>
        </w:tc>
        <w:tc>
          <w:tcPr>
            <w:tcW w:w="682" w:type="dxa"/>
          </w:tcPr>
          <w:p>
            <w:pPr>
              <w:rPr>
                <w:rFonts w:ascii="Times New Roman" w:hAnsi="Times New Roman"/>
                <w:color w:val="auto"/>
              </w:rPr>
            </w:pPr>
          </w:p>
        </w:tc>
      </w:tr>
    </w:tbl>
    <w:p>
      <w:pPr>
        <w:pStyle w:val="54"/>
        <w:widowControl w:val="0"/>
        <w:adjustRightInd/>
        <w:spacing w:before="120" w:beforeLines="50" w:after="240" w:afterLines="100"/>
        <w:rPr>
          <w:rFonts w:ascii="Times New Roman" w:hAnsi="Times New Roman" w:eastAsia="黑体"/>
          <w:iCs/>
          <w:color w:val="auto"/>
          <w:sz w:val="18"/>
          <w:szCs w:val="18"/>
        </w:rPr>
      </w:pPr>
      <w:r>
        <w:rPr>
          <w:rFonts w:ascii="Times New Roman" w:hAnsi="Times New Roman" w:eastAsia="黑体"/>
          <w:iCs/>
          <w:color w:val="auto"/>
          <w:sz w:val="18"/>
          <w:szCs w:val="18"/>
        </w:rPr>
        <w:t>注：</w:t>
      </w:r>
      <w:r>
        <w:rPr>
          <w:rFonts w:ascii="Times New Roman" w:hAnsi="Times New Roman"/>
          <w:iCs/>
          <w:color w:val="auto"/>
          <w:sz w:val="18"/>
          <w:szCs w:val="18"/>
        </w:rPr>
        <w:t>企业多场点的，按场点分别填写。</w:t>
      </w:r>
    </w:p>
    <w:p>
      <w:pPr>
        <w:pStyle w:val="54"/>
        <w:widowControl w:val="0"/>
        <w:adjustRightInd/>
        <w:spacing w:before="120" w:beforeLines="50" w:after="240" w:afterLines="100"/>
        <w:rPr>
          <w:rFonts w:ascii="Times New Roman" w:hAnsi="Times New Roman" w:eastAsia="黑体"/>
          <w:iCs/>
          <w:color w:val="auto"/>
          <w:sz w:val="18"/>
          <w:szCs w:val="18"/>
        </w:rPr>
        <w:sectPr>
          <w:pgSz w:w="11906" w:h="16838"/>
          <w:pgMar w:top="1418" w:right="1417" w:bottom="1418" w:left="1417" w:header="851" w:footer="992" w:gutter="0"/>
          <w:cols w:space="720" w:num="1"/>
          <w:docGrid w:linePitch="1" w:charSpace="0"/>
        </w:sectPr>
      </w:pPr>
    </w:p>
    <w:p>
      <w:pPr>
        <w:snapToGrid w:val="0"/>
        <w:spacing w:line="360" w:lineRule="auto"/>
        <w:ind w:left="2716" w:hanging="2716"/>
        <w:outlineLvl w:val="0"/>
        <w:rPr>
          <w:rFonts w:ascii="Times New Roman" w:hAnsi="Times New Roman"/>
          <w:color w:val="auto"/>
          <w:sz w:val="28"/>
          <w:szCs w:val="28"/>
        </w:rPr>
      </w:pPr>
      <w:r>
        <w:rPr>
          <w:rFonts w:ascii="Times New Roman" w:hAnsi="Times New Roman"/>
          <w:color w:val="auto"/>
          <w:sz w:val="28"/>
          <w:szCs w:val="28"/>
        </w:rPr>
        <w:t>附件2-4</w:t>
      </w:r>
    </w:p>
    <w:p>
      <w:pPr>
        <w:snapToGrid w:val="0"/>
        <w:spacing w:after="192" w:line="380" w:lineRule="exact"/>
        <w:jc w:val="center"/>
        <w:rPr>
          <w:rFonts w:ascii="Times New Roman" w:hAnsi="Times New Roman"/>
          <w:b/>
          <w:color w:val="auto"/>
          <w:sz w:val="28"/>
          <w:szCs w:val="28"/>
        </w:rPr>
      </w:pPr>
      <w:r>
        <w:rPr>
          <w:rFonts w:ascii="Times New Roman" w:hAnsi="Times New Roman"/>
          <w:b/>
          <w:color w:val="auto"/>
          <w:sz w:val="28"/>
          <w:szCs w:val="28"/>
        </w:rPr>
        <w:t>主要生产设备表</w:t>
      </w:r>
    </w:p>
    <w:tbl>
      <w:tblPr>
        <w:tblStyle w:val="37"/>
        <w:tblW w:w="14894" w:type="dxa"/>
        <w:jc w:val="center"/>
        <w:tblLayout w:type="fixed"/>
        <w:tblCellMar>
          <w:top w:w="0" w:type="dxa"/>
          <w:left w:w="108" w:type="dxa"/>
          <w:bottom w:w="0" w:type="dxa"/>
          <w:right w:w="108" w:type="dxa"/>
        </w:tblCellMar>
      </w:tblPr>
      <w:tblGrid>
        <w:gridCol w:w="746"/>
        <w:gridCol w:w="1248"/>
        <w:gridCol w:w="1403"/>
        <w:gridCol w:w="2283"/>
        <w:gridCol w:w="1843"/>
        <w:gridCol w:w="1842"/>
        <w:gridCol w:w="2552"/>
        <w:gridCol w:w="1559"/>
        <w:gridCol w:w="1418"/>
      </w:tblGrid>
      <w:tr>
        <w:trPr>
          <w:trHeight w:val="567"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序号</w:t>
            </w: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产品单元</w:t>
            </w: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磷肥种类</w:t>
            </w: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生产设备名称</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规格型号</w:t>
            </w: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出厂编号</w:t>
            </w: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使用场所（放置位置）及所在生产线</w:t>
            </w: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生产厂家</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备注</w:t>
            </w: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0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2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bl>
    <w:p>
      <w:pPr>
        <w:pStyle w:val="54"/>
        <w:widowControl w:val="0"/>
        <w:adjustRightInd/>
        <w:spacing w:before="120" w:beforeLines="50" w:after="240" w:afterLines="100"/>
        <w:rPr>
          <w:rFonts w:ascii="Times New Roman" w:hAnsi="Times New Roman" w:eastAsia="黑体"/>
          <w:iCs/>
          <w:color w:val="auto"/>
          <w:sz w:val="18"/>
          <w:szCs w:val="18"/>
        </w:rPr>
      </w:pPr>
      <w:r>
        <w:rPr>
          <w:rFonts w:ascii="Times New Roman" w:hAnsi="Times New Roman" w:eastAsia="黑体"/>
          <w:iCs/>
          <w:color w:val="auto"/>
          <w:sz w:val="18"/>
          <w:szCs w:val="18"/>
        </w:rPr>
        <w:t>注：</w:t>
      </w:r>
      <w:r>
        <w:rPr>
          <w:rFonts w:ascii="Times New Roman" w:hAnsi="Times New Roman"/>
          <w:iCs/>
          <w:color w:val="auto"/>
          <w:sz w:val="18"/>
          <w:szCs w:val="18"/>
        </w:rPr>
        <w:t>企业多场点的，应按照场点分别填写，并在备注中注明生产场点。</w:t>
      </w:r>
      <w:r>
        <w:rPr>
          <w:rFonts w:ascii="Times New Roman" w:hAnsi="Times New Roman" w:eastAsia="黑体"/>
          <w:iCs/>
          <w:color w:val="auto"/>
          <w:sz w:val="18"/>
          <w:szCs w:val="18"/>
        </w:rPr>
        <w:br w:type="page"/>
      </w:r>
    </w:p>
    <w:p>
      <w:pPr>
        <w:pStyle w:val="4"/>
        <w:spacing w:line="360" w:lineRule="auto"/>
        <w:ind w:left="2716" w:hanging="2716"/>
        <w:outlineLvl w:val="0"/>
        <w:rPr>
          <w:rFonts w:eastAsia="宋体"/>
          <w:b w:val="0"/>
          <w:color w:val="auto"/>
          <w:sz w:val="28"/>
          <w:szCs w:val="28"/>
        </w:rPr>
      </w:pPr>
      <w:bookmarkStart w:id="45" w:name="_Toc178002564"/>
      <w:r>
        <w:rPr>
          <w:rFonts w:eastAsia="宋体"/>
          <w:b w:val="0"/>
          <w:color w:val="auto"/>
          <w:sz w:val="28"/>
          <w:szCs w:val="28"/>
        </w:rPr>
        <w:t>附件2-5</w:t>
      </w:r>
      <w:bookmarkEnd w:id="45"/>
    </w:p>
    <w:p>
      <w:pPr>
        <w:snapToGrid w:val="0"/>
        <w:jc w:val="center"/>
        <w:rPr>
          <w:rFonts w:ascii="Times New Roman" w:hAnsi="Times New Roman"/>
          <w:b/>
          <w:color w:val="auto"/>
          <w:sz w:val="28"/>
          <w:szCs w:val="28"/>
        </w:rPr>
      </w:pPr>
      <w:r>
        <w:rPr>
          <w:rFonts w:ascii="Times New Roman" w:hAnsi="Times New Roman"/>
          <w:b/>
          <w:color w:val="auto"/>
          <w:sz w:val="28"/>
          <w:szCs w:val="28"/>
        </w:rPr>
        <w:t>主要检验检测设备表</w:t>
      </w:r>
    </w:p>
    <w:tbl>
      <w:tblPr>
        <w:tblStyle w:val="37"/>
        <w:tblW w:w="15185" w:type="dxa"/>
        <w:jc w:val="center"/>
        <w:tblLayout w:type="fixed"/>
        <w:tblCellMar>
          <w:top w:w="0" w:type="dxa"/>
          <w:left w:w="108" w:type="dxa"/>
          <w:bottom w:w="0" w:type="dxa"/>
          <w:right w:w="108" w:type="dxa"/>
        </w:tblCellMar>
      </w:tblPr>
      <w:tblGrid>
        <w:gridCol w:w="714"/>
        <w:gridCol w:w="1384"/>
        <w:gridCol w:w="1866"/>
        <w:gridCol w:w="2432"/>
        <w:gridCol w:w="1701"/>
        <w:gridCol w:w="2127"/>
        <w:gridCol w:w="1842"/>
        <w:gridCol w:w="1843"/>
        <w:gridCol w:w="1276"/>
      </w:tblGrid>
      <w:tr>
        <w:tblPrEx>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序号</w:t>
            </w:r>
          </w:p>
        </w:tc>
        <w:tc>
          <w:tcPr>
            <w:tcW w:w="1384"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b/>
                <w:color w:val="auto"/>
              </w:rPr>
              <w:t>产品单元</w:t>
            </w:r>
          </w:p>
        </w:tc>
        <w:tc>
          <w:tcPr>
            <w:tcW w:w="1866"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磷肥种类</w:t>
            </w: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检验检测设备名称</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规格型号</w:t>
            </w:r>
          </w:p>
        </w:tc>
        <w:tc>
          <w:tcPr>
            <w:tcW w:w="212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color w:val="auto"/>
              </w:rPr>
            </w:pPr>
            <w:r>
              <w:rPr>
                <w:rFonts w:ascii="Times New Roman" w:hAnsi="Times New Roman"/>
                <w:b/>
                <w:color w:val="auto"/>
              </w:rPr>
              <w:t>生产厂家</w:t>
            </w:r>
          </w:p>
        </w:tc>
        <w:tc>
          <w:tcPr>
            <w:tcW w:w="184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color w:val="auto"/>
              </w:rPr>
            </w:pPr>
            <w:r>
              <w:rPr>
                <w:rFonts w:ascii="Times New Roman" w:hAnsi="Times New Roman"/>
                <w:b/>
                <w:color w:val="auto"/>
              </w:rPr>
              <w:t>出厂编号</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精度或测量范围</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备注</w:t>
            </w: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43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bl>
    <w:p>
      <w:pPr>
        <w:pStyle w:val="54"/>
        <w:widowControl w:val="0"/>
        <w:adjustRightInd/>
        <w:spacing w:before="120" w:beforeLines="50" w:after="240" w:afterLines="100"/>
        <w:rPr>
          <w:rFonts w:ascii="Times New Roman" w:hAnsi="Times New Roman" w:eastAsia="黑体"/>
          <w:iCs/>
          <w:color w:val="auto"/>
          <w:sz w:val="18"/>
          <w:szCs w:val="18"/>
        </w:rPr>
      </w:pPr>
      <w:r>
        <w:rPr>
          <w:rFonts w:ascii="Times New Roman" w:hAnsi="Times New Roman" w:eastAsia="黑体"/>
          <w:iCs/>
          <w:color w:val="auto"/>
          <w:sz w:val="18"/>
          <w:szCs w:val="18"/>
        </w:rPr>
        <w:t>注：</w:t>
      </w:r>
      <w:r>
        <w:rPr>
          <w:rFonts w:ascii="Times New Roman" w:hAnsi="Times New Roman"/>
          <w:iCs/>
          <w:color w:val="auto"/>
          <w:sz w:val="18"/>
          <w:szCs w:val="18"/>
        </w:rPr>
        <w:t>企业多场点的，应按照场点分别填写，并在备注中标明生产场点。</w:t>
      </w:r>
    </w:p>
    <w:p>
      <w:pPr>
        <w:pStyle w:val="54"/>
        <w:widowControl w:val="0"/>
        <w:adjustRightInd/>
        <w:spacing w:before="120" w:beforeLines="50" w:after="240" w:afterLines="100"/>
        <w:rPr>
          <w:rFonts w:ascii="Times New Roman" w:hAnsi="Times New Roman" w:eastAsia="黑体"/>
          <w:iCs/>
          <w:color w:val="auto"/>
          <w:sz w:val="18"/>
          <w:szCs w:val="18"/>
        </w:rPr>
        <w:sectPr>
          <w:pgSz w:w="16838" w:h="11906" w:orient="landscape"/>
          <w:pgMar w:top="1418" w:right="1418" w:bottom="1418" w:left="1418" w:header="851" w:footer="992" w:gutter="0"/>
          <w:cols w:space="720" w:num="1"/>
          <w:docGrid w:linePitch="360" w:charSpace="6144"/>
        </w:sectPr>
      </w:pPr>
    </w:p>
    <w:p>
      <w:pPr>
        <w:snapToGrid w:val="0"/>
        <w:spacing w:line="360" w:lineRule="auto"/>
        <w:ind w:left="2716" w:hanging="2716"/>
        <w:outlineLvl w:val="0"/>
        <w:rPr>
          <w:rFonts w:ascii="Times New Roman" w:hAnsi="Times New Roman"/>
          <w:color w:val="auto"/>
          <w:sz w:val="28"/>
          <w:szCs w:val="28"/>
        </w:rPr>
      </w:pPr>
      <w:r>
        <w:rPr>
          <w:rFonts w:ascii="Times New Roman" w:hAnsi="Times New Roman"/>
          <w:color w:val="auto"/>
          <w:sz w:val="28"/>
          <w:szCs w:val="28"/>
        </w:rPr>
        <w:t>附件2-6</w:t>
      </w:r>
    </w:p>
    <w:p>
      <w:pPr>
        <w:pStyle w:val="3"/>
        <w:jc w:val="center"/>
        <w:rPr>
          <w:rStyle w:val="76"/>
          <w:rFonts w:ascii="Times New Roman" w:hAnsi="Times New Roman"/>
          <w:color w:val="auto"/>
          <w:sz w:val="28"/>
          <w:szCs w:val="28"/>
        </w:rPr>
      </w:pPr>
      <w:bookmarkStart w:id="46" w:name="_Toc178002565"/>
      <w:bookmarkStart w:id="47" w:name="_Toc178002845"/>
      <w:r>
        <w:rPr>
          <w:rStyle w:val="76"/>
          <w:rFonts w:ascii="Times New Roman" w:hAnsi="Times New Roman"/>
          <w:color w:val="auto"/>
          <w:sz w:val="28"/>
          <w:szCs w:val="28"/>
        </w:rPr>
        <w:t>主要原材料明细表</w:t>
      </w:r>
      <w:bookmarkEnd w:id="46"/>
      <w:bookmarkEnd w:id="47"/>
    </w:p>
    <w:tbl>
      <w:tblPr>
        <w:tblStyle w:val="37"/>
        <w:tblW w:w="10202" w:type="dxa"/>
        <w:jc w:val="center"/>
        <w:tblLayout w:type="fixed"/>
        <w:tblCellMar>
          <w:top w:w="0" w:type="dxa"/>
          <w:left w:w="108" w:type="dxa"/>
          <w:bottom w:w="0" w:type="dxa"/>
          <w:right w:w="108" w:type="dxa"/>
        </w:tblCellMar>
      </w:tblPr>
      <w:tblGrid>
        <w:gridCol w:w="1271"/>
        <w:gridCol w:w="1418"/>
        <w:gridCol w:w="1418"/>
        <w:gridCol w:w="1842"/>
        <w:gridCol w:w="1276"/>
        <w:gridCol w:w="1276"/>
        <w:gridCol w:w="1701"/>
      </w:tblGrid>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产品单元</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bCs/>
                <w:color w:val="auto"/>
              </w:rPr>
              <w:t>磷肥种类</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原材料名称</w:t>
            </w: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原材料生产厂家</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进货检验</w:t>
            </w:r>
          </w:p>
          <w:p>
            <w:pPr>
              <w:snapToGrid w:val="0"/>
              <w:ind w:left="113"/>
              <w:jc w:val="center"/>
              <w:rPr>
                <w:rFonts w:ascii="Times New Roman" w:hAnsi="Times New Roman"/>
                <w:b/>
                <w:color w:val="auto"/>
              </w:rPr>
            </w:pPr>
            <w:r>
              <w:rPr>
                <w:rFonts w:ascii="Times New Roman" w:hAnsi="Times New Roman"/>
                <w:b/>
                <w:color w:val="auto"/>
              </w:rPr>
              <w:t>依据标准</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技术要求</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生产方式</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rPr>
          <w:trHeight w:val="691"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bl>
    <w:p>
      <w:pPr>
        <w:pStyle w:val="54"/>
        <w:widowControl w:val="0"/>
        <w:adjustRightInd/>
        <w:spacing w:before="156" w:beforeLines="50" w:after="312" w:afterLines="100"/>
        <w:rPr>
          <w:rFonts w:ascii="Times New Roman" w:hAnsi="Times New Roman" w:eastAsia="黑体"/>
          <w:iCs/>
          <w:color w:val="auto"/>
          <w:sz w:val="18"/>
          <w:szCs w:val="18"/>
        </w:rPr>
      </w:pPr>
      <w:r>
        <w:rPr>
          <w:rFonts w:ascii="Times New Roman" w:hAnsi="Times New Roman" w:eastAsia="黑体"/>
          <w:iCs/>
          <w:color w:val="auto"/>
          <w:sz w:val="18"/>
          <w:szCs w:val="18"/>
        </w:rPr>
        <w:t>注：</w:t>
      </w:r>
      <w:r>
        <w:rPr>
          <w:rFonts w:ascii="Times New Roman" w:hAnsi="Times New Roman"/>
          <w:iCs/>
          <w:color w:val="auto"/>
          <w:sz w:val="18"/>
          <w:szCs w:val="18"/>
        </w:rPr>
        <w:t>不同产品单元填写的内容完全相同，可合并填写。</w:t>
      </w:r>
    </w:p>
    <w:p>
      <w:pPr>
        <w:pStyle w:val="54"/>
        <w:widowControl w:val="0"/>
        <w:adjustRightInd/>
        <w:spacing w:before="156" w:beforeLines="50" w:after="312" w:afterLines="100"/>
        <w:rPr>
          <w:rFonts w:ascii="Times New Roman" w:hAnsi="Times New Roman" w:eastAsia="黑体"/>
          <w:iCs/>
          <w:color w:val="auto"/>
          <w:sz w:val="18"/>
          <w:szCs w:val="18"/>
        </w:rPr>
        <w:sectPr>
          <w:pgSz w:w="11906" w:h="16838"/>
          <w:pgMar w:top="1440" w:right="1800" w:bottom="1440" w:left="1800" w:header="851" w:footer="992" w:gutter="0"/>
          <w:cols w:space="720" w:num="1"/>
          <w:docGrid w:type="lines" w:linePitch="312" w:charSpace="0"/>
        </w:sectPr>
      </w:pPr>
    </w:p>
    <w:p>
      <w:pPr>
        <w:pStyle w:val="4"/>
        <w:spacing w:line="360" w:lineRule="auto"/>
        <w:ind w:left="2716" w:hanging="2716"/>
        <w:outlineLvl w:val="0"/>
        <w:rPr>
          <w:rFonts w:eastAsia="宋体"/>
          <w:b w:val="0"/>
          <w:color w:val="auto"/>
          <w:sz w:val="28"/>
          <w:szCs w:val="28"/>
        </w:rPr>
      </w:pPr>
      <w:bookmarkStart w:id="48" w:name="_Toc178002566"/>
      <w:r>
        <w:rPr>
          <w:rFonts w:eastAsia="宋体"/>
          <w:b w:val="0"/>
          <w:color w:val="auto"/>
          <w:sz w:val="28"/>
          <w:szCs w:val="28"/>
        </w:rPr>
        <w:t>附件2-7</w:t>
      </w:r>
      <w:bookmarkEnd w:id="48"/>
    </w:p>
    <w:p>
      <w:pPr>
        <w:pStyle w:val="2"/>
        <w:snapToGrid w:val="0"/>
        <w:spacing w:before="340" w:after="144"/>
        <w:jc w:val="center"/>
        <w:rPr>
          <w:rFonts w:ascii="Times New Roman" w:hAnsi="Times New Roman"/>
          <w:b w:val="0"/>
          <w:color w:val="auto"/>
          <w:sz w:val="28"/>
          <w:szCs w:val="28"/>
        </w:rPr>
      </w:pPr>
      <w:bookmarkStart w:id="49" w:name="_Toc162467104"/>
      <w:bookmarkStart w:id="50" w:name="_Toc178002846"/>
      <w:bookmarkStart w:id="51" w:name="_Toc178002567"/>
      <w:r>
        <w:rPr>
          <w:rFonts w:ascii="Times New Roman" w:hAnsi="Times New Roman"/>
          <w:color w:val="auto"/>
          <w:sz w:val="28"/>
          <w:szCs w:val="28"/>
        </w:rPr>
        <w:t>关键岗位管理和专业技术人员表</w:t>
      </w:r>
      <w:bookmarkEnd w:id="49"/>
      <w:bookmarkEnd w:id="50"/>
      <w:bookmarkEnd w:id="51"/>
    </w:p>
    <w:tbl>
      <w:tblPr>
        <w:tblStyle w:val="37"/>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职务/职称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备注</w:t>
            </w: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bl>
    <w:p>
      <w:pPr>
        <w:pStyle w:val="54"/>
        <w:widowControl w:val="0"/>
        <w:adjustRightInd/>
        <w:spacing w:before="159" w:beforeLines="50" w:after="319" w:afterLines="100"/>
        <w:rPr>
          <w:rFonts w:ascii="Times New Roman" w:hAnsi="Times New Roman" w:eastAsia="黑体"/>
          <w:iCs/>
          <w:color w:val="auto"/>
          <w:sz w:val="18"/>
          <w:szCs w:val="18"/>
        </w:rPr>
        <w:sectPr>
          <w:pgSz w:w="16838" w:h="11905" w:orient="landscape"/>
          <w:pgMar w:top="1803" w:right="1440" w:bottom="1803" w:left="1440" w:header="851" w:footer="992" w:gutter="0"/>
          <w:cols w:space="720" w:num="1"/>
          <w:docGrid w:type="lines" w:linePitch="319" w:charSpace="0"/>
        </w:sectPr>
      </w:pPr>
      <w:r>
        <w:rPr>
          <w:rFonts w:ascii="Times New Roman" w:hAnsi="Times New Roman" w:eastAsia="黑体"/>
          <w:iCs/>
          <w:color w:val="auto"/>
          <w:sz w:val="18"/>
          <w:szCs w:val="18"/>
        </w:rPr>
        <w:t>注：</w:t>
      </w:r>
      <w:r>
        <w:rPr>
          <w:rFonts w:ascii="Times New Roman" w:hAnsi="Times New Roman"/>
          <w:iCs/>
          <w:color w:val="auto"/>
          <w:sz w:val="18"/>
          <w:szCs w:val="18"/>
        </w:rPr>
        <w:t>企业主要负责人、质量安全总监、质量安全员、技术人员、检验检测人员等，均应列入此表。</w:t>
      </w:r>
    </w:p>
    <w:p>
      <w:pPr>
        <w:outlineLvl w:val="0"/>
        <w:rPr>
          <w:rFonts w:ascii="Times New Roman" w:hAnsi="Times New Roman"/>
          <w:color w:val="auto"/>
          <w:sz w:val="28"/>
          <w:szCs w:val="28"/>
        </w:rPr>
      </w:pPr>
      <w:r>
        <w:rPr>
          <w:rFonts w:ascii="Times New Roman" w:hAnsi="Times New Roman"/>
          <w:color w:val="auto"/>
          <w:sz w:val="28"/>
          <w:szCs w:val="28"/>
        </w:rPr>
        <w:t>附件2-8</w:t>
      </w:r>
    </w:p>
    <w:p>
      <w:pPr>
        <w:pStyle w:val="3"/>
        <w:jc w:val="center"/>
        <w:rPr>
          <w:rFonts w:ascii="Times New Roman" w:hAnsi="Times New Roman"/>
          <w:b/>
          <w:color w:val="auto"/>
          <w:sz w:val="28"/>
          <w:szCs w:val="28"/>
        </w:rPr>
      </w:pPr>
      <w:bookmarkStart w:id="52" w:name="_Toc178002847"/>
      <w:r>
        <w:rPr>
          <w:rFonts w:ascii="Times New Roman" w:hAnsi="Times New Roman"/>
          <w:b/>
          <w:color w:val="auto"/>
          <w:sz w:val="28"/>
          <w:szCs w:val="28"/>
        </w:rPr>
        <w:t>技术文件和工艺文件清单</w:t>
      </w:r>
      <w:bookmarkEnd w:id="52"/>
    </w:p>
    <w:tbl>
      <w:tblPr>
        <w:tblStyle w:val="37"/>
        <w:tblW w:w="8783" w:type="dxa"/>
        <w:jc w:val="center"/>
        <w:tblLayout w:type="fixed"/>
        <w:tblCellMar>
          <w:top w:w="0" w:type="dxa"/>
          <w:left w:w="108" w:type="dxa"/>
          <w:bottom w:w="0" w:type="dxa"/>
          <w:right w:w="108" w:type="dxa"/>
        </w:tblCellMar>
      </w:tblPr>
      <w:tblGrid>
        <w:gridCol w:w="988"/>
        <w:gridCol w:w="1134"/>
        <w:gridCol w:w="1559"/>
        <w:gridCol w:w="3259"/>
        <w:gridCol w:w="1843"/>
      </w:tblGrid>
      <w:tr>
        <w:tblPrEx>
          <w:tblCellMar>
            <w:top w:w="0" w:type="dxa"/>
            <w:left w:w="108" w:type="dxa"/>
            <w:bottom w:w="0" w:type="dxa"/>
            <w:right w:w="108" w:type="dxa"/>
          </w:tblCellMar>
        </w:tblPrEx>
        <w:trPr>
          <w:trHeight w:val="319"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序号</w:t>
            </w: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产品单元</w:t>
            </w:r>
          </w:p>
        </w:tc>
        <w:tc>
          <w:tcPr>
            <w:tcW w:w="1559" w:type="dxa"/>
            <w:tcBorders>
              <w:top w:val="single" w:color="000000" w:sz="4" w:space="0"/>
              <w:left w:val="single" w:color="000000" w:sz="4" w:space="0"/>
              <w:bottom w:val="single" w:color="000000" w:sz="4" w:space="0"/>
              <w:right w:val="single" w:color="000000" w:sz="4" w:space="0"/>
            </w:tcBorders>
          </w:tcPr>
          <w:p>
            <w:pPr>
              <w:snapToGrid w:val="0"/>
              <w:spacing w:before="72" w:after="72"/>
              <w:jc w:val="center"/>
              <w:rPr>
                <w:rFonts w:ascii="Times New Roman" w:hAnsi="Times New Roman"/>
                <w:b/>
                <w:color w:val="auto"/>
              </w:rPr>
            </w:pPr>
            <w:r>
              <w:rPr>
                <w:rFonts w:ascii="Times New Roman" w:hAnsi="Times New Roman"/>
                <w:b/>
                <w:color w:val="auto"/>
              </w:rPr>
              <w:t>磷肥种类</w:t>
            </w:r>
          </w:p>
        </w:tc>
        <w:tc>
          <w:tcPr>
            <w:tcW w:w="325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技术文件和工艺文件名称</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文件编号</w:t>
            </w: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13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2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bl>
    <w:p>
      <w:pPr>
        <w:snapToGrid w:val="0"/>
        <w:spacing w:line="360" w:lineRule="auto"/>
        <w:outlineLvl w:val="0"/>
        <w:rPr>
          <w:rFonts w:ascii="Times New Roman" w:hAnsi="Times New Roman"/>
          <w:color w:val="auto"/>
          <w:sz w:val="28"/>
          <w:szCs w:val="28"/>
        </w:rPr>
      </w:pPr>
      <w:r>
        <w:rPr>
          <w:rFonts w:ascii="Times New Roman" w:hAnsi="Times New Roman"/>
          <w:color w:val="auto"/>
        </w:rPr>
        <w:br w:type="page"/>
      </w:r>
      <w:r>
        <w:rPr>
          <w:rFonts w:ascii="Times New Roman" w:hAnsi="Times New Roman"/>
          <w:color w:val="auto"/>
          <w:sz w:val="28"/>
          <w:szCs w:val="28"/>
        </w:rPr>
        <w:t>附件2-9</w:t>
      </w:r>
    </w:p>
    <w:p>
      <w:pPr>
        <w:pStyle w:val="2"/>
        <w:snapToGrid w:val="0"/>
        <w:spacing w:before="340" w:after="240"/>
        <w:jc w:val="center"/>
        <w:rPr>
          <w:rFonts w:ascii="Times New Roman" w:hAnsi="Times New Roman"/>
          <w:b w:val="0"/>
          <w:color w:val="auto"/>
          <w:sz w:val="28"/>
          <w:szCs w:val="28"/>
        </w:rPr>
      </w:pPr>
      <w:bookmarkStart w:id="53" w:name="_Toc162467107"/>
      <w:bookmarkStart w:id="54" w:name="_Toc178002848"/>
      <w:bookmarkStart w:id="55" w:name="_Toc178002568"/>
      <w:r>
        <w:rPr>
          <w:rFonts w:ascii="Times New Roman" w:hAnsi="Times New Roman"/>
          <w:color w:val="auto"/>
          <w:sz w:val="28"/>
          <w:szCs w:val="28"/>
        </w:rPr>
        <w:t>产品质量安全管理制度和产品质量安全追溯制度文件</w:t>
      </w:r>
      <w:bookmarkEnd w:id="53"/>
      <w:r>
        <w:rPr>
          <w:rFonts w:ascii="Times New Roman" w:hAnsi="Times New Roman"/>
          <w:color w:val="auto"/>
          <w:sz w:val="28"/>
          <w:szCs w:val="28"/>
        </w:rPr>
        <w:t>清单</w:t>
      </w:r>
      <w:bookmarkEnd w:id="54"/>
      <w:bookmarkEnd w:id="55"/>
    </w:p>
    <w:tbl>
      <w:tblPr>
        <w:tblStyle w:val="37"/>
        <w:tblW w:w="9213" w:type="dxa"/>
        <w:jc w:val="center"/>
        <w:tblLayout w:type="fixed"/>
        <w:tblCellMar>
          <w:top w:w="0" w:type="dxa"/>
          <w:left w:w="108" w:type="dxa"/>
          <w:bottom w:w="0" w:type="dxa"/>
          <w:right w:w="108" w:type="dxa"/>
        </w:tblCellMar>
      </w:tblPr>
      <w:tblGrid>
        <w:gridCol w:w="850"/>
        <w:gridCol w:w="4399"/>
        <w:gridCol w:w="3964"/>
      </w:tblGrid>
      <w:tr>
        <w:tblPrEx>
          <w:tblCellMar>
            <w:top w:w="0" w:type="dxa"/>
            <w:left w:w="108" w:type="dxa"/>
            <w:bottom w:w="0" w:type="dxa"/>
            <w:right w:w="108" w:type="dxa"/>
          </w:tblCellMar>
        </w:tblPrEx>
        <w:trPr>
          <w:trHeight w:val="319" w:hRule="atLeast"/>
          <w:jc w:val="center"/>
        </w:trPr>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序号</w:t>
            </w:r>
          </w:p>
        </w:tc>
        <w:tc>
          <w:tcPr>
            <w:tcW w:w="439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制度文件名称</w:t>
            </w:r>
          </w:p>
        </w:tc>
        <w:tc>
          <w:tcPr>
            <w:tcW w:w="396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文件编号</w:t>
            </w: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18"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5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439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96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bl>
    <w:p>
      <w:pPr>
        <w:snapToGrid w:val="0"/>
        <w:spacing w:line="480" w:lineRule="exact"/>
        <w:rPr>
          <w:rFonts w:ascii="Times New Roman" w:hAnsi="Times New Roman"/>
          <w:color w:val="auto"/>
          <w:sz w:val="28"/>
          <w:szCs w:val="28"/>
        </w:rPr>
      </w:pPr>
      <w:r>
        <w:rPr>
          <w:rFonts w:ascii="Times New Roman" w:hAnsi="Times New Roman"/>
          <w:color w:val="auto"/>
        </w:rPr>
        <w:br w:type="page"/>
      </w:r>
    </w:p>
    <w:p>
      <w:pPr>
        <w:pStyle w:val="2"/>
        <w:spacing w:line="480" w:lineRule="auto"/>
        <w:rPr>
          <w:rFonts w:ascii="Times New Roman" w:hAnsi="Times New Roman"/>
          <w:b w:val="0"/>
          <w:color w:val="auto"/>
          <w:sz w:val="28"/>
          <w:szCs w:val="28"/>
        </w:rPr>
      </w:pPr>
      <w:bookmarkStart w:id="56" w:name="_Toc178002849"/>
      <w:bookmarkStart w:id="57" w:name="_Toc178002569"/>
      <w:r>
        <w:rPr>
          <w:rFonts w:ascii="Times New Roman" w:hAnsi="Times New Roman"/>
          <w:b w:val="0"/>
          <w:color w:val="auto"/>
          <w:sz w:val="28"/>
          <w:szCs w:val="28"/>
        </w:rPr>
        <w:t>附件2-10</w:t>
      </w:r>
      <w:bookmarkEnd w:id="56"/>
      <w:bookmarkEnd w:id="57"/>
    </w:p>
    <w:p>
      <w:pPr>
        <w:pStyle w:val="2"/>
        <w:snapToGrid w:val="0"/>
        <w:spacing w:before="340" w:after="240"/>
        <w:jc w:val="center"/>
        <w:rPr>
          <w:rFonts w:ascii="Times New Roman" w:hAnsi="Times New Roman"/>
          <w:b w:val="0"/>
          <w:color w:val="auto"/>
          <w:sz w:val="28"/>
          <w:szCs w:val="28"/>
        </w:rPr>
      </w:pPr>
      <w:bookmarkStart w:id="58" w:name="_Toc162467109"/>
      <w:bookmarkStart w:id="59" w:name="_Toc178002850"/>
      <w:bookmarkStart w:id="60" w:name="_Toc178002570"/>
      <w:r>
        <w:rPr>
          <w:rFonts w:ascii="Times New Roman" w:hAnsi="Times New Roman"/>
          <w:color w:val="auto"/>
          <w:sz w:val="28"/>
          <w:szCs w:val="28"/>
        </w:rPr>
        <w:t>企业执行的产品标准及相关标准</w:t>
      </w:r>
      <w:bookmarkEnd w:id="58"/>
      <w:r>
        <w:rPr>
          <w:rFonts w:ascii="Times New Roman" w:hAnsi="Times New Roman"/>
          <w:color w:val="auto"/>
          <w:sz w:val="28"/>
          <w:szCs w:val="28"/>
        </w:rPr>
        <w:t>清单</w:t>
      </w:r>
      <w:bookmarkEnd w:id="59"/>
      <w:bookmarkEnd w:id="60"/>
    </w:p>
    <w:tbl>
      <w:tblPr>
        <w:tblStyle w:val="37"/>
        <w:tblW w:w="8500" w:type="dxa"/>
        <w:jc w:val="center"/>
        <w:tblLayout w:type="fixed"/>
        <w:tblCellMar>
          <w:top w:w="0" w:type="dxa"/>
          <w:left w:w="108" w:type="dxa"/>
          <w:bottom w:w="0" w:type="dxa"/>
          <w:right w:w="108" w:type="dxa"/>
        </w:tblCellMar>
      </w:tblPr>
      <w:tblGrid>
        <w:gridCol w:w="819"/>
        <w:gridCol w:w="1415"/>
        <w:gridCol w:w="1730"/>
        <w:gridCol w:w="1730"/>
        <w:gridCol w:w="2806"/>
      </w:tblGrid>
      <w:tr>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产品单元</w:t>
            </w:r>
          </w:p>
        </w:tc>
        <w:tc>
          <w:tcPr>
            <w:tcW w:w="1730" w:type="dxa"/>
            <w:tcBorders>
              <w:top w:val="single" w:color="000000" w:sz="4" w:space="0"/>
              <w:left w:val="single" w:color="000000" w:sz="4" w:space="0"/>
              <w:bottom w:val="single" w:color="000000" w:sz="4" w:space="0"/>
              <w:right w:val="single" w:color="000000" w:sz="4" w:space="0"/>
            </w:tcBorders>
          </w:tcPr>
          <w:p>
            <w:pPr>
              <w:snapToGrid w:val="0"/>
              <w:spacing w:before="72" w:after="72"/>
              <w:jc w:val="center"/>
              <w:rPr>
                <w:rFonts w:ascii="Times New Roman" w:hAnsi="Times New Roman"/>
                <w:b/>
                <w:color w:val="auto"/>
              </w:rPr>
            </w:pPr>
            <w:r>
              <w:rPr>
                <w:rFonts w:ascii="Times New Roman" w:hAnsi="Times New Roman"/>
                <w:b/>
                <w:color w:val="auto"/>
              </w:rPr>
              <w:t>磷肥种类</w:t>
            </w:r>
          </w:p>
        </w:tc>
        <w:tc>
          <w:tcPr>
            <w:tcW w:w="173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标准编号</w:t>
            </w:r>
          </w:p>
        </w:tc>
        <w:tc>
          <w:tcPr>
            <w:tcW w:w="280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3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8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bl>
    <w:p>
      <w:pPr>
        <w:rPr>
          <w:rFonts w:ascii="Times New Roman" w:hAnsi="Times New Roman"/>
          <w:color w:val="auto"/>
          <w:sz w:val="28"/>
          <w:szCs w:val="28"/>
        </w:rPr>
      </w:pPr>
    </w:p>
    <w:p>
      <w:pPr>
        <w:snapToGrid w:val="0"/>
        <w:spacing w:after="240"/>
        <w:jc w:val="left"/>
        <w:outlineLvl w:val="0"/>
        <w:rPr>
          <w:rFonts w:ascii="Times New Roman" w:hAnsi="Times New Roman"/>
          <w:color w:val="auto"/>
          <w:sz w:val="28"/>
          <w:szCs w:val="28"/>
        </w:rPr>
      </w:pPr>
      <w:r>
        <w:rPr>
          <w:rFonts w:ascii="Times New Roman" w:hAnsi="Times New Roman"/>
          <w:color w:val="auto"/>
          <w:sz w:val="28"/>
          <w:szCs w:val="28"/>
        </w:rPr>
        <w:t>附件3</w:t>
      </w:r>
    </w:p>
    <w:p>
      <w:pPr>
        <w:rPr>
          <w:rFonts w:ascii="Times New Roman" w:hAnsi="Times New Roman"/>
          <w:color w:val="auto"/>
          <w:sz w:val="48"/>
          <w:szCs w:val="48"/>
        </w:rPr>
      </w:pPr>
    </w:p>
    <w:p>
      <w:pPr>
        <w:rPr>
          <w:rFonts w:ascii="Times New Roman" w:hAnsi="Times New Roman"/>
          <w:color w:val="auto"/>
          <w:sz w:val="48"/>
          <w:szCs w:val="48"/>
        </w:rPr>
      </w:pPr>
    </w:p>
    <w:p>
      <w:pPr>
        <w:pStyle w:val="3"/>
        <w:jc w:val="center"/>
        <w:rPr>
          <w:rFonts w:ascii="Times New Roman" w:hAnsi="Times New Roman"/>
          <w:b/>
          <w:color w:val="auto"/>
          <w:sz w:val="44"/>
          <w:szCs w:val="44"/>
        </w:rPr>
      </w:pPr>
      <w:bookmarkStart w:id="61" w:name="_Toc178002851"/>
      <w:r>
        <w:rPr>
          <w:rFonts w:ascii="Times New Roman" w:hAnsi="Times New Roman"/>
          <w:b/>
          <w:color w:val="auto"/>
          <w:sz w:val="44"/>
          <w:szCs w:val="44"/>
        </w:rPr>
        <w:t>磷肥产品生产许可证企业实地核查办法</w:t>
      </w:r>
      <w:bookmarkEnd w:id="61"/>
    </w:p>
    <w:p>
      <w:pPr>
        <w:jc w:val="center"/>
        <w:rPr>
          <w:rFonts w:ascii="Times New Roman" w:hAnsi="Times New Roman"/>
          <w:b/>
          <w:i/>
          <w:iCs/>
          <w:color w:val="auto"/>
          <w:sz w:val="28"/>
          <w:szCs w:val="28"/>
        </w:rPr>
      </w:pPr>
    </w:p>
    <w:p>
      <w:pPr>
        <w:jc w:val="center"/>
        <w:rPr>
          <w:rFonts w:ascii="Times New Roman" w:hAnsi="Times New Roman"/>
          <w:b/>
          <w:color w:val="auto"/>
          <w:sz w:val="48"/>
          <w:szCs w:val="48"/>
        </w:rPr>
      </w:pPr>
    </w:p>
    <w:p>
      <w:pPr>
        <w:jc w:val="center"/>
        <w:rPr>
          <w:rFonts w:ascii="Times New Roman" w:hAnsi="Times New Roman"/>
          <w:b/>
          <w:color w:val="auto"/>
          <w:sz w:val="48"/>
          <w:szCs w:val="48"/>
        </w:rPr>
      </w:pPr>
    </w:p>
    <w:p>
      <w:pPr>
        <w:ind w:firstLine="904"/>
        <w:rPr>
          <w:rFonts w:ascii="Times New Roman" w:hAnsi="Times New Roman"/>
          <w:color w:val="auto"/>
          <w:sz w:val="30"/>
          <w:szCs w:val="30"/>
          <w:u w:val="single"/>
        </w:rPr>
      </w:pPr>
      <w:r>
        <w:rPr>
          <w:rFonts w:ascii="Times New Roman" w:hAnsi="Times New Roman"/>
          <w:b/>
          <w:color w:val="auto"/>
          <w:sz w:val="30"/>
          <w:szCs w:val="30"/>
        </w:rPr>
        <w:t>企业名称</w:t>
      </w:r>
      <w:r>
        <w:rPr>
          <w:rFonts w:ascii="Times New Roman" w:hAnsi="Times New Roman"/>
          <w:color w:val="auto"/>
          <w:sz w:val="30"/>
          <w:szCs w:val="30"/>
        </w:rPr>
        <w:t>：__________________________________</w:t>
      </w:r>
    </w:p>
    <w:p>
      <w:pPr>
        <w:ind w:firstLine="600"/>
        <w:rPr>
          <w:rFonts w:ascii="Times New Roman" w:hAnsi="Times New Roman"/>
          <w:color w:val="auto"/>
          <w:sz w:val="30"/>
          <w:szCs w:val="30"/>
          <w:u w:val="single"/>
        </w:rPr>
      </w:pPr>
    </w:p>
    <w:p>
      <w:pPr>
        <w:ind w:firstLine="904"/>
        <w:rPr>
          <w:rFonts w:ascii="Times New Roman" w:hAnsi="Times New Roman"/>
          <w:color w:val="auto"/>
          <w:sz w:val="30"/>
          <w:szCs w:val="30"/>
          <w:u w:val="single"/>
        </w:rPr>
      </w:pPr>
      <w:r>
        <w:rPr>
          <w:rFonts w:ascii="Times New Roman" w:hAnsi="Times New Roman"/>
          <w:b/>
          <w:color w:val="auto"/>
          <w:sz w:val="30"/>
          <w:szCs w:val="30"/>
        </w:rPr>
        <w:t>生产地址：</w:t>
      </w:r>
      <w:r>
        <w:rPr>
          <w:rFonts w:ascii="Times New Roman" w:hAnsi="Times New Roman"/>
          <w:color w:val="auto"/>
          <w:sz w:val="30"/>
          <w:szCs w:val="30"/>
        </w:rPr>
        <w:t>__________________________________</w:t>
      </w:r>
    </w:p>
    <w:p>
      <w:pPr>
        <w:ind w:firstLine="900"/>
        <w:rPr>
          <w:rFonts w:ascii="Times New Roman" w:hAnsi="Times New Roman"/>
          <w:color w:val="auto"/>
          <w:sz w:val="30"/>
          <w:szCs w:val="30"/>
          <w:u w:val="single"/>
        </w:rPr>
      </w:pPr>
    </w:p>
    <w:p>
      <w:pPr>
        <w:ind w:firstLine="904"/>
        <w:rPr>
          <w:rFonts w:ascii="Times New Roman" w:hAnsi="Times New Roman"/>
          <w:color w:val="auto"/>
          <w:sz w:val="30"/>
          <w:szCs w:val="30"/>
          <w:u w:val="single"/>
        </w:rPr>
      </w:pPr>
      <w:r>
        <w:rPr>
          <w:rFonts w:ascii="Times New Roman" w:hAnsi="Times New Roman"/>
          <w:b/>
          <w:color w:val="auto"/>
          <w:sz w:val="30"/>
          <w:szCs w:val="30"/>
        </w:rPr>
        <w:t>产品单元：</w:t>
      </w:r>
      <w:r>
        <w:rPr>
          <w:rFonts w:ascii="Times New Roman" w:hAnsi="Times New Roman"/>
          <w:color w:val="auto"/>
          <w:sz w:val="30"/>
          <w:szCs w:val="30"/>
        </w:rPr>
        <w:t>__________________________________</w:t>
      </w:r>
    </w:p>
    <w:p>
      <w:pPr>
        <w:ind w:firstLine="904"/>
        <w:rPr>
          <w:rFonts w:ascii="Times New Roman" w:hAnsi="Times New Roman"/>
          <w:color w:val="auto"/>
          <w:sz w:val="30"/>
          <w:szCs w:val="30"/>
          <w:u w:val="single"/>
        </w:rPr>
      </w:pPr>
    </w:p>
    <w:p>
      <w:pPr>
        <w:ind w:firstLine="843"/>
        <w:rPr>
          <w:rFonts w:ascii="Times New Roman" w:hAnsi="Times New Roman"/>
          <w:b/>
          <w:color w:val="auto"/>
          <w:sz w:val="28"/>
          <w:szCs w:val="28"/>
          <w:u w:val="single"/>
        </w:rPr>
      </w:pPr>
      <w:r>
        <w:rPr>
          <w:rFonts w:ascii="Times New Roman" w:hAnsi="Times New Roman"/>
          <w:b/>
          <w:color w:val="auto"/>
          <w:sz w:val="30"/>
          <w:szCs w:val="30"/>
        </w:rPr>
        <w:t>磷肥种类：</w:t>
      </w:r>
      <w:r>
        <w:rPr>
          <w:rFonts w:ascii="Times New Roman" w:hAnsi="Times New Roman"/>
          <w:color w:val="auto"/>
          <w:sz w:val="30"/>
          <w:szCs w:val="30"/>
        </w:rPr>
        <w:t>__________________________________</w:t>
      </w:r>
    </w:p>
    <w:p>
      <w:pPr>
        <w:ind w:firstLine="840"/>
        <w:rPr>
          <w:rFonts w:ascii="Times New Roman" w:hAnsi="Times New Roman"/>
          <w:color w:val="auto"/>
          <w:sz w:val="28"/>
          <w:szCs w:val="28"/>
          <w:u w:val="single"/>
        </w:rPr>
      </w:pPr>
    </w:p>
    <w:p>
      <w:pPr>
        <w:ind w:firstLine="840"/>
        <w:rPr>
          <w:rFonts w:ascii="Times New Roman" w:hAnsi="Times New Roman"/>
          <w:color w:val="auto"/>
          <w:sz w:val="28"/>
          <w:szCs w:val="28"/>
          <w:u w:val="single"/>
        </w:rPr>
      </w:pPr>
    </w:p>
    <w:p>
      <w:pPr>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snapToGrid w:val="0"/>
        <w:jc w:val="center"/>
        <w:rPr>
          <w:rFonts w:ascii="Times New Roman" w:hAnsi="Times New Roman"/>
          <w:b/>
          <w:color w:val="auto"/>
          <w:sz w:val="32"/>
          <w:szCs w:val="32"/>
        </w:rPr>
      </w:pPr>
    </w:p>
    <w:p>
      <w:pPr>
        <w:snapToGrid w:val="0"/>
        <w:jc w:val="center"/>
        <w:rPr>
          <w:rFonts w:ascii="Times New Roman" w:hAnsi="Times New Roman"/>
          <w:b/>
          <w:color w:val="auto"/>
          <w:sz w:val="32"/>
          <w:szCs w:val="32"/>
        </w:rPr>
      </w:pPr>
      <w:r>
        <w:rPr>
          <w:rFonts w:ascii="Times New Roman" w:hAnsi="Times New Roman"/>
          <w:b/>
          <w:color w:val="auto"/>
          <w:sz w:val="32"/>
          <w:szCs w:val="32"/>
        </w:rPr>
        <w:t>国家市场监督管理总局</w:t>
      </w:r>
      <w:r>
        <w:rPr>
          <w:rFonts w:ascii="Times New Roman" w:hAnsi="Times New Roman"/>
          <w:color w:val="auto"/>
        </w:rPr>
        <w:br w:type="page"/>
      </w:r>
    </w:p>
    <w:p>
      <w:pPr>
        <w:snapToGrid w:val="0"/>
        <w:spacing w:line="360" w:lineRule="auto"/>
        <w:jc w:val="center"/>
        <w:rPr>
          <w:rFonts w:ascii="Times New Roman" w:hAnsi="Times New Roman"/>
          <w:b/>
          <w:color w:val="auto"/>
          <w:sz w:val="32"/>
          <w:szCs w:val="32"/>
        </w:rPr>
      </w:pPr>
      <w:bookmarkStart w:id="62" w:name="_Hlk175122793"/>
      <w:r>
        <w:rPr>
          <w:rFonts w:ascii="Times New Roman" w:hAnsi="Times New Roman"/>
          <w:b/>
          <w:color w:val="auto"/>
          <w:sz w:val="32"/>
          <w:szCs w:val="32"/>
        </w:rPr>
        <w:t>应用说明</w:t>
      </w:r>
    </w:p>
    <w:p>
      <w:pPr>
        <w:snapToGrid w:val="0"/>
        <w:spacing w:line="360" w:lineRule="auto"/>
        <w:ind w:firstLine="420"/>
        <w:rPr>
          <w:rFonts w:ascii="Times New Roman" w:hAnsi="Times New Roman"/>
          <w:color w:val="auto"/>
          <w:u w:val="single"/>
        </w:rPr>
      </w:pPr>
      <w:r>
        <w:rPr>
          <w:rFonts w:ascii="Times New Roman" w:hAnsi="Times New Roman"/>
          <w:color w:val="auto"/>
        </w:rPr>
        <w:t>1. 本办法核查内容分为6大部分22条30款，应根据其满足程度和相关条款“备注”栏中给出的判定原则分别作出符合、不符合、建议改进。</w:t>
      </w:r>
    </w:p>
    <w:p>
      <w:pPr>
        <w:snapToGrid w:val="0"/>
        <w:spacing w:line="360" w:lineRule="auto"/>
        <w:ind w:firstLine="420"/>
        <w:rPr>
          <w:rFonts w:ascii="Times New Roman" w:hAnsi="Times New Roman"/>
          <w:color w:val="auto"/>
        </w:rPr>
      </w:pPr>
      <w:r>
        <w:rPr>
          <w:rFonts w:ascii="Times New Roman" w:hAnsi="Times New Roman"/>
          <w:color w:val="auto"/>
        </w:rPr>
        <w:t>2. 企业申请材料与企业实际情况不符的，应判为不符合。</w:t>
      </w:r>
    </w:p>
    <w:p>
      <w:pPr>
        <w:snapToGrid w:val="0"/>
        <w:spacing w:line="360" w:lineRule="auto"/>
        <w:ind w:firstLine="420"/>
        <w:rPr>
          <w:rFonts w:ascii="Times New Roman" w:hAnsi="Times New Roman"/>
          <w:color w:val="auto"/>
        </w:rPr>
      </w:pPr>
      <w:r>
        <w:rPr>
          <w:rFonts w:ascii="Times New Roman" w:hAnsi="Times New Roman"/>
          <w:color w:val="auto"/>
        </w:rPr>
        <w:t>3. 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color w:val="auto"/>
        </w:rPr>
      </w:pPr>
      <w:r>
        <w:rPr>
          <w:rFonts w:ascii="Times New Roman" w:hAnsi="Times New Roman"/>
          <w:color w:val="auto"/>
        </w:rPr>
        <w:t>4. 每款核查内容逐个判断，并在对应的“是”或“否”的选项框中打“√”，凡在“否”的选项框中打“√”的，须填写详细的</w:t>
      </w:r>
      <w:r>
        <w:rPr>
          <w:rFonts w:hint="eastAsia" w:ascii="Times New Roman" w:hAnsi="Times New Roman"/>
          <w:color w:val="auto"/>
        </w:rPr>
        <w:t>建议改进或</w:t>
      </w:r>
      <w:r>
        <w:rPr>
          <w:rFonts w:ascii="Times New Roman" w:hAnsi="Times New Roman"/>
          <w:color w:val="auto"/>
        </w:rPr>
        <w:t>不符合事实。</w:t>
      </w:r>
    </w:p>
    <w:p>
      <w:pPr>
        <w:snapToGrid w:val="0"/>
        <w:spacing w:line="360" w:lineRule="auto"/>
        <w:ind w:firstLine="420"/>
        <w:rPr>
          <w:rFonts w:ascii="Times New Roman" w:hAnsi="Times New Roman"/>
          <w:color w:val="auto"/>
        </w:rPr>
      </w:pPr>
      <w:r>
        <w:rPr>
          <w:rFonts w:ascii="Times New Roman" w:hAnsi="Times New Roman"/>
          <w:color w:val="auto"/>
        </w:rPr>
        <w:t>5．核查结论的确定原则：经核查22条均未发现不符合，核查结论为合格。否则核查结论为不合格。</w:t>
      </w: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sectPr>
          <w:headerReference r:id="rId6" w:type="first"/>
          <w:footerReference r:id="rId7" w:type="default"/>
          <w:footerReference r:id="rId8" w:type="even"/>
          <w:pgSz w:w="11906" w:h="16838"/>
          <w:pgMar w:top="1417" w:right="1417" w:bottom="1417" w:left="1417" w:header="851" w:footer="992" w:gutter="0"/>
          <w:cols w:space="720" w:num="1"/>
          <w:docGrid w:linePitch="312" w:charSpace="0"/>
        </w:sectPr>
      </w:pPr>
    </w:p>
    <w:tbl>
      <w:tblPr>
        <w:tblStyle w:val="37"/>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核查</w:t>
            </w:r>
          </w:p>
          <w:p>
            <w:pPr>
              <w:adjustRightInd w:val="0"/>
              <w:snapToGrid w:val="0"/>
              <w:jc w:val="center"/>
              <w:rPr>
                <w:rFonts w:ascii="Times New Roman" w:hAnsi="Times New Roman"/>
                <w:b/>
                <w:bCs/>
                <w:color w:val="auto"/>
              </w:rPr>
            </w:pPr>
            <w:r>
              <w:rPr>
                <w:rFonts w:ascii="Times New Roman" w:hAnsi="Times New Roman"/>
                <w:b/>
                <w:bCs/>
                <w:color w:val="auto"/>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核查内容和要点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21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auto"/>
              </w:rPr>
            </w:pPr>
            <w:r>
              <w:rPr>
                <w:rFonts w:ascii="Times New Roman" w:hAnsi="Times New Roman"/>
                <w:b/>
                <w:color w:val="auto"/>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auto"/>
              </w:rPr>
            </w:pPr>
            <w:r>
              <w:rPr>
                <w:rFonts w:ascii="Times New Roman" w:hAnsi="Times New Roman"/>
                <w:b/>
                <w:color w:val="auto"/>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1.1</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1）营业执照是否在有效期限内。</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1）～4）款，若为填写、打印错误允许勘误，此类情况不判为不符合。</w:t>
            </w:r>
          </w:p>
          <w:p>
            <w:pPr>
              <w:snapToGrid w:val="0"/>
              <w:rPr>
                <w:rFonts w:ascii="Times New Roman" w:hAnsi="Times New Roman"/>
                <w:color w:val="auto"/>
              </w:rPr>
            </w:pPr>
            <w:r>
              <w:rPr>
                <w:rFonts w:ascii="Times New Roman" w:hAnsi="Times New Roman"/>
                <w:color w:val="auto"/>
              </w:rPr>
              <w:t>1）～4）款，任意</w:t>
            </w:r>
            <w:r>
              <w:rPr>
                <w:rFonts w:hint="eastAsia" w:ascii="Times New Roman" w:hAnsi="Times New Roman"/>
                <w:color w:val="auto"/>
              </w:rPr>
              <w:t>一</w:t>
            </w:r>
            <w:r>
              <w:rPr>
                <w:rFonts w:ascii="Times New Roman" w:hAnsi="Times New Roman"/>
                <w:color w:val="auto"/>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07"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2）申请单的企业名称、统一社会信用代码、法定代表人或负责人、住所等信息与营业执照是否一致。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3）申请单填写的地址与实际生产地址是否一致。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86"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4）实际生产地址与营业执照登记住所是否一致（实际生产地址应与营业执照住所同地址，若不同或有多个生产地址，该生产地址应经市场监管部门登记或备案或在营业执照上变更为“一照多址”）。</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1.2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检验检测报告</w:t>
            </w:r>
          </w:p>
        </w:tc>
        <w:tc>
          <w:tcPr>
            <w:tcW w:w="4252" w:type="dxa"/>
            <w:tcBorders>
              <w:top w:val="single" w:color="auto" w:sz="4" w:space="0"/>
              <w:left w:val="single" w:color="auto" w:sz="4" w:space="0"/>
              <w:right w:val="single" w:color="auto" w:sz="4" w:space="0"/>
            </w:tcBorders>
            <w:vAlign w:val="center"/>
          </w:tcPr>
          <w:p>
            <w:pPr>
              <w:adjustRightInd w:val="0"/>
              <w:snapToGrid w:val="0"/>
              <w:rPr>
                <w:rFonts w:ascii="Times New Roman" w:hAnsi="Times New Roman"/>
                <w:bCs/>
                <w:color w:val="auto"/>
              </w:rPr>
            </w:pPr>
            <w:r>
              <w:rPr>
                <w:rFonts w:ascii="Times New Roman" w:hAnsi="Times New Roman"/>
                <w:color w:val="auto"/>
              </w:rPr>
              <w:t>5）</w:t>
            </w:r>
            <w:r>
              <w:rPr>
                <w:rFonts w:ascii="Times New Roman" w:hAnsi="Times New Roman"/>
                <w:bCs/>
                <w:color w:val="auto"/>
              </w:rPr>
              <w:t>企业申请时提交的检验检测报告是否满足以下要求：</w:t>
            </w:r>
          </w:p>
          <w:p>
            <w:pPr>
              <w:adjustRightInd w:val="0"/>
              <w:snapToGrid w:val="0"/>
              <w:ind w:firstLine="420" w:firstLineChars="200"/>
              <w:rPr>
                <w:rFonts w:ascii="Times New Roman" w:hAnsi="Times New Roman"/>
                <w:bCs/>
                <w:color w:val="auto"/>
              </w:rPr>
            </w:pPr>
            <w:r>
              <w:rPr>
                <w:rFonts w:ascii="Times New Roman" w:hAnsi="Times New Roman"/>
                <w:bCs/>
                <w:color w:val="auto"/>
              </w:rPr>
              <w:t>产品检验检测报告应为所申请产品规格的相关产品的型式检验报告、委托产品检验检测报告或省级以上政府监督检验报告中的任一类报告。</w:t>
            </w:r>
          </w:p>
          <w:p>
            <w:pPr>
              <w:adjustRightInd w:val="0"/>
              <w:snapToGrid w:val="0"/>
              <w:ind w:firstLine="420" w:firstLineChars="200"/>
              <w:rPr>
                <w:rFonts w:ascii="Times New Roman" w:hAnsi="Times New Roman"/>
                <w:bCs/>
                <w:color w:val="auto"/>
              </w:rPr>
            </w:pPr>
            <w:r>
              <w:rPr>
                <w:rFonts w:ascii="Times New Roman" w:hAnsi="Times New Roman"/>
                <w:color w:val="auto"/>
              </w:rPr>
              <w:t>1个磷肥种类应提交1份覆盖本细则附件1规定的产品检验检测项目的合格报告，报告中的检验检测项目不得为多份检验检测报告组合。</w:t>
            </w:r>
          </w:p>
          <w:p>
            <w:pPr>
              <w:adjustRightInd w:val="0"/>
              <w:snapToGrid w:val="0"/>
              <w:ind w:firstLine="420" w:firstLineChars="200"/>
              <w:rPr>
                <w:rFonts w:ascii="Times New Roman" w:hAnsi="Times New Roman"/>
                <w:bCs/>
                <w:color w:val="auto"/>
              </w:rPr>
            </w:pPr>
            <w:r>
              <w:rPr>
                <w:rFonts w:ascii="Times New Roman" w:hAnsi="Times New Roman"/>
                <w:bCs/>
                <w:color w:val="auto"/>
              </w:rPr>
              <w:t>产品检验检测报告应为6个月内符合本细则表2规定标准的合格检验报告。</w:t>
            </w:r>
          </w:p>
          <w:p>
            <w:pPr>
              <w:snapToGrid w:val="0"/>
              <w:ind w:firstLine="420" w:firstLineChars="200"/>
              <w:rPr>
                <w:rFonts w:ascii="Times New Roman" w:hAnsi="Times New Roman"/>
                <w:i/>
                <w:iCs/>
                <w:color w:val="auto"/>
              </w:rPr>
            </w:pPr>
            <w:r>
              <w:rPr>
                <w:rFonts w:ascii="Times New Roman" w:hAnsi="Times New Roman"/>
                <w:bCs/>
                <w:color w:val="auto"/>
              </w:rPr>
              <w:t>出具报告的检验检测机构应具备相应检验项目资质，企业应提供检验检测机构有效的CMA资质认定证书及其附件。</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olor w:val="auto"/>
              </w:rPr>
            </w:pPr>
            <w:r>
              <w:rPr>
                <w:rFonts w:ascii="Times New Roman" w:hAnsi="Times New Roman"/>
                <w:color w:val="auto"/>
              </w:rPr>
              <w:t>1. 产品检验检测报告检验检测项目未覆盖本细则规定的检验检测项目，判为不符合。</w:t>
            </w:r>
          </w:p>
          <w:p>
            <w:pPr>
              <w:adjustRightInd w:val="0"/>
              <w:snapToGrid w:val="0"/>
              <w:rPr>
                <w:rFonts w:ascii="Times New Roman" w:hAnsi="Times New Roman"/>
                <w:color w:val="auto"/>
              </w:rPr>
            </w:pPr>
            <w:r>
              <w:rPr>
                <w:rFonts w:ascii="Times New Roman" w:hAnsi="Times New Roman"/>
                <w:color w:val="auto"/>
              </w:rPr>
              <w:t>2. 产品检验检测报告存在多份检验检测报告组合的情况，判为不符合。</w:t>
            </w:r>
          </w:p>
          <w:p>
            <w:pPr>
              <w:adjustRightInd w:val="0"/>
              <w:snapToGrid w:val="0"/>
              <w:rPr>
                <w:rFonts w:ascii="Times New Roman" w:hAnsi="Times New Roman"/>
                <w:color w:val="auto"/>
              </w:rPr>
            </w:pPr>
            <w:r>
              <w:rPr>
                <w:rFonts w:ascii="Times New Roman" w:hAnsi="Times New Roman"/>
                <w:color w:val="auto"/>
              </w:rPr>
              <w:t>3. 产品检验检测报告磷肥种类、规格与企业所申请磷肥种类、规格不一致，判为不符合。</w:t>
            </w:r>
          </w:p>
          <w:p>
            <w:pPr>
              <w:adjustRightInd w:val="0"/>
              <w:snapToGrid w:val="0"/>
              <w:rPr>
                <w:rFonts w:ascii="Times New Roman" w:hAnsi="Times New Roman"/>
                <w:color w:val="auto"/>
              </w:rPr>
            </w:pPr>
            <w:r>
              <w:rPr>
                <w:rFonts w:ascii="Times New Roman" w:hAnsi="Times New Roman"/>
                <w:color w:val="auto"/>
              </w:rPr>
              <w:t>4. 产品检验检测报告中企业名称、生产地址等信息与申请信息不一致的，判为不符合。</w:t>
            </w:r>
          </w:p>
          <w:p>
            <w:pPr>
              <w:adjustRightInd w:val="0"/>
              <w:snapToGrid w:val="0"/>
              <w:rPr>
                <w:rFonts w:ascii="Times New Roman" w:hAnsi="Times New Roman"/>
                <w:color w:val="auto"/>
              </w:rPr>
            </w:pPr>
            <w:r>
              <w:rPr>
                <w:rFonts w:ascii="Times New Roman" w:hAnsi="Times New Roman"/>
                <w:color w:val="auto"/>
              </w:rPr>
              <w:t>5. 产品检验检测报告不是6个月内符合本细则表2规定标准的合格检验检测报告的，判为不符合。</w:t>
            </w:r>
          </w:p>
          <w:p>
            <w:pPr>
              <w:adjustRightInd w:val="0"/>
              <w:snapToGrid w:val="0"/>
              <w:rPr>
                <w:rFonts w:ascii="Times New Roman" w:hAnsi="Times New Roman"/>
                <w:color w:val="auto"/>
              </w:rPr>
            </w:pPr>
            <w:r>
              <w:rPr>
                <w:rFonts w:ascii="Times New Roman" w:hAnsi="Times New Roman"/>
                <w:color w:val="auto"/>
              </w:rPr>
              <w:t>6. 产品检验检测报告含有分包项的，判为不符合。</w:t>
            </w:r>
          </w:p>
          <w:p>
            <w:pPr>
              <w:snapToGrid w:val="0"/>
              <w:rPr>
                <w:rFonts w:ascii="Times New Roman" w:hAnsi="Times New Roman"/>
                <w:color w:val="auto"/>
              </w:rPr>
            </w:pPr>
            <w:r>
              <w:rPr>
                <w:rFonts w:ascii="Times New Roman" w:hAnsi="Times New Roman"/>
                <w:color w:val="auto"/>
              </w:rPr>
              <w:t>7. 检验检测机构CMA资质认定证书失效（检验检测报告签发时），或者检验检测能力未覆盖本细则规定的产品标准和检验检测标准，判为不符合。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92"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b/>
                <w:color w:val="auto"/>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6）是否按规定配备了与企业规模、产品类别、风险等级相适应的质量安全总监，是否经培训考核合格并保存培训、考核记录，是否有任职文件。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7）是否按规定配备了与企业规模、产品类别、风险等级相适应的质量安全员，是否经培训考核合格并保存培训、考核记录，是否有任职文件。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技术</w:t>
            </w:r>
          </w:p>
          <w:p>
            <w:pPr>
              <w:snapToGrid w:val="0"/>
              <w:jc w:val="center"/>
              <w:rPr>
                <w:rFonts w:ascii="Times New Roman" w:hAnsi="Times New Roman"/>
                <w:color w:val="auto"/>
              </w:rPr>
            </w:pPr>
            <w:r>
              <w:rPr>
                <w:rFonts w:ascii="Times New Roman" w:hAnsi="Times New Roman"/>
                <w:color w:val="auto"/>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8）技术人员是否熟悉所申请的产品技术要求和相关标准。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1.技术人员对产品技术要求和相关标准部分内容不熟悉，判为建议改进。</w:t>
            </w:r>
          </w:p>
          <w:p>
            <w:pPr>
              <w:snapToGrid w:val="0"/>
              <w:rPr>
                <w:rFonts w:ascii="Times New Roman" w:hAnsi="Times New Roman"/>
                <w:color w:val="auto"/>
              </w:rPr>
            </w:pPr>
            <w:r>
              <w:rPr>
                <w:rFonts w:ascii="Times New Roman" w:hAnsi="Times New Roman"/>
                <w:color w:val="auto"/>
              </w:rPr>
              <w:t>2.技术人员不具有相关产品专业技术知识，或不熟悉相关标准，判为不符合。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42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2.4</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9）检验检测人员是否经过培训和考核，并经授权；是否保存培训、考核记录和授权文件；</w:t>
            </w:r>
          </w:p>
          <w:p>
            <w:pPr>
              <w:snapToGrid w:val="0"/>
              <w:rPr>
                <w:rFonts w:ascii="Times New Roman" w:hAnsi="Times New Roman"/>
                <w:color w:val="auto"/>
              </w:rPr>
            </w:pPr>
            <w:r>
              <w:rPr>
                <w:rFonts w:ascii="Times New Roman" w:hAnsi="Times New Roman"/>
                <w:color w:val="auto"/>
              </w:rPr>
              <w:t>观察检验检测人员进行进货检验、过程检验检测、出厂检验，是否能够规范操作，其操作是否符合检验检测规程，并正确作出判断。</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1.检验检测人员培训、考核记录不全，判为建议改进。</w:t>
            </w:r>
          </w:p>
          <w:p>
            <w:pPr>
              <w:snapToGrid w:val="0"/>
              <w:rPr>
                <w:rFonts w:ascii="Times New Roman" w:hAnsi="Times New Roman"/>
                <w:color w:val="auto"/>
              </w:rPr>
            </w:pPr>
            <w:r>
              <w:rPr>
                <w:rFonts w:ascii="Times New Roman" w:hAnsi="Times New Roman"/>
                <w:color w:val="auto"/>
              </w:rPr>
              <w:t>2.检验检测人员操作不规范，或操作不符合检验检测规，判为建议改进。</w:t>
            </w:r>
          </w:p>
          <w:p>
            <w:pPr>
              <w:snapToGrid w:val="0"/>
              <w:rPr>
                <w:rFonts w:ascii="Times New Roman" w:hAnsi="Times New Roman"/>
                <w:color w:val="auto"/>
              </w:rPr>
            </w:pPr>
            <w:r>
              <w:rPr>
                <w:rFonts w:ascii="Times New Roman" w:hAnsi="Times New Roman"/>
                <w:color w:val="auto"/>
              </w:rPr>
              <w:t>3.检验检测人员无培训、无考核记录、无授权，判为不符合。</w:t>
            </w:r>
          </w:p>
          <w:p>
            <w:pPr>
              <w:snapToGrid w:val="0"/>
              <w:rPr>
                <w:rFonts w:ascii="Times New Roman" w:hAnsi="Times New Roman"/>
                <w:color w:val="auto"/>
              </w:rPr>
            </w:pPr>
            <w:r>
              <w:rPr>
                <w:rFonts w:ascii="Times New Roman" w:hAnsi="Times New Roman"/>
                <w:color w:val="auto"/>
              </w:rPr>
              <w:t>4.检验检测人员操作不规范，操作不符合检验检测规程且无法正确作出判断的，判为不符合。</w:t>
            </w:r>
          </w:p>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2.5</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10）现场观察每一关键工序、质量控制点、特殊过程等实际生产操作情况，操作人员是否能按照技术工艺文件的规定熟练操作。</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1.操作人员操作符合技术工艺文件的规定但不熟练，判为建议改进。</w:t>
            </w:r>
          </w:p>
          <w:p>
            <w:pPr>
              <w:snapToGrid w:val="0"/>
              <w:rPr>
                <w:rFonts w:ascii="Times New Roman" w:hAnsi="Times New Roman"/>
                <w:color w:val="auto"/>
              </w:rPr>
            </w:pPr>
            <w:r>
              <w:rPr>
                <w:rFonts w:ascii="Times New Roman" w:hAnsi="Times New Roman"/>
                <w:color w:val="auto"/>
              </w:rPr>
              <w:t>2.操作人员操作不符合技术工艺文件的规定，判为不符合。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auto"/>
              </w:rPr>
            </w:pPr>
            <w:r>
              <w:rPr>
                <w:rFonts w:ascii="Times New Roman" w:hAnsi="Times New Roman"/>
                <w:b/>
                <w:color w:val="auto"/>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auto"/>
              </w:rPr>
            </w:pPr>
            <w:r>
              <w:rPr>
                <w:rFonts w:ascii="Times New Roman" w:hAnsi="Times New Roman"/>
                <w:b/>
                <w:color w:val="auto"/>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3.1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11）企业是否具备满足其生产、检验检测所需的场所设施，并运行正常。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hint="eastAsia" w:ascii="Times New Roman" w:hAnsi="Times New Roman"/>
                <w:color w:val="auto"/>
              </w:rPr>
              <w:t>1</w:t>
            </w:r>
            <w:r>
              <w:rPr>
                <w:rFonts w:ascii="Times New Roman" w:hAnsi="Times New Roman"/>
                <w:color w:val="auto"/>
              </w:rPr>
              <w:t>.企业场所设施不能满足生产、检验检测要求，则判为不符合。</w:t>
            </w:r>
          </w:p>
          <w:p>
            <w:pPr>
              <w:pStyle w:val="2"/>
              <w:snapToGrid w:val="0"/>
              <w:rPr>
                <w:rFonts w:ascii="Times New Roman" w:hAnsi="Times New Roman"/>
                <w:color w:val="auto"/>
              </w:rPr>
            </w:pPr>
            <w:r>
              <w:rPr>
                <w:rFonts w:ascii="Times New Roman" w:hAnsi="Times New Roman"/>
                <w:b w:val="0"/>
                <w:color w:val="auto"/>
                <w:sz w:val="21"/>
                <w:szCs w:val="21"/>
              </w:rPr>
              <w:t>2.</w:t>
            </w:r>
            <w:r>
              <w:rPr>
                <w:rFonts w:hint="default" w:ascii="Times New Roman" w:hAnsi="Times New Roman"/>
                <w:b w:val="0"/>
                <w:color w:val="auto"/>
                <w:sz w:val="21"/>
                <w:szCs w:val="21"/>
              </w:rPr>
              <w:t>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27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3.2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生产设备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12）企业是否具备满足本细则表3-2规定的，与其生产产品、生产工艺相适应的生产设备，并运行正常。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企业实际生产设备若缺少本细则表3-2中的任一应具备的生产设备，或不能正常运转的，判为不符合（非典型工艺按照现场核查情况进行判定）。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84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3.3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13）企业是否具备满足本细则表3-3规定的检验检测设备，并持有有效的计量检定或校准证书（报告），证明其性能符合规定要求且保持在可信状态。</w:t>
            </w:r>
          </w:p>
          <w:p>
            <w:pPr>
              <w:snapToGrid w:val="0"/>
              <w:rPr>
                <w:rFonts w:ascii="Times New Roman" w:hAnsi="Times New Roman"/>
                <w:color w:val="auto"/>
              </w:rPr>
            </w:pPr>
            <w:r>
              <w:rPr>
                <w:rFonts w:hint="eastAsia" w:ascii="Times New Roman" w:hAnsi="Times New Roman"/>
                <w:color w:val="auto"/>
              </w:rPr>
              <w:t>本细则表3-3中型式检验检测设备，企业可不具备，其所涉及的项目，允许企业委托具备CMA资质的第三方机构实施。</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pStyle w:val="2"/>
              <w:rPr>
                <w:rFonts w:ascii="Times New Roman" w:hAnsi="Times New Roman"/>
                <w:color w:val="auto"/>
              </w:rPr>
            </w:pPr>
            <w:r>
              <w:rPr>
                <w:rFonts w:ascii="Times New Roman" w:hAnsi="Times New Roman"/>
                <w:b w:val="0"/>
                <w:color w:val="auto"/>
                <w:sz w:val="21"/>
                <w:szCs w:val="21"/>
              </w:rPr>
              <w:sym w:font="Wingdings" w:char="00A8"/>
            </w:r>
            <w:r>
              <w:rPr>
                <w:rFonts w:ascii="Times New Roman" w:hAnsi="Times New Roman"/>
                <w:b w:val="0"/>
                <w:color w:val="auto"/>
                <w:sz w:val="21"/>
                <w:szCs w:val="21"/>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beforeLines="10"/>
              <w:rPr>
                <w:rFonts w:ascii="Times New Roman" w:hAnsi="Times New Roman"/>
                <w:color w:val="auto"/>
              </w:rPr>
            </w:pPr>
            <w:r>
              <w:rPr>
                <w:rFonts w:ascii="Times New Roman" w:hAnsi="Times New Roman"/>
                <w:color w:val="auto"/>
              </w:rPr>
              <w:t>1. 企业缺少本细则表3-3规定的检验检测设备，或同一设备所有台套未持有有效的计量检定或校准证书（报告），</w:t>
            </w:r>
            <w:r>
              <w:rPr>
                <w:rFonts w:hint="eastAsia" w:ascii="Times New Roman" w:hAnsi="Times New Roman"/>
                <w:color w:val="auto"/>
              </w:rPr>
              <w:t>且</w:t>
            </w:r>
            <w:r>
              <w:rPr>
                <w:rFonts w:ascii="Times New Roman" w:hAnsi="Times New Roman"/>
                <w:color w:val="auto"/>
              </w:rPr>
              <w:t>都不能正常使用的，判为不符合。</w:t>
            </w:r>
          </w:p>
          <w:p>
            <w:pPr>
              <w:pStyle w:val="2"/>
              <w:rPr>
                <w:rFonts w:ascii="Times New Roman" w:hAnsi="Times New Roman"/>
                <w:color w:val="auto"/>
              </w:rPr>
            </w:pPr>
            <w:r>
              <w:rPr>
                <w:rFonts w:ascii="Times New Roman" w:hAnsi="Times New Roman"/>
                <w:b w:val="0"/>
                <w:color w:val="auto"/>
                <w:sz w:val="21"/>
                <w:szCs w:val="21"/>
              </w:rPr>
              <w:t>2. 除以上情况外，其他存在不能正常使用、无有效计量检定或校准证书</w:t>
            </w:r>
            <w:r>
              <w:rPr>
                <w:rFonts w:hint="eastAsia" w:ascii="Times New Roman" w:hAnsi="Times New Roman"/>
                <w:b w:val="0"/>
                <w:color w:val="auto"/>
                <w:sz w:val="21"/>
                <w:szCs w:val="21"/>
              </w:rPr>
              <w:t>、或计量检定或校准证书中检定校准的温度、压力等的参数值与标准规定不一致</w:t>
            </w:r>
            <w:r>
              <w:rPr>
                <w:rFonts w:ascii="Times New Roman" w:hAnsi="Times New Roman"/>
                <w:b w:val="0"/>
                <w:color w:val="auto"/>
                <w:sz w:val="21"/>
                <w:szCs w:val="21"/>
              </w:rPr>
              <w:t>的判为建议改进。</w:t>
            </w:r>
          </w:p>
          <w:p>
            <w:pPr>
              <w:adjustRightInd w:val="0"/>
              <w:snapToGrid w:val="0"/>
              <w:spacing w:before="24" w:beforeLines="10"/>
              <w:rPr>
                <w:rFonts w:ascii="Times New Roman" w:hAnsi="Times New Roman"/>
                <w:color w:val="auto"/>
              </w:rPr>
            </w:pPr>
            <w:r>
              <w:rPr>
                <w:rFonts w:ascii="Times New Roman" w:hAnsi="Times New Roman"/>
                <w:color w:val="auto"/>
              </w:rPr>
              <w:t>3. 不具备表3-3中型式检验检测设备且无委托检验检测报告的，判为不符合。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26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b/>
                <w:color w:val="auto"/>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b/>
                <w:color w:val="auto"/>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auto"/>
              </w:rPr>
            </w:pPr>
            <w:r>
              <w:rPr>
                <w:rFonts w:ascii="Times New Roman" w:hAnsi="Times New Roman"/>
                <w:color w:val="auto"/>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14）企业是否建立了产品质量安全管理制度，</w:t>
            </w:r>
            <w:r>
              <w:rPr>
                <w:rFonts w:ascii="Times New Roman" w:hAnsi="Times New Roman"/>
                <w:color w:val="auto"/>
                <w:shd w:val="clear" w:color="000000" w:fill="FFFFFF"/>
              </w:rPr>
              <w:t>实施内部审核与管理评审，</w:t>
            </w:r>
            <w:r>
              <w:rPr>
                <w:rFonts w:ascii="Times New Roman" w:hAnsi="Times New Roman"/>
                <w:color w:val="auto"/>
              </w:rPr>
              <w:t>并保存运行记录</w:t>
            </w:r>
            <w:r>
              <w:rPr>
                <w:rFonts w:ascii="Times New Roman" w:hAnsi="Times New Roman"/>
                <w:color w:val="auto"/>
                <w:shd w:val="clear" w:color="000000" w:fill="FFFFFF"/>
              </w:rPr>
              <w:t>。</w:t>
            </w:r>
            <w:r>
              <w:rPr>
                <w:rFonts w:ascii="Times New Roman" w:hAnsi="Times New Roman"/>
                <w:color w:val="auto"/>
              </w:rPr>
              <w:t>包括但不限于：</w:t>
            </w:r>
            <w:r>
              <w:rPr>
                <w:rFonts w:ascii="Times New Roman" w:hAnsi="Times New Roman"/>
                <w:color w:val="auto"/>
                <w:shd w:val="clear" w:color="000000" w:fill="FFFFFF"/>
              </w:rPr>
              <w:t>主要负责人、质量安全总监和质量安全员的设立、调整、岗位职责</w:t>
            </w:r>
            <w:r>
              <w:rPr>
                <w:rFonts w:hint="eastAsia" w:ascii="Times New Roman" w:hAnsi="Times New Roman"/>
                <w:color w:val="auto"/>
                <w:shd w:val="clear" w:color="000000" w:fill="FFFFFF"/>
              </w:rPr>
              <w:t>以及质量安全总监和质量安全员的</w:t>
            </w:r>
            <w:r>
              <w:rPr>
                <w:rFonts w:ascii="Times New Roman" w:hAnsi="Times New Roman"/>
                <w:color w:val="auto"/>
                <w:shd w:val="clear" w:color="000000" w:fill="FFFFFF"/>
              </w:rPr>
              <w:t>培训考核要求等</w:t>
            </w:r>
            <w:r>
              <w:rPr>
                <w:rFonts w:ascii="Times New Roman" w:hAnsi="Times New Roman"/>
                <w:color w:val="auto"/>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1.产品质量安全管理制度与申请产品不相适应或管理制度不健全，或者运行记录不全，判为建议改进；</w:t>
            </w:r>
          </w:p>
          <w:p>
            <w:pPr>
              <w:snapToGrid w:val="0"/>
              <w:rPr>
                <w:rFonts w:ascii="Times New Roman" w:hAnsi="Times New Roman"/>
                <w:color w:val="auto"/>
              </w:rPr>
            </w:pPr>
            <w:r>
              <w:rPr>
                <w:rFonts w:ascii="Times New Roman" w:hAnsi="Times New Roman"/>
                <w:color w:val="auto"/>
              </w:rPr>
              <w:t>2.企业未建立质量安全管理制度，或未</w:t>
            </w:r>
            <w:r>
              <w:rPr>
                <w:rFonts w:ascii="Times New Roman" w:hAnsi="Times New Roman"/>
                <w:color w:val="auto"/>
                <w:shd w:val="clear" w:color="000000" w:fill="FFFFFF"/>
              </w:rPr>
              <w:t>实施内部审核与管理评审，</w:t>
            </w:r>
            <w:r>
              <w:rPr>
                <w:rFonts w:ascii="Times New Roman" w:hAnsi="Times New Roman"/>
                <w:color w:val="auto"/>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质量安全追溯制度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15）企业是否建立了产品质量安全追溯制度，企业出厂产品的相关信息是否可追溯。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1.建立了产品质量安全追溯制度但执行不到位，判为建议改进。</w:t>
            </w:r>
          </w:p>
          <w:p>
            <w:pPr>
              <w:snapToGrid w:val="0"/>
              <w:rPr>
                <w:rFonts w:ascii="Times New Roman" w:hAnsi="Times New Roman"/>
                <w:color w:val="auto"/>
              </w:rPr>
            </w:pPr>
            <w:r>
              <w:rPr>
                <w:rFonts w:ascii="Times New Roman" w:hAnsi="Times New Roman"/>
                <w:color w:val="auto"/>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color w:val="auto"/>
              </w:rPr>
            </w:pPr>
            <w:r>
              <w:rPr>
                <w:rFonts w:ascii="Times New Roman" w:hAnsi="Times New Roman"/>
                <w:b/>
                <w:color w:val="auto"/>
              </w:rPr>
              <w:t>5</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b/>
                <w:color w:val="auto"/>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5.1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工艺流程</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16）工艺流程图是否与其生产实际相吻合。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1.核查内容16）或17）款</w:t>
            </w:r>
            <w:r>
              <w:rPr>
                <w:rFonts w:hint="eastAsia" w:ascii="Times New Roman" w:hAnsi="Times New Roman"/>
                <w:color w:val="auto"/>
              </w:rPr>
              <w:t>任意一款</w:t>
            </w:r>
            <w:r>
              <w:rPr>
                <w:rFonts w:ascii="Times New Roman" w:hAnsi="Times New Roman"/>
                <w:color w:val="auto"/>
              </w:rPr>
              <w:t>为“否”，判为建议改进。</w:t>
            </w:r>
          </w:p>
          <w:p>
            <w:pPr>
              <w:snapToGrid w:val="0"/>
              <w:rPr>
                <w:rFonts w:ascii="Times New Roman" w:hAnsi="Times New Roman"/>
                <w:color w:val="auto"/>
              </w:rPr>
            </w:pPr>
            <w:r>
              <w:rPr>
                <w:rFonts w:ascii="Times New Roman" w:hAnsi="Times New Roman"/>
                <w:color w:val="auto"/>
              </w:rPr>
              <w:t>2.核查内容16）和17）款均为“否”，判为不符合。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17）是否标明关键工序、质量控制点。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4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18）技术工艺文件是否齐全，是否有工艺要求、不合格品的处置规定等。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1.技术工艺文件不全或内容不完整的，判为建议改进。</w:t>
            </w:r>
          </w:p>
          <w:p>
            <w:pPr>
              <w:snapToGrid w:val="0"/>
              <w:rPr>
                <w:rFonts w:ascii="Times New Roman" w:hAnsi="Times New Roman"/>
                <w:color w:val="auto"/>
              </w:rPr>
            </w:pPr>
            <w:r>
              <w:rPr>
                <w:rFonts w:ascii="Times New Roman" w:hAnsi="Times New Roman"/>
                <w:color w:val="auto"/>
              </w:rPr>
              <w:t>2.所有关键工序、质量控制点均无技术工艺文件，判为不符合。</w:t>
            </w:r>
          </w:p>
          <w:p>
            <w:pPr>
              <w:snapToGrid w:val="0"/>
              <w:rPr>
                <w:rFonts w:ascii="Times New Roman" w:hAnsi="Times New Roman"/>
                <w:color w:val="auto"/>
              </w:rPr>
            </w:pPr>
            <w:r>
              <w:rPr>
                <w:rFonts w:ascii="Times New Roman" w:hAnsi="Times New Roman"/>
                <w:color w:val="auto"/>
              </w:rPr>
              <w:t>3. 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19）对识别和确认的所有关键工序、质量控制点，是否均编制相关工艺文件。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8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20）技术工艺文件是否符合标准要求，是否明确了具体的控制参数，是否经过审批、受控。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21）是否对采购重要原材料进货检验（或验证）、生产过程检验检测、产品出厂检验作出规定，检验检测文件是否经过审批、受控。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1.核查内容21）</w:t>
            </w:r>
            <w:r>
              <w:rPr>
                <w:rFonts w:hint="eastAsia" w:ascii="Times New Roman" w:hAnsi="Times New Roman"/>
                <w:color w:val="auto"/>
                <w:lang w:val="en-US" w:eastAsia="zh-CN"/>
              </w:rPr>
              <w:t>或</w:t>
            </w:r>
            <w:r>
              <w:rPr>
                <w:rFonts w:ascii="Times New Roman" w:hAnsi="Times New Roman"/>
                <w:color w:val="auto"/>
              </w:rPr>
              <w:t>22）款任一</w:t>
            </w:r>
            <w:r>
              <w:rPr>
                <w:rFonts w:hint="eastAsia" w:ascii="Times New Roman" w:hAnsi="Times New Roman"/>
                <w:color w:val="auto"/>
              </w:rPr>
              <w:t>款</w:t>
            </w:r>
            <w:r>
              <w:rPr>
                <w:rFonts w:ascii="Times New Roman" w:hAnsi="Times New Roman"/>
                <w:color w:val="auto"/>
              </w:rPr>
              <w:t>为“否”，判为建议改进。</w:t>
            </w:r>
          </w:p>
          <w:p>
            <w:pPr>
              <w:snapToGrid w:val="0"/>
              <w:rPr>
                <w:rFonts w:ascii="Times New Roman" w:hAnsi="Times New Roman"/>
                <w:color w:val="auto"/>
              </w:rPr>
            </w:pPr>
            <w:r>
              <w:rPr>
                <w:rFonts w:ascii="Times New Roman" w:hAnsi="Times New Roman"/>
                <w:color w:val="auto"/>
              </w:rPr>
              <w:t>2.核查内容21）和22）款均为“否”，判为不符合。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22）是否编制了检验检测规程，是否经过审批、受控，其内容是否完整正确（应包括检验检测频次、检验检测样品数、抽样方式、检验检测项目、检验检测方法、检验检测结果判定及处理）。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auto"/>
              </w:rPr>
            </w:pPr>
            <w:r>
              <w:rPr>
                <w:rFonts w:ascii="Times New Roman" w:hAnsi="Times New Roman"/>
                <w:b/>
                <w:color w:val="auto"/>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b/>
                <w:color w:val="auto"/>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bCs/>
                <w:color w:val="auto"/>
              </w:rPr>
              <w:t>生产记录</w:t>
            </w:r>
          </w:p>
        </w:tc>
        <w:tc>
          <w:tcPr>
            <w:tcW w:w="4252" w:type="dxa"/>
            <w:tcBorders>
              <w:top w:val="single" w:color="auto" w:sz="4" w:space="0"/>
              <w:left w:val="single" w:color="auto" w:sz="4" w:space="0"/>
              <w:bottom w:val="single" w:color="auto" w:sz="4" w:space="0"/>
              <w:right w:val="single" w:color="auto" w:sz="4" w:space="0"/>
            </w:tcBorders>
            <w:vAlign w:val="center"/>
          </w:tcPr>
          <w:p>
            <w:pPr>
              <w:pStyle w:val="54"/>
              <w:numPr>
                <w:ilvl w:val="0"/>
                <w:numId w:val="3"/>
              </w:numPr>
              <w:ind w:left="0"/>
              <w:rPr>
                <w:rFonts w:ascii="Times New Roman" w:hAnsi="Times New Roman"/>
                <w:color w:val="auto"/>
              </w:rPr>
            </w:pPr>
            <w:r>
              <w:rPr>
                <w:rFonts w:ascii="Times New Roman" w:hAnsi="Times New Roman"/>
                <w:bCs/>
                <w:color w:val="auto"/>
              </w:rPr>
              <w:t>23）根据企业制定的主要生产过程进行记录。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sym w:font="Wingdings" w:char="F06F"/>
            </w:r>
            <w:r>
              <w:rPr>
                <w:rFonts w:ascii="Times New Roman" w:hAnsi="Times New Roman"/>
                <w:bCs/>
                <w:color w:val="auto"/>
              </w:rPr>
              <w:t>是；</w:t>
            </w:r>
            <w:r>
              <w:rPr>
                <w:rFonts w:ascii="Times New Roman" w:hAnsi="Times New Roman"/>
                <w:bCs/>
                <w:color w:val="auto"/>
              </w:rPr>
              <w:sym w:font="Wingdings" w:char="F06F"/>
            </w:r>
            <w:r>
              <w:rPr>
                <w:rFonts w:ascii="Times New Roman" w:hAnsi="Times New Roman"/>
                <w:bCs/>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bCs/>
                <w:color w:val="auto"/>
              </w:rPr>
            </w:pPr>
            <w:r>
              <w:rPr>
                <w:rFonts w:ascii="Times New Roman" w:hAnsi="Times New Roman"/>
                <w:bCs/>
                <w:color w:val="auto"/>
              </w:rPr>
              <w:sym w:font="Wingdings" w:char="F06F"/>
            </w:r>
            <w:r>
              <w:rPr>
                <w:rFonts w:ascii="Times New Roman" w:hAnsi="Times New Roman"/>
                <w:bCs/>
                <w:color w:val="auto"/>
              </w:rPr>
              <w:t>符合</w:t>
            </w:r>
          </w:p>
          <w:p>
            <w:pPr>
              <w:adjustRightInd w:val="0"/>
              <w:snapToGrid w:val="0"/>
              <w:rPr>
                <w:rFonts w:ascii="Times New Roman" w:hAnsi="Times New Roman"/>
                <w:bCs/>
                <w:color w:val="auto"/>
              </w:rPr>
            </w:pPr>
            <w:r>
              <w:rPr>
                <w:rFonts w:ascii="Times New Roman" w:hAnsi="Times New Roman"/>
                <w:bCs/>
                <w:color w:val="auto"/>
              </w:rPr>
              <w:sym w:font="Wingdings" w:char="F06F"/>
            </w:r>
            <w:r>
              <w:rPr>
                <w:rFonts w:ascii="Times New Roman" w:hAnsi="Times New Roman"/>
                <w:bCs/>
                <w:color w:val="auto"/>
              </w:rPr>
              <w:t>不符合</w:t>
            </w:r>
          </w:p>
          <w:p>
            <w:pPr>
              <w:snapToGrid w:val="0"/>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bCs/>
                <w:color w:val="auto"/>
              </w:rPr>
            </w:pPr>
            <w:r>
              <w:rPr>
                <w:rFonts w:ascii="Times New Roman" w:hAnsi="Times New Roman"/>
                <w:bCs/>
                <w:color w:val="auto"/>
              </w:rPr>
              <w:t>检查企业本次申请取证产品的生产记录（包括企业申请时提交的检验报告同批次产品的记录）。</w:t>
            </w:r>
          </w:p>
          <w:p>
            <w:pPr>
              <w:adjustRightInd w:val="0"/>
              <w:snapToGrid w:val="0"/>
              <w:rPr>
                <w:rFonts w:ascii="Times New Roman" w:hAnsi="Times New Roman"/>
                <w:color w:val="auto"/>
              </w:rPr>
            </w:pPr>
            <w:r>
              <w:rPr>
                <w:rFonts w:ascii="Times New Roman" w:hAnsi="Times New Roman"/>
                <w:bCs/>
                <w:color w:val="auto"/>
              </w:rPr>
              <w:t>1.生产记录</w:t>
            </w:r>
            <w:r>
              <w:rPr>
                <w:rFonts w:ascii="Times New Roman" w:hAnsi="Times New Roman"/>
                <w:color w:val="auto"/>
              </w:rPr>
              <w:t>存在系统性问题的，判为不符合。</w:t>
            </w:r>
          </w:p>
          <w:p>
            <w:pPr>
              <w:snapToGrid w:val="0"/>
              <w:rPr>
                <w:rFonts w:ascii="Times New Roman" w:hAnsi="Times New Roman"/>
                <w:color w:val="auto"/>
              </w:rPr>
            </w:pPr>
            <w:r>
              <w:rPr>
                <w:rFonts w:ascii="Times New Roman" w:hAnsi="Times New Roman"/>
                <w:bCs/>
                <w:color w:val="auto"/>
              </w:rPr>
              <w:t>2.存在部分记录不全的，判为建议改进。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pStyle w:val="54"/>
              <w:numPr>
                <w:ilvl w:val="0"/>
                <w:numId w:val="3"/>
              </w:numPr>
              <w:ind w:left="0"/>
              <w:rPr>
                <w:rFonts w:ascii="Times New Roman" w:hAnsi="Times New Roman"/>
                <w:color w:val="auto"/>
              </w:rPr>
            </w:pPr>
            <w:r>
              <w:rPr>
                <w:rFonts w:ascii="Times New Roman" w:hAnsi="Times New Roman"/>
                <w:color w:val="auto"/>
              </w:rPr>
              <w:t>24）主要原材料是否按要求进行检验检测或验收并保留检验检测或验收记录。</w:t>
            </w:r>
            <w:r>
              <w:rPr>
                <w:rFonts w:ascii="Times New Roman" w:hAnsi="Times New Roman"/>
                <w:bCs/>
                <w:color w:val="auto"/>
              </w:rPr>
              <w:t>不得使用未经证实安全性的工业废弃物、城市垃圾、污泥、色素、包膜材料、防结块剂等作为磷肥生产原料。</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1.主要原材料的检验或验收记录不全，判为建议改进。</w:t>
            </w:r>
          </w:p>
          <w:p>
            <w:pPr>
              <w:snapToGrid w:val="0"/>
              <w:rPr>
                <w:rFonts w:ascii="Times New Roman" w:hAnsi="Times New Roman"/>
                <w:color w:val="auto"/>
              </w:rPr>
            </w:pPr>
            <w:r>
              <w:rPr>
                <w:rFonts w:ascii="Times New Roman" w:hAnsi="Times New Roman"/>
                <w:color w:val="auto"/>
              </w:rPr>
              <w:t>2.未对主要原材料按要求进行检验或验收并保存检验或验收记录，判为不符合。</w:t>
            </w:r>
          </w:p>
          <w:p>
            <w:pPr>
              <w:snapToGrid w:val="0"/>
              <w:rPr>
                <w:rFonts w:ascii="Times New Roman" w:hAnsi="Times New Roman"/>
                <w:color w:val="auto"/>
              </w:rPr>
            </w:pPr>
            <w:r>
              <w:rPr>
                <w:rFonts w:ascii="Times New Roman" w:hAnsi="Times New Roman"/>
                <w:color w:val="auto"/>
              </w:rPr>
              <w:t>3.使用未经证实安全性的工业废弃物、城市垃圾、污泥、色素、包膜材料、防结块剂等作为磷肥生产原料的，判为不符合。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auto"/>
              </w:rPr>
            </w:pPr>
            <w:r>
              <w:rPr>
                <w:rFonts w:ascii="Times New Roman" w:hAnsi="Times New Roman"/>
                <w:color w:val="auto"/>
              </w:rPr>
              <w:t>25）是否按技术工艺文件要求对每一关键工序、质量控制点的主要工艺参数进行了控制并记录。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1.记录不完整的，判为建议改进。</w:t>
            </w:r>
          </w:p>
          <w:p>
            <w:pPr>
              <w:snapToGrid w:val="0"/>
              <w:rPr>
                <w:rFonts w:ascii="Times New Roman" w:hAnsi="Times New Roman"/>
                <w:color w:val="auto"/>
              </w:rPr>
            </w:pPr>
            <w:r>
              <w:rPr>
                <w:rFonts w:ascii="Times New Roman" w:hAnsi="Times New Roman"/>
                <w:color w:val="auto"/>
              </w:rPr>
              <w:t>2.未进行控制或无记录的，判为不符合。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sz w:val="20"/>
                <w:szCs w:val="20"/>
              </w:rPr>
            </w:pPr>
            <w:r>
              <w:rPr>
                <w:rFonts w:ascii="Times New Roman" w:hAnsi="Times New Roman"/>
                <w:color w:val="auto"/>
              </w:rPr>
              <w:t>6.4</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26）成品是否按产品标准的规定进行出厂检验，并保存记录。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rFonts w:ascii="Times New Roman" w:hAnsi="Times New Roman"/>
                <w:color w:val="auto"/>
              </w:rPr>
            </w:pPr>
            <w:r>
              <w:rPr>
                <w:rFonts w:ascii="Times New Roman" w:hAnsi="Times New Roman"/>
                <w:bCs/>
                <w:color w:val="auto"/>
              </w:rPr>
              <w:t>未按照标准规定进行出厂检验，或未保存出厂检验记录，判为不符合。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t>27）现场抽查出厂检验项目中1～2个项目，核查出厂检验能力是否符合标准要求。</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rFonts w:ascii="Times New Roman" w:hAnsi="Times New Roman"/>
                <w:bCs/>
                <w:color w:val="auto"/>
              </w:rPr>
            </w:pPr>
            <w:r>
              <w:rPr>
                <w:rFonts w:ascii="Times New Roman" w:hAnsi="Times New Roman"/>
                <w:bCs/>
                <w:color w:val="auto"/>
              </w:rPr>
              <w:t>对于检验项目不符合标准要求的则为否，判为不符合。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6.5</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bCs/>
                <w:color w:val="auto"/>
              </w:rPr>
              <w:t>型式检验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t>28）型式检验报告中的“检验项目”不少于产品标准规定的和表3-2关键检验设备对应的型式检验项目。若委托型式检验，企业应与具备相关资质的检验机构签订了委托检验协议，型式检验项目所需仪器可不做要求。</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sym w:font="Wingdings" w:char="F06F"/>
            </w:r>
            <w:r>
              <w:rPr>
                <w:rFonts w:ascii="Times New Roman" w:hAnsi="Times New Roman"/>
                <w:bCs/>
                <w:color w:val="auto"/>
              </w:rPr>
              <w:t>是；</w:t>
            </w:r>
            <w:r>
              <w:rPr>
                <w:rFonts w:ascii="Times New Roman" w:hAnsi="Times New Roman"/>
                <w:bCs/>
                <w:color w:val="auto"/>
              </w:rPr>
              <w:sym w:font="Wingdings" w:char="F06F"/>
            </w:r>
            <w:r>
              <w:rPr>
                <w:rFonts w:ascii="Times New Roman" w:hAnsi="Times New Roman"/>
                <w:bCs/>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bCs/>
                <w:color w:val="auto"/>
              </w:rPr>
            </w:pPr>
            <w:r>
              <w:rPr>
                <w:rFonts w:ascii="Times New Roman" w:hAnsi="Times New Roman"/>
                <w:bCs/>
                <w:color w:val="auto"/>
              </w:rPr>
              <w:sym w:font="Wingdings" w:char="F06F"/>
            </w:r>
            <w:r>
              <w:rPr>
                <w:rFonts w:ascii="Times New Roman" w:hAnsi="Times New Roman"/>
                <w:bCs/>
                <w:color w:val="auto"/>
              </w:rPr>
              <w:t>符合</w:t>
            </w:r>
          </w:p>
          <w:p>
            <w:pPr>
              <w:snapToGrid w:val="0"/>
              <w:rPr>
                <w:rFonts w:ascii="Times New Roman" w:hAnsi="Times New Roman"/>
                <w:color w:val="auto"/>
              </w:rPr>
            </w:pPr>
            <w:r>
              <w:rPr>
                <w:rFonts w:ascii="Times New Roman" w:hAnsi="Times New Roman"/>
                <w:bCs/>
                <w:color w:val="auto"/>
              </w:rPr>
              <w:sym w:font="Wingdings" w:char="F06F"/>
            </w:r>
            <w:r>
              <w:rPr>
                <w:rFonts w:ascii="Times New Roman" w:hAnsi="Times New Roman"/>
                <w:bCs/>
                <w:color w:val="auto"/>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t>检查企业的型式检验记录（包括企业申请时提交的检验报告同批次产品的记录），未按细则规定要求进行型式检验的，企业未与具备相关资质的检验机构签订了委托检验协议的，判为不符合。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6.6</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29）对不合格品是否按规定进行处置并保存相关记录。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1.记录不完整的，判为建议改进。</w:t>
            </w:r>
          </w:p>
          <w:p>
            <w:pPr>
              <w:snapToGrid w:val="0"/>
              <w:rPr>
                <w:rFonts w:ascii="Times New Roman" w:hAnsi="Times New Roman"/>
                <w:color w:val="auto"/>
              </w:rPr>
            </w:pPr>
            <w:r>
              <w:rPr>
                <w:rFonts w:ascii="Times New Roman" w:hAnsi="Times New Roman"/>
                <w:color w:val="auto"/>
              </w:rPr>
              <w:t>2.未按规定进行处置的，或未保存相关记录的，判为不符合。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6.7</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30）是否制定了产品贮存的相关规定，规定是否满足标准对产品贮存的相关要求。产品是否依照规定贮存并有贮存记录。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1.企业制定的相关规定不完善，或产品贮存不完全满足规定要求，或贮存记录不完整，判为建议改进。</w:t>
            </w:r>
          </w:p>
          <w:p>
            <w:pPr>
              <w:snapToGrid w:val="0"/>
              <w:rPr>
                <w:rFonts w:ascii="Times New Roman" w:hAnsi="Times New Roman"/>
                <w:color w:val="auto"/>
              </w:rPr>
            </w:pPr>
            <w:r>
              <w:rPr>
                <w:rFonts w:ascii="Times New Roman" w:hAnsi="Times New Roman"/>
                <w:color w:val="auto"/>
              </w:rPr>
              <w:t>2. 企业未制定相关规定或产品贮存不满足规定要求并导致产品出现损伤，判为不符合。</w:t>
            </w:r>
          </w:p>
        </w:tc>
      </w:tr>
    </w:tbl>
    <w:p>
      <w:pPr>
        <w:rPr>
          <w:rFonts w:ascii="Times New Roman" w:hAnsi="Times New Roman"/>
          <w:color w:val="auto"/>
        </w:rPr>
        <w:sectPr>
          <w:headerReference r:id="rId9" w:type="default"/>
          <w:pgSz w:w="16838" w:h="11906" w:orient="landscape"/>
          <w:pgMar w:top="1418" w:right="1418" w:bottom="1418" w:left="1418" w:header="851" w:footer="992" w:gutter="0"/>
          <w:cols w:space="720" w:num="1"/>
          <w:docGrid w:linePitch="312" w:charSpace="0"/>
        </w:sectPr>
      </w:pPr>
    </w:p>
    <w:bookmarkEnd w:id="62"/>
    <w:p>
      <w:pPr>
        <w:pStyle w:val="4"/>
        <w:spacing w:line="440" w:lineRule="exact"/>
        <w:ind w:left="1680" w:hanging="1680"/>
        <w:outlineLvl w:val="0"/>
        <w:rPr>
          <w:rFonts w:eastAsia="宋体"/>
          <w:b w:val="0"/>
          <w:color w:val="auto"/>
          <w:sz w:val="28"/>
          <w:szCs w:val="28"/>
        </w:rPr>
      </w:pPr>
      <w:bookmarkStart w:id="63" w:name="_Toc178002571"/>
      <w:r>
        <w:rPr>
          <w:rFonts w:eastAsia="宋体"/>
          <w:b w:val="0"/>
          <w:color w:val="auto"/>
          <w:sz w:val="28"/>
          <w:szCs w:val="28"/>
        </w:rPr>
        <w:t>附件4</w:t>
      </w:r>
      <w:bookmarkEnd w:id="63"/>
    </w:p>
    <w:p>
      <w:pPr>
        <w:pStyle w:val="4"/>
        <w:spacing w:line="440" w:lineRule="exact"/>
        <w:ind w:left="1687" w:hanging="1687"/>
        <w:jc w:val="center"/>
        <w:rPr>
          <w:rFonts w:eastAsia="宋体"/>
          <w:color w:val="auto"/>
        </w:rPr>
      </w:pPr>
      <w:bookmarkStart w:id="64" w:name="_Toc178002572"/>
      <w:r>
        <w:rPr>
          <w:rFonts w:eastAsia="宋体"/>
          <w:color w:val="auto"/>
          <w:sz w:val="28"/>
          <w:szCs w:val="28"/>
        </w:rPr>
        <w:t>企业实地核查不符合和建议改进条款汇总表</w:t>
      </w:r>
      <w:bookmarkEnd w:id="64"/>
    </w:p>
    <w:p>
      <w:pPr>
        <w:pStyle w:val="57"/>
        <w:tabs>
          <w:tab w:val="left" w:pos="210"/>
        </w:tabs>
        <w:snapToGrid w:val="0"/>
        <w:spacing w:line="300" w:lineRule="auto"/>
        <w:rPr>
          <w:rFonts w:ascii="Times New Roman" w:hAnsi="Times New Roman" w:eastAsia="宋体"/>
          <w:color w:val="auto"/>
          <w:sz w:val="21"/>
          <w:szCs w:val="21"/>
        </w:rPr>
      </w:pPr>
    </w:p>
    <w:p>
      <w:pPr>
        <w:tabs>
          <w:tab w:val="left" w:pos="210"/>
        </w:tabs>
        <w:snapToGrid w:val="0"/>
        <w:spacing w:line="300" w:lineRule="auto"/>
        <w:rPr>
          <w:rFonts w:ascii="Times New Roman" w:hAnsi="Times New Roman"/>
          <w:b/>
          <w:bCs/>
          <w:color w:val="auto"/>
        </w:rPr>
      </w:pPr>
      <w:r>
        <w:rPr>
          <w:rFonts w:ascii="Times New Roman" w:hAnsi="Times New Roman"/>
          <w:b/>
          <w:bCs/>
          <w:color w:val="auto"/>
        </w:rPr>
        <w:t>企业名称：</w:t>
      </w:r>
    </w:p>
    <w:p>
      <w:pPr>
        <w:tabs>
          <w:tab w:val="left" w:pos="210"/>
        </w:tabs>
        <w:snapToGrid w:val="0"/>
        <w:spacing w:line="300" w:lineRule="auto"/>
        <w:rPr>
          <w:rFonts w:ascii="Times New Roman" w:hAnsi="Times New Roman"/>
          <w:b/>
          <w:bCs/>
          <w:color w:val="auto"/>
        </w:rPr>
      </w:pPr>
      <w:r>
        <w:rPr>
          <w:rFonts w:ascii="Times New Roman" w:hAnsi="Times New Roman"/>
          <w:b/>
          <w:bCs/>
          <w:color w:val="auto"/>
        </w:rPr>
        <w:t>产品单元：</w:t>
      </w:r>
    </w:p>
    <w:p>
      <w:pPr>
        <w:tabs>
          <w:tab w:val="left" w:pos="210"/>
        </w:tabs>
        <w:snapToGrid w:val="0"/>
        <w:spacing w:line="300" w:lineRule="auto"/>
        <w:rPr>
          <w:rFonts w:ascii="Times New Roman" w:hAnsi="Times New Roman"/>
          <w:b/>
          <w:bCs/>
          <w:color w:val="auto"/>
        </w:rPr>
      </w:pPr>
      <w:r>
        <w:rPr>
          <w:rFonts w:ascii="Times New Roman" w:hAnsi="Times New Roman"/>
          <w:b/>
          <w:bCs/>
          <w:color w:val="auto"/>
        </w:rPr>
        <w:t>磷肥种类：</w:t>
      </w:r>
    </w:p>
    <w:tbl>
      <w:tblPr>
        <w:tblStyle w:val="37"/>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序号</w:t>
            </w:r>
          </w:p>
        </w:tc>
        <w:tc>
          <w:tcPr>
            <w:tcW w:w="993" w:type="dxa"/>
            <w:vMerge w:val="restart"/>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条款号</w:t>
            </w:r>
          </w:p>
        </w:tc>
        <w:tc>
          <w:tcPr>
            <w:tcW w:w="1701" w:type="dxa"/>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不符合程度</w:t>
            </w:r>
          </w:p>
        </w:tc>
        <w:tc>
          <w:tcPr>
            <w:tcW w:w="5919" w:type="dxa"/>
            <w:vMerge w:val="restart"/>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675" w:type="dxa"/>
            <w:vMerge w:val="continue"/>
            <w:vAlign w:val="center"/>
          </w:tcPr>
          <w:p>
            <w:pPr>
              <w:rPr>
                <w:rFonts w:ascii="Times New Roman" w:hAnsi="Times New Roman"/>
                <w:color w:val="auto"/>
              </w:rPr>
            </w:pPr>
          </w:p>
        </w:tc>
        <w:tc>
          <w:tcPr>
            <w:tcW w:w="993" w:type="dxa"/>
            <w:vMerge w:val="continue"/>
            <w:vAlign w:val="center"/>
          </w:tcPr>
          <w:p>
            <w:pPr>
              <w:rPr>
                <w:rFonts w:ascii="Times New Roman" w:hAnsi="Times New Roman"/>
                <w:color w:val="auto"/>
              </w:rPr>
            </w:pPr>
          </w:p>
        </w:tc>
        <w:tc>
          <w:tcPr>
            <w:tcW w:w="1701" w:type="dxa"/>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在选框中打“√”</w:t>
            </w:r>
          </w:p>
        </w:tc>
        <w:tc>
          <w:tcPr>
            <w:tcW w:w="5919" w:type="dxa"/>
            <w:vMerge w:val="continue"/>
            <w:vAlign w:val="center"/>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snapToGrid w:val="0"/>
              <w:rPr>
                <w:rFonts w:ascii="Times New Roman" w:hAnsi="Times New Roman"/>
                <w:color w:val="auto"/>
              </w:rPr>
            </w:pPr>
            <w:r>
              <w:rPr>
                <w:rFonts w:ascii="Times New Roman" w:hAnsi="Times New Roman"/>
                <w:color w:val="auto"/>
              </w:rPr>
              <w:t>核查组成员（签字）：</w:t>
            </w:r>
          </w:p>
          <w:p>
            <w:pPr>
              <w:tabs>
                <w:tab w:val="left" w:pos="210"/>
              </w:tabs>
              <w:snapToGrid w:val="0"/>
              <w:rPr>
                <w:rFonts w:ascii="Times New Roman" w:hAnsi="Times New Roman"/>
                <w:color w:val="auto"/>
              </w:rPr>
            </w:pPr>
          </w:p>
          <w:p>
            <w:pPr>
              <w:tabs>
                <w:tab w:val="left" w:pos="210"/>
              </w:tabs>
              <w:snapToGrid w:val="0"/>
              <w:jc w:val="right"/>
              <w:rPr>
                <w:rFonts w:ascii="Times New Roman" w:hAnsi="Times New Roman"/>
                <w:color w:val="auto"/>
              </w:rPr>
            </w:pPr>
            <w:r>
              <w:rPr>
                <w:rFonts w:ascii="Times New Roman" w:hAnsi="Times New Roman"/>
                <w:color w:val="auto"/>
              </w:rPr>
              <w:t>年月日</w:t>
            </w:r>
          </w:p>
        </w:tc>
        <w:tc>
          <w:tcPr>
            <w:tcW w:w="5919" w:type="dxa"/>
            <w:vMerge w:val="restart"/>
          </w:tcPr>
          <w:p>
            <w:pPr>
              <w:tabs>
                <w:tab w:val="left" w:pos="210"/>
              </w:tabs>
              <w:snapToGrid w:val="0"/>
              <w:rPr>
                <w:rFonts w:ascii="Times New Roman" w:hAnsi="Times New Roman"/>
                <w:color w:val="auto"/>
              </w:rPr>
            </w:pPr>
          </w:p>
          <w:p>
            <w:pPr>
              <w:tabs>
                <w:tab w:val="left" w:pos="210"/>
              </w:tabs>
              <w:snapToGrid w:val="0"/>
              <w:rPr>
                <w:rFonts w:ascii="Times New Roman" w:hAnsi="Times New Roman"/>
                <w:color w:val="auto"/>
              </w:rPr>
            </w:pPr>
            <w:r>
              <w:rPr>
                <w:rFonts w:ascii="Times New Roman" w:hAnsi="Times New Roman"/>
                <w:color w:val="auto"/>
              </w:rPr>
              <w:t>企业代表（签字）：</w:t>
            </w:r>
          </w:p>
          <w:p>
            <w:pPr>
              <w:tabs>
                <w:tab w:val="left" w:pos="210"/>
              </w:tabs>
              <w:snapToGrid w:val="0"/>
              <w:rPr>
                <w:rFonts w:ascii="Times New Roman" w:hAnsi="Times New Roman"/>
                <w:color w:val="auto"/>
              </w:rPr>
            </w:pPr>
          </w:p>
          <w:p>
            <w:pPr>
              <w:tabs>
                <w:tab w:val="left" w:pos="210"/>
              </w:tabs>
              <w:snapToGrid w:val="0"/>
              <w:rPr>
                <w:rFonts w:ascii="Times New Roman" w:hAnsi="Times New Roman"/>
                <w:color w:val="auto"/>
              </w:rPr>
            </w:pPr>
          </w:p>
          <w:p>
            <w:pPr>
              <w:tabs>
                <w:tab w:val="left" w:pos="210"/>
              </w:tabs>
              <w:snapToGrid w:val="0"/>
              <w:rPr>
                <w:rFonts w:ascii="Times New Roman" w:hAnsi="Times New Roman"/>
                <w:color w:val="auto"/>
              </w:rPr>
            </w:pPr>
          </w:p>
          <w:p>
            <w:pPr>
              <w:tabs>
                <w:tab w:val="left" w:pos="210"/>
              </w:tabs>
              <w:snapToGrid w:val="0"/>
              <w:ind w:right="420"/>
              <w:jc w:val="right"/>
              <w:rPr>
                <w:rFonts w:ascii="Times New Roman" w:hAnsi="Times New Roman"/>
                <w:color w:val="auto"/>
              </w:rPr>
            </w:pPr>
          </w:p>
          <w:p>
            <w:pPr>
              <w:tabs>
                <w:tab w:val="left" w:pos="210"/>
              </w:tabs>
              <w:snapToGrid w:val="0"/>
              <w:ind w:right="420"/>
              <w:jc w:val="right"/>
              <w:rPr>
                <w:rFonts w:ascii="Times New Roman" w:hAnsi="Times New Roman"/>
                <w:color w:val="auto"/>
              </w:rPr>
            </w:pPr>
            <w:r>
              <w:rPr>
                <w:rFonts w:ascii="Times New Roman" w:hAnsi="Times New Roman"/>
                <w:color w:val="auto"/>
              </w:rPr>
              <w:t>（企业公章）</w:t>
            </w:r>
          </w:p>
          <w:p>
            <w:pPr>
              <w:tabs>
                <w:tab w:val="left" w:pos="210"/>
              </w:tabs>
              <w:snapToGrid w:val="0"/>
              <w:ind w:right="210"/>
              <w:jc w:val="right"/>
              <w:rPr>
                <w:rFonts w:ascii="Times New Roman" w:hAnsi="Times New Roman"/>
                <w:color w:val="auto"/>
              </w:rPr>
            </w:pPr>
            <w:r>
              <w:rPr>
                <w:rFonts w:ascii="Times New Roman" w:hAnsi="Times New Roman"/>
                <w:color w:val="auto"/>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1" w:hRule="atLeast"/>
        </w:trPr>
        <w:tc>
          <w:tcPr>
            <w:tcW w:w="3369" w:type="dxa"/>
            <w:gridSpan w:val="3"/>
            <w:vAlign w:val="center"/>
          </w:tcPr>
          <w:p>
            <w:pPr>
              <w:tabs>
                <w:tab w:val="left" w:pos="210"/>
              </w:tabs>
              <w:snapToGrid w:val="0"/>
              <w:rPr>
                <w:rFonts w:ascii="Times New Roman" w:hAnsi="Times New Roman"/>
                <w:color w:val="auto"/>
              </w:rPr>
            </w:pPr>
            <w:r>
              <w:rPr>
                <w:rFonts w:ascii="Times New Roman" w:hAnsi="Times New Roman"/>
                <w:color w:val="auto"/>
              </w:rPr>
              <w:t>核查组组长（签字）：</w:t>
            </w:r>
          </w:p>
          <w:p>
            <w:pPr>
              <w:tabs>
                <w:tab w:val="left" w:pos="210"/>
              </w:tabs>
              <w:snapToGrid w:val="0"/>
              <w:rPr>
                <w:rFonts w:ascii="Times New Roman" w:hAnsi="Times New Roman"/>
                <w:color w:val="auto"/>
              </w:rPr>
            </w:pPr>
          </w:p>
          <w:p>
            <w:pPr>
              <w:tabs>
                <w:tab w:val="left" w:pos="210"/>
              </w:tabs>
              <w:snapToGrid w:val="0"/>
              <w:jc w:val="right"/>
              <w:rPr>
                <w:rFonts w:ascii="Times New Roman" w:hAnsi="Times New Roman"/>
                <w:color w:val="auto"/>
              </w:rPr>
            </w:pPr>
            <w:r>
              <w:rPr>
                <w:rFonts w:ascii="Times New Roman" w:hAnsi="Times New Roman"/>
                <w:color w:val="auto"/>
              </w:rPr>
              <w:t>年月日</w:t>
            </w:r>
          </w:p>
        </w:tc>
        <w:tc>
          <w:tcPr>
            <w:tcW w:w="5919" w:type="dxa"/>
            <w:vMerge w:val="continue"/>
          </w:tcPr>
          <w:p>
            <w:pPr>
              <w:rPr>
                <w:rFonts w:ascii="Times New Roman" w:hAnsi="Times New Roman"/>
                <w:color w:val="auto"/>
              </w:rPr>
            </w:pPr>
          </w:p>
        </w:tc>
      </w:tr>
    </w:tbl>
    <w:p>
      <w:pPr>
        <w:rPr>
          <w:rFonts w:ascii="Times New Roman" w:hAnsi="Times New Roman"/>
          <w:color w:val="auto"/>
        </w:rPr>
      </w:pPr>
    </w:p>
    <w:p>
      <w:pPr>
        <w:rPr>
          <w:rFonts w:ascii="Times New Roman" w:hAnsi="Times New Roman"/>
          <w:color w:val="auto"/>
        </w:rPr>
        <w:sectPr>
          <w:headerReference r:id="rId10" w:type="default"/>
          <w:pgSz w:w="11906" w:h="16838"/>
          <w:pgMar w:top="1418" w:right="1418" w:bottom="1418" w:left="1418" w:header="851" w:footer="992" w:gutter="0"/>
          <w:cols w:space="720" w:num="1"/>
          <w:docGrid w:linePitch="312" w:charSpace="0"/>
        </w:sectPr>
      </w:pPr>
    </w:p>
    <w:p>
      <w:pPr>
        <w:pStyle w:val="4"/>
        <w:spacing w:line="440" w:lineRule="exact"/>
        <w:ind w:left="4704" w:hanging="4704"/>
        <w:outlineLvl w:val="0"/>
        <w:rPr>
          <w:rFonts w:eastAsia="宋体"/>
          <w:b w:val="0"/>
          <w:color w:val="auto"/>
          <w:sz w:val="28"/>
          <w:szCs w:val="28"/>
        </w:rPr>
      </w:pPr>
      <w:bookmarkStart w:id="65" w:name="_Toc178002573"/>
      <w:r>
        <w:rPr>
          <w:rFonts w:eastAsia="宋体"/>
          <w:b w:val="0"/>
          <w:color w:val="auto"/>
          <w:sz w:val="28"/>
          <w:szCs w:val="28"/>
        </w:rPr>
        <w:t>附件5</w:t>
      </w:r>
      <w:bookmarkEnd w:id="65"/>
    </w:p>
    <w:p>
      <w:pPr>
        <w:pStyle w:val="4"/>
        <w:spacing w:line="440" w:lineRule="exact"/>
        <w:ind w:left="4722" w:hanging="4722"/>
        <w:jc w:val="center"/>
        <w:rPr>
          <w:rFonts w:eastAsia="宋体"/>
          <w:b w:val="0"/>
          <w:color w:val="auto"/>
          <w:sz w:val="28"/>
          <w:szCs w:val="28"/>
        </w:rPr>
      </w:pPr>
      <w:bookmarkStart w:id="66" w:name="_Toc178002574"/>
      <w:r>
        <w:rPr>
          <w:rFonts w:eastAsia="宋体"/>
          <w:color w:val="auto"/>
          <w:sz w:val="28"/>
          <w:szCs w:val="28"/>
        </w:rPr>
        <w:t>生产许可证企业实地核查报告</w:t>
      </w:r>
      <w:bookmarkEnd w:id="66"/>
    </w:p>
    <w:tbl>
      <w:tblPr>
        <w:tblStyle w:val="37"/>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产品名称：</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传真：</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产品单元：</w:t>
            </w:r>
          </w:p>
        </w:tc>
        <w:tc>
          <w:tcPr>
            <w:tcW w:w="8760"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磷肥种类：</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r>
              <w:rPr>
                <w:rFonts w:ascii="Times New Roman" w:hAnsi="Times New Roman"/>
                <w:color w:val="auto"/>
              </w:rP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ascii="Times New Roman" w:hAnsi="Times New Roman"/>
                <w:color w:val="auto"/>
              </w:rPr>
            </w:pPr>
            <w:r>
              <w:rPr>
                <w:rFonts w:ascii="Times New Roman" w:hAnsi="Times New Roman"/>
                <w:color w:val="auto"/>
              </w:rPr>
              <w:t>核查组根据《化肥产品生产许可证实施细则（二）（磷肥产品部分）》，于</w:t>
            </w:r>
            <w:r>
              <w:rPr>
                <w:rFonts w:ascii="Times New Roman" w:hAnsi="Times New Roman"/>
                <w:color w:val="auto"/>
                <w:kern w:val="2"/>
                <w:szCs w:val="22"/>
                <w:u w:val="single"/>
              </w:rPr>
              <w:t xml:space="preserve">       </w:t>
            </w:r>
            <w:r>
              <w:rPr>
                <w:rFonts w:ascii="Times New Roman" w:hAnsi="Times New Roman"/>
                <w:color w:val="auto"/>
                <w:kern w:val="2"/>
                <w:szCs w:val="22"/>
              </w:rPr>
              <w:t>年</w:t>
            </w:r>
            <w:r>
              <w:rPr>
                <w:rFonts w:ascii="Times New Roman" w:hAnsi="Times New Roman"/>
                <w:color w:val="auto"/>
                <w:kern w:val="2"/>
                <w:szCs w:val="22"/>
                <w:u w:val="single"/>
              </w:rPr>
              <w:t xml:space="preserve">    </w:t>
            </w:r>
            <w:r>
              <w:rPr>
                <w:rFonts w:ascii="Times New Roman" w:hAnsi="Times New Roman"/>
                <w:color w:val="auto"/>
                <w:kern w:val="2"/>
                <w:szCs w:val="22"/>
              </w:rPr>
              <w:t>月</w:t>
            </w:r>
            <w:r>
              <w:rPr>
                <w:rFonts w:ascii="Times New Roman" w:hAnsi="Times New Roman"/>
                <w:color w:val="auto"/>
                <w:kern w:val="2"/>
                <w:szCs w:val="22"/>
                <w:u w:val="single"/>
              </w:rPr>
              <w:t xml:space="preserve">    </w:t>
            </w:r>
            <w:r>
              <w:rPr>
                <w:rFonts w:ascii="Times New Roman" w:hAnsi="Times New Roman"/>
                <w:color w:val="auto"/>
                <w:kern w:val="2"/>
                <w:szCs w:val="22"/>
              </w:rPr>
              <w:t>日</w:t>
            </w:r>
            <w:r>
              <w:rPr>
                <w:rFonts w:ascii="Times New Roman" w:hAnsi="Times New Roman"/>
                <w:color w:val="auto"/>
              </w:rPr>
              <w:t>至</w:t>
            </w:r>
            <w:r>
              <w:rPr>
                <w:rFonts w:ascii="Times New Roman" w:hAnsi="Times New Roman"/>
                <w:color w:val="auto"/>
                <w:kern w:val="2"/>
                <w:szCs w:val="22"/>
                <w:u w:val="single"/>
              </w:rPr>
              <w:t xml:space="preserve">       </w:t>
            </w:r>
            <w:r>
              <w:rPr>
                <w:rFonts w:ascii="Times New Roman" w:hAnsi="Times New Roman"/>
                <w:color w:val="auto"/>
                <w:kern w:val="2"/>
                <w:szCs w:val="22"/>
              </w:rPr>
              <w:t>年</w:t>
            </w:r>
            <w:r>
              <w:rPr>
                <w:rFonts w:ascii="Times New Roman" w:hAnsi="Times New Roman"/>
                <w:color w:val="auto"/>
                <w:kern w:val="2"/>
                <w:szCs w:val="22"/>
                <w:u w:val="single"/>
              </w:rPr>
              <w:t xml:space="preserve">    </w:t>
            </w:r>
            <w:r>
              <w:rPr>
                <w:rFonts w:ascii="Times New Roman" w:hAnsi="Times New Roman"/>
                <w:color w:val="auto"/>
                <w:kern w:val="2"/>
                <w:szCs w:val="22"/>
              </w:rPr>
              <w:t>月</w:t>
            </w:r>
            <w:r>
              <w:rPr>
                <w:rFonts w:ascii="Times New Roman" w:hAnsi="Times New Roman"/>
                <w:color w:val="auto"/>
                <w:kern w:val="2"/>
                <w:szCs w:val="22"/>
                <w:u w:val="single"/>
              </w:rPr>
              <w:t xml:space="preserve">    </w:t>
            </w:r>
            <w:r>
              <w:rPr>
                <w:rFonts w:ascii="Times New Roman" w:hAnsi="Times New Roman"/>
                <w:color w:val="auto"/>
                <w:kern w:val="2"/>
                <w:szCs w:val="22"/>
              </w:rPr>
              <w:t>日</w:t>
            </w:r>
          </w:p>
          <w:p>
            <w:pPr>
              <w:spacing w:line="360" w:lineRule="auto"/>
              <w:jc w:val="left"/>
              <w:rPr>
                <w:rFonts w:ascii="Times New Roman" w:hAnsi="Times New Roman"/>
                <w:color w:val="auto"/>
              </w:rPr>
            </w:pPr>
            <w:r>
              <w:rPr>
                <w:rFonts w:ascii="Times New Roman" w:hAnsi="Times New Roman"/>
                <w:color w:val="auto"/>
              </w:rPr>
              <w:t>对该企业进行了核查，共计核查出：</w:t>
            </w:r>
          </w:p>
          <w:p>
            <w:pPr>
              <w:spacing w:line="360" w:lineRule="auto"/>
              <w:jc w:val="left"/>
              <w:rPr>
                <w:rFonts w:ascii="Times New Roman" w:hAnsi="Times New Roman"/>
                <w:color w:val="auto"/>
              </w:rPr>
            </w:pPr>
            <w:r>
              <w:rPr>
                <w:rFonts w:ascii="Times New Roman" w:hAnsi="Times New Roman"/>
                <w:color w:val="auto"/>
              </w:rPr>
              <w:t>符合</w:t>
            </w:r>
            <w:r>
              <w:rPr>
                <w:rFonts w:ascii="Times New Roman" w:hAnsi="Times New Roman"/>
                <w:color w:val="auto"/>
                <w:sz w:val="30"/>
                <w:szCs w:val="30"/>
              </w:rPr>
              <w:t>_____</w:t>
            </w:r>
            <w:r>
              <w:rPr>
                <w:rFonts w:ascii="Times New Roman" w:hAnsi="Times New Roman"/>
                <w:color w:val="auto"/>
              </w:rPr>
              <w:t>条、不符合</w:t>
            </w:r>
            <w:r>
              <w:rPr>
                <w:rFonts w:ascii="Times New Roman" w:hAnsi="Times New Roman"/>
                <w:color w:val="auto"/>
                <w:sz w:val="30"/>
                <w:szCs w:val="30"/>
              </w:rPr>
              <w:t>_____</w:t>
            </w:r>
            <w:r>
              <w:rPr>
                <w:rFonts w:ascii="Times New Roman" w:hAnsi="Times New Roman"/>
                <w:color w:val="auto"/>
              </w:rPr>
              <w:t>条、建议改进</w:t>
            </w:r>
            <w:r>
              <w:rPr>
                <w:rFonts w:ascii="Times New Roman" w:hAnsi="Times New Roman"/>
                <w:color w:val="auto"/>
                <w:sz w:val="30"/>
                <w:szCs w:val="30"/>
              </w:rPr>
              <w:t>_____</w:t>
            </w:r>
            <w:r>
              <w:rPr>
                <w:rFonts w:ascii="Times New Roman" w:hAnsi="Times New Roman"/>
                <w:color w:val="auto"/>
              </w:rPr>
              <w:t>条。</w:t>
            </w:r>
          </w:p>
          <w:p>
            <w:pPr>
              <w:spacing w:line="360" w:lineRule="auto"/>
              <w:jc w:val="left"/>
              <w:rPr>
                <w:rFonts w:ascii="Times New Roman" w:hAnsi="Times New Roman"/>
                <w:color w:val="auto"/>
                <w:u w:val="single"/>
              </w:rPr>
            </w:pPr>
            <w:r>
              <w:rPr>
                <w:rFonts w:ascii="Times New Roman" w:hAnsi="Times New Roman"/>
                <w:color w:val="auto"/>
              </w:rPr>
              <w:t>其他情况说明：</w:t>
            </w:r>
          </w:p>
          <w:p>
            <w:pPr>
              <w:spacing w:line="360" w:lineRule="auto"/>
              <w:jc w:val="left"/>
              <w:rPr>
                <w:rFonts w:ascii="Times New Roman" w:hAnsi="Times New Roman"/>
                <w:color w:val="auto"/>
              </w:rPr>
            </w:pPr>
            <w:r>
              <w:rPr>
                <w:rFonts w:ascii="Times New Roman" w:hAnsi="Times New Roman"/>
                <w:color w:val="auto"/>
              </w:rPr>
              <w:t>经综合评价，本核查组对该企业的核查结论是：</w:t>
            </w:r>
            <w:r>
              <w:rPr>
                <w:rFonts w:ascii="Times New Roman" w:hAnsi="Times New Roman"/>
                <w:color w:val="auto"/>
                <w:sz w:val="30"/>
                <w:szCs w:val="30"/>
              </w:rPr>
              <w:t>_____</w:t>
            </w:r>
            <w:r>
              <w:rPr>
                <w:rFonts w:ascii="Times New Roman" w:hAnsi="Times New Roman"/>
                <w:color w:val="auto"/>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r>
              <w:rPr>
                <w:rFonts w:ascii="Times New Roman" w:hAnsi="Times New Roman"/>
                <w:color w:val="auto"/>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color w:val="auto"/>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color w:val="auto"/>
              </w:rPr>
              <w:t>单位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color w:val="auto"/>
              </w:rPr>
              <w:t>职务</w:t>
            </w:r>
          </w:p>
          <w:p>
            <w:pPr>
              <w:snapToGrid w:val="0"/>
              <w:jc w:val="center"/>
              <w:rPr>
                <w:rFonts w:ascii="Times New Roman" w:hAnsi="Times New Roman"/>
                <w:color w:val="auto"/>
              </w:rPr>
            </w:pPr>
            <w:r>
              <w:rPr>
                <w:rFonts w:ascii="Times New Roman" w:hAnsi="Times New Roman"/>
                <w:color w:val="auto"/>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color w:val="auto"/>
              </w:rPr>
              <w:t>核查分工（条款）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color w:val="auto"/>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color w:val="auto"/>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r>
      <w:tr>
        <w:tblPrEx>
          <w:tblCellMar>
            <w:top w:w="0" w:type="dxa"/>
            <w:left w:w="108" w:type="dxa"/>
            <w:bottom w:w="0" w:type="dxa"/>
            <w:right w:w="108" w:type="dxa"/>
          </w:tblCellMar>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color w:val="auto"/>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r>
              <w:rPr>
                <w:rFonts w:ascii="Times New Roman" w:hAnsi="Times New Roman"/>
                <w:color w:val="auto"/>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color w:val="auto"/>
              </w:rPr>
            </w:pPr>
            <w:r>
              <w:rPr>
                <w:rFonts w:ascii="Times New Roman" w:hAnsi="Times New Roman"/>
                <w:color w:val="auto"/>
              </w:rPr>
              <w:t>年月日</w:t>
            </w:r>
          </w:p>
        </w:tc>
      </w:tr>
    </w:tbl>
    <w:p>
      <w:pPr>
        <w:pStyle w:val="56"/>
        <w:tabs>
          <w:tab w:val="left" w:pos="1418"/>
        </w:tabs>
        <w:spacing w:before="240" w:beforeLines="100"/>
        <w:ind w:firstLine="0"/>
        <w:rPr>
          <w:rFonts w:ascii="Times New Roman" w:hAnsi="Times New Roman" w:eastAsia="宋体"/>
          <w:color w:val="auto"/>
          <w:sz w:val="21"/>
          <w:szCs w:val="21"/>
        </w:rPr>
      </w:pPr>
      <w:r>
        <w:rPr>
          <w:rFonts w:ascii="Times New Roman" w:hAnsi="Times New Roman" w:eastAsia="宋体"/>
          <w:color w:val="auto"/>
          <w:sz w:val="21"/>
          <w:szCs w:val="21"/>
        </w:rPr>
        <w:t>观察员（签字，如有）：                                  年     月    日                   核查组织单位（章）：      年      月      日</w:t>
      </w:r>
    </w:p>
    <w:p>
      <w:pPr>
        <w:rPr>
          <w:rFonts w:ascii="Times New Roman" w:hAnsi="Times New Roman" w:eastAsia="方正小标宋简体"/>
          <w:color w:val="auto"/>
          <w:sz w:val="18"/>
          <w:szCs w:val="18"/>
        </w:rPr>
      </w:pPr>
      <w:r>
        <w:rPr>
          <w:rFonts w:ascii="Times New Roman" w:hAnsi="Times New Roman" w:eastAsia="黑体"/>
          <w:color w:val="auto"/>
          <w:sz w:val="18"/>
          <w:szCs w:val="18"/>
        </w:rPr>
        <w:t>注：</w:t>
      </w:r>
      <w:r>
        <w:rPr>
          <w:rFonts w:ascii="Times New Roman" w:hAnsi="Times New Roman"/>
          <w:color w:val="auto"/>
          <w:sz w:val="18"/>
          <w:szCs w:val="18"/>
        </w:rPr>
        <w:t>企业存在不符合法律法规等有关规定，且不能体现在实地核查记录中的情况，应在“其他情况说明”中填写相关情况。如：企业存在因非不可抗力原因拖延或拒绝核查的情况等。</w:t>
      </w:r>
    </w:p>
    <w:p>
      <w:pPr>
        <w:adjustRightInd w:val="0"/>
        <w:snapToGrid w:val="0"/>
        <w:rPr>
          <w:rFonts w:ascii="Times New Roman" w:hAnsi="Times New Roman"/>
          <w:color w:val="auto"/>
        </w:rPr>
      </w:pPr>
    </w:p>
    <w:p>
      <w:pPr>
        <w:jc w:val="left"/>
        <w:rPr>
          <w:rFonts w:ascii="Times New Roman" w:hAnsi="Times New Roman"/>
          <w:color w:val="auto"/>
        </w:rPr>
        <w:sectPr>
          <w:headerReference r:id="rId11" w:type="default"/>
          <w:pgSz w:w="16838" w:h="11906" w:orient="landscape"/>
          <w:pgMar w:top="1418" w:right="1418" w:bottom="1418" w:left="1418" w:header="851" w:footer="992" w:gutter="0"/>
          <w:cols w:space="720" w:num="1"/>
          <w:docGrid w:linePitch="312" w:charSpace="0"/>
        </w:sectPr>
      </w:pPr>
    </w:p>
    <w:p>
      <w:pPr>
        <w:keepNext/>
        <w:keepLines/>
        <w:snapToGrid w:val="0"/>
        <w:spacing w:line="440" w:lineRule="exact"/>
        <w:ind w:left="2400" w:hanging="2399"/>
        <w:outlineLvl w:val="0"/>
        <w:rPr>
          <w:rFonts w:ascii="Times New Roman" w:hAnsi="Times New Roman"/>
          <w:b/>
          <w:color w:val="auto"/>
          <w:sz w:val="30"/>
        </w:rPr>
      </w:pPr>
      <w:r>
        <w:rPr>
          <w:rFonts w:ascii="Times New Roman" w:hAnsi="Times New Roman"/>
          <w:color w:val="auto"/>
          <w:sz w:val="28"/>
        </w:rPr>
        <w:t>附件6</w:t>
      </w:r>
    </w:p>
    <w:p>
      <w:pPr>
        <w:pStyle w:val="3"/>
        <w:jc w:val="center"/>
        <w:rPr>
          <w:rFonts w:ascii="Times New Roman" w:hAnsi="Times New Roman"/>
          <w:color w:val="auto"/>
          <w:sz w:val="28"/>
        </w:rPr>
      </w:pPr>
      <w:bookmarkStart w:id="67" w:name="_Toc178002852"/>
      <w:bookmarkStart w:id="68" w:name="_Hlk174367967"/>
      <w:r>
        <w:rPr>
          <w:rFonts w:ascii="Times New Roman" w:hAnsi="Times New Roman"/>
          <w:b/>
          <w:color w:val="auto"/>
          <w:sz w:val="28"/>
        </w:rPr>
        <w:t>本细则与上一版细则主要变化内容对比</w:t>
      </w:r>
      <w:bookmarkEnd w:id="67"/>
    </w:p>
    <w:p>
      <w:pPr>
        <w:snapToGrid w:val="0"/>
        <w:jc w:val="center"/>
        <w:rPr>
          <w:rFonts w:ascii="Times New Roman" w:hAnsi="Times New Roman"/>
          <w:b/>
          <w:color w:val="auto"/>
          <w:sz w:val="28"/>
        </w:rPr>
      </w:pPr>
    </w:p>
    <w:p>
      <w:pPr>
        <w:snapToGrid w:val="0"/>
        <w:jc w:val="center"/>
        <w:rPr>
          <w:rFonts w:ascii="Times New Roman" w:hAnsi="Times New Roman" w:eastAsiaTheme="minorEastAsia"/>
          <w:b/>
          <w:color w:val="auto"/>
        </w:rPr>
      </w:pPr>
      <w:r>
        <w:rPr>
          <w:rFonts w:ascii="Times New Roman" w:hAnsi="Times New Roman" w:eastAsiaTheme="minorEastAsia"/>
          <w:b/>
          <w:color w:val="auto"/>
        </w:rPr>
        <w:t>表1 产品单元变化对比表</w:t>
      </w:r>
    </w:p>
    <w:tbl>
      <w:tblPr>
        <w:tblStyle w:val="37"/>
        <w:tblW w:w="0" w:type="auto"/>
        <w:jc w:val="center"/>
        <w:tblLayout w:type="fixed"/>
        <w:tblCellMar>
          <w:top w:w="0" w:type="dxa"/>
          <w:left w:w="108" w:type="dxa"/>
          <w:bottom w:w="0" w:type="dxa"/>
          <w:right w:w="108" w:type="dxa"/>
        </w:tblCellMar>
      </w:tblPr>
      <w:tblGrid>
        <w:gridCol w:w="684"/>
        <w:gridCol w:w="2005"/>
        <w:gridCol w:w="1701"/>
        <w:gridCol w:w="1950"/>
        <w:gridCol w:w="1095"/>
        <w:gridCol w:w="1597"/>
      </w:tblGrid>
      <w:tr>
        <w:tblPrEx>
          <w:tblCellMar>
            <w:top w:w="0" w:type="dxa"/>
            <w:left w:w="108" w:type="dxa"/>
            <w:bottom w:w="0" w:type="dxa"/>
            <w:right w:w="108" w:type="dxa"/>
          </w:tblCellMar>
        </w:tblPrEx>
        <w:trPr>
          <w:trHeight w:val="447" w:hRule="atLeast"/>
          <w:jc w:val="center"/>
        </w:trPr>
        <w:tc>
          <w:tcPr>
            <w:tcW w:w="68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序号</w:t>
            </w:r>
          </w:p>
        </w:tc>
        <w:tc>
          <w:tcPr>
            <w:tcW w:w="3706"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本细则</w:t>
            </w:r>
          </w:p>
        </w:tc>
        <w:tc>
          <w:tcPr>
            <w:tcW w:w="304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上一版细则</w:t>
            </w:r>
          </w:p>
        </w:tc>
        <w:tc>
          <w:tcPr>
            <w:tcW w:w="159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说明</w:t>
            </w:r>
          </w:p>
        </w:tc>
      </w:tr>
      <w:tr>
        <w:trPr>
          <w:trHeight w:val="447" w:hRule="atLeast"/>
          <w:jc w:val="center"/>
        </w:trPr>
        <w:tc>
          <w:tcPr>
            <w:tcW w:w="68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p>
        </w:tc>
        <w:tc>
          <w:tcPr>
            <w:tcW w:w="200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产品单元</w:t>
            </w:r>
          </w:p>
        </w:tc>
        <w:tc>
          <w:tcPr>
            <w:tcW w:w="1701"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磷肥种类</w:t>
            </w:r>
          </w:p>
        </w:tc>
        <w:tc>
          <w:tcPr>
            <w:tcW w:w="19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产品单元</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磷肥种类</w:t>
            </w:r>
          </w:p>
        </w:tc>
        <w:tc>
          <w:tcPr>
            <w:tcW w:w="15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1</w:t>
            </w:r>
          </w:p>
        </w:tc>
        <w:tc>
          <w:tcPr>
            <w:tcW w:w="20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过磷酸钙</w:t>
            </w:r>
          </w:p>
        </w:tc>
        <w:tc>
          <w:tcPr>
            <w:tcW w:w="1701" w:type="dxa"/>
            <w:tcBorders>
              <w:top w:val="single" w:color="auto" w:sz="4" w:space="0"/>
              <w:bottom w:val="single" w:color="auto" w:sz="4" w:space="0"/>
              <w:tl2br w:val="nil"/>
              <w:tr2bl w:val="nil"/>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过磷酸钙</w:t>
            </w:r>
          </w:p>
        </w:tc>
        <w:tc>
          <w:tcPr>
            <w:tcW w:w="19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过磷酸钙</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增加磷肥种类</w:t>
            </w:r>
          </w:p>
        </w:tc>
      </w:tr>
      <w:tr>
        <w:trPr>
          <w:trHeight w:val="479" w:hRule="atLeast"/>
          <w:jc w:val="center"/>
        </w:trPr>
        <w:tc>
          <w:tcPr>
            <w:tcW w:w="684"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2</w:t>
            </w:r>
          </w:p>
        </w:tc>
        <w:tc>
          <w:tcPr>
            <w:tcW w:w="20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钙镁磷肥</w:t>
            </w:r>
          </w:p>
        </w:tc>
        <w:tc>
          <w:tcPr>
            <w:tcW w:w="1701" w:type="dxa"/>
            <w:tcBorders>
              <w:top w:val="single" w:color="auto" w:sz="4" w:space="0"/>
              <w:bottom w:val="single" w:color="auto" w:sz="4" w:space="0"/>
              <w:tl2br w:val="nil"/>
              <w:tr2bl w:val="nil"/>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钙镁磷肥</w:t>
            </w:r>
          </w:p>
        </w:tc>
        <w:tc>
          <w:tcPr>
            <w:tcW w:w="19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钙镁磷肥</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增加磷肥种类</w:t>
            </w:r>
          </w:p>
        </w:tc>
      </w:tr>
      <w:tr>
        <w:tblPrEx>
          <w:tblCellMar>
            <w:top w:w="0" w:type="dxa"/>
            <w:left w:w="108" w:type="dxa"/>
            <w:bottom w:w="0" w:type="dxa"/>
            <w:right w:w="108" w:type="dxa"/>
          </w:tblCellMar>
        </w:tblPrEx>
        <w:trPr>
          <w:trHeight w:val="542" w:hRule="atLeast"/>
          <w:jc w:val="center"/>
        </w:trPr>
        <w:tc>
          <w:tcPr>
            <w:tcW w:w="684"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3</w:t>
            </w:r>
          </w:p>
        </w:tc>
        <w:tc>
          <w:tcPr>
            <w:tcW w:w="20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钙镁磷钾肥</w:t>
            </w:r>
          </w:p>
        </w:tc>
        <w:tc>
          <w:tcPr>
            <w:tcW w:w="1701" w:type="dxa"/>
            <w:tcBorders>
              <w:top w:val="single" w:color="auto" w:sz="4" w:space="0"/>
              <w:bottom w:val="single" w:color="auto" w:sz="4" w:space="0"/>
              <w:tl2br w:val="nil"/>
              <w:tr2bl w:val="nil"/>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钙镁磷钾肥</w:t>
            </w:r>
          </w:p>
        </w:tc>
        <w:tc>
          <w:tcPr>
            <w:tcW w:w="19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钙镁磷钾肥</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增加磷肥种类</w:t>
            </w:r>
          </w:p>
        </w:tc>
      </w:tr>
      <w:tr>
        <w:trPr>
          <w:trHeight w:val="542" w:hRule="atLeast"/>
          <w:jc w:val="center"/>
        </w:trPr>
        <w:tc>
          <w:tcPr>
            <w:tcW w:w="684" w:type="dxa"/>
            <w:tcBorders>
              <w:top w:val="single" w:color="000000" w:sz="4" w:space="0"/>
              <w:left w:val="single" w:color="000000"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4</w:t>
            </w:r>
          </w:p>
        </w:tc>
        <w:tc>
          <w:tcPr>
            <w:tcW w:w="20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肥料级磷酸氢钙</w:t>
            </w:r>
          </w:p>
        </w:tc>
        <w:tc>
          <w:tcPr>
            <w:tcW w:w="1701" w:type="dxa"/>
            <w:tcBorders>
              <w:top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肥料级磷酸氢钙</w:t>
            </w:r>
          </w:p>
        </w:tc>
        <w:tc>
          <w:tcPr>
            <w:tcW w:w="19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肥料级磷酸氢钙</w:t>
            </w:r>
          </w:p>
        </w:tc>
        <w:tc>
          <w:tcPr>
            <w:tcW w:w="109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597"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增加磷肥种类</w:t>
            </w:r>
          </w:p>
        </w:tc>
      </w:tr>
    </w:tbl>
    <w:p>
      <w:pPr>
        <w:snapToGrid w:val="0"/>
        <w:rPr>
          <w:rFonts w:ascii="Times New Roman" w:hAnsi="Times New Roman"/>
          <w:color w:val="auto"/>
        </w:rPr>
      </w:pPr>
    </w:p>
    <w:p>
      <w:pPr>
        <w:snapToGrid w:val="0"/>
        <w:jc w:val="center"/>
        <w:rPr>
          <w:rFonts w:ascii="Times New Roman" w:hAnsi="Times New Roman"/>
          <w:b/>
          <w:color w:val="auto"/>
          <w:sz w:val="28"/>
        </w:rPr>
      </w:pPr>
    </w:p>
    <w:p>
      <w:pPr>
        <w:snapToGrid w:val="0"/>
        <w:jc w:val="center"/>
        <w:rPr>
          <w:rFonts w:ascii="Times New Roman" w:hAnsi="Times New Roman" w:eastAsiaTheme="minorEastAsia"/>
          <w:b/>
          <w:color w:val="auto"/>
        </w:rPr>
      </w:pPr>
      <w:r>
        <w:rPr>
          <w:rFonts w:ascii="Times New Roman" w:hAnsi="Times New Roman" w:eastAsiaTheme="minorEastAsia"/>
          <w:b/>
          <w:color w:val="auto"/>
        </w:rPr>
        <w:t>表2 产品标准变化对比表</w:t>
      </w:r>
    </w:p>
    <w:tbl>
      <w:tblPr>
        <w:tblStyle w:val="37"/>
        <w:tblW w:w="9072" w:type="dxa"/>
        <w:jc w:val="center"/>
        <w:tblLayout w:type="fixed"/>
        <w:tblCellMar>
          <w:top w:w="0" w:type="dxa"/>
          <w:left w:w="108" w:type="dxa"/>
          <w:bottom w:w="0" w:type="dxa"/>
          <w:right w:w="108" w:type="dxa"/>
        </w:tblCellMar>
      </w:tblPr>
      <w:tblGrid>
        <w:gridCol w:w="851"/>
        <w:gridCol w:w="2268"/>
        <w:gridCol w:w="2409"/>
        <w:gridCol w:w="2399"/>
        <w:gridCol w:w="1145"/>
      </w:tblGrid>
      <w:tr>
        <w:tblPrEx>
          <w:tblCellMar>
            <w:top w:w="0" w:type="dxa"/>
            <w:left w:w="108" w:type="dxa"/>
            <w:bottom w:w="0" w:type="dxa"/>
            <w:right w:w="108" w:type="dxa"/>
          </w:tblCellMar>
        </w:tblPrEx>
        <w:trPr>
          <w:trHeight w:val="474"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序号</w:t>
            </w: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产品单元/磷肥种类（</w:t>
            </w:r>
            <w:r>
              <w:rPr>
                <w:rFonts w:ascii="Times New Roman" w:hAnsi="Times New Roman"/>
                <w:b/>
                <w:bCs/>
                <w:color w:val="auto"/>
              </w:rPr>
              <w:t>本细则</w:t>
            </w:r>
            <w:r>
              <w:rPr>
                <w:rFonts w:ascii="Times New Roman" w:hAnsi="Times New Roman"/>
                <w:b/>
                <w:color w:val="auto"/>
              </w:rPr>
              <w:t>）</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产品标准（</w:t>
            </w:r>
            <w:r>
              <w:rPr>
                <w:rFonts w:ascii="Times New Roman" w:hAnsi="Times New Roman"/>
                <w:b/>
                <w:bCs/>
                <w:color w:val="auto"/>
              </w:rPr>
              <w:t>本细则</w:t>
            </w:r>
            <w:r>
              <w:rPr>
                <w:rFonts w:ascii="Times New Roman" w:hAnsi="Times New Roman"/>
                <w:b/>
                <w:color w:val="auto"/>
              </w:rPr>
              <w:t>）</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产品标准（</w:t>
            </w:r>
            <w:r>
              <w:rPr>
                <w:rFonts w:ascii="Times New Roman" w:hAnsi="Times New Roman"/>
                <w:b/>
                <w:bCs/>
                <w:color w:val="auto"/>
              </w:rPr>
              <w:t>上一版细则</w:t>
            </w:r>
            <w:r>
              <w:rPr>
                <w:rFonts w:ascii="Times New Roman" w:hAnsi="Times New Roman"/>
                <w:b/>
                <w:color w:val="auto"/>
              </w:rPr>
              <w:t>）</w:t>
            </w:r>
          </w:p>
        </w:tc>
        <w:tc>
          <w:tcPr>
            <w:tcW w:w="11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说明</w:t>
            </w:r>
          </w:p>
        </w:tc>
      </w:tr>
      <w:tr>
        <w:tblPrEx>
          <w:tblCellMar>
            <w:top w:w="0" w:type="dxa"/>
            <w:left w:w="108" w:type="dxa"/>
            <w:bottom w:w="0" w:type="dxa"/>
            <w:right w:w="108" w:type="dxa"/>
          </w:tblCellMar>
        </w:tblPrEx>
        <w:trPr>
          <w:trHeight w:val="836"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1</w:t>
            </w: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过磷酸钙</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left"/>
              <w:rPr>
                <w:rFonts w:ascii="Times New Roman" w:hAnsi="Times New Roman"/>
                <w:color w:val="auto"/>
              </w:rPr>
            </w:pPr>
            <w:r>
              <w:rPr>
                <w:rFonts w:ascii="Times New Roman" w:hAnsi="Times New Roman"/>
                <w:color w:val="auto"/>
              </w:rPr>
              <w:t>GB/T 20413－2017 过磷酸钙</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left"/>
              <w:rPr>
                <w:rFonts w:ascii="Times New Roman" w:hAnsi="Times New Roman"/>
                <w:color w:val="auto"/>
              </w:rPr>
            </w:pPr>
            <w:r>
              <w:rPr>
                <w:rFonts w:ascii="Times New Roman" w:hAnsi="Times New Roman"/>
                <w:color w:val="auto"/>
              </w:rPr>
              <w:t>GB 20413－2017 过磷酸钙</w:t>
            </w:r>
          </w:p>
        </w:tc>
        <w:tc>
          <w:tcPr>
            <w:tcW w:w="11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无变化</w:t>
            </w:r>
          </w:p>
        </w:tc>
      </w:tr>
      <w:tr>
        <w:tblPrEx>
          <w:tblCellMar>
            <w:top w:w="0" w:type="dxa"/>
            <w:left w:w="108" w:type="dxa"/>
            <w:bottom w:w="0" w:type="dxa"/>
            <w:right w:w="108" w:type="dxa"/>
          </w:tblCellMar>
        </w:tblPrEx>
        <w:trPr>
          <w:trHeight w:val="836"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2</w:t>
            </w: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钙镁磷肥</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left"/>
              <w:rPr>
                <w:rFonts w:ascii="Times New Roman" w:hAnsi="Times New Roman"/>
                <w:color w:val="auto"/>
              </w:rPr>
            </w:pPr>
            <w:r>
              <w:rPr>
                <w:rFonts w:ascii="Times New Roman" w:hAnsi="Times New Roman"/>
                <w:color w:val="auto"/>
              </w:rPr>
              <w:t>GB/T 20412—2021 钙镁磷肥</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left"/>
              <w:rPr>
                <w:rFonts w:ascii="Times New Roman" w:hAnsi="Times New Roman"/>
                <w:color w:val="auto"/>
              </w:rPr>
            </w:pPr>
            <w:r>
              <w:rPr>
                <w:rFonts w:ascii="Times New Roman" w:hAnsi="Times New Roman"/>
                <w:color w:val="auto"/>
              </w:rPr>
              <w:t>GB 20412—2006 钙镁磷肥</w:t>
            </w:r>
          </w:p>
        </w:tc>
        <w:tc>
          <w:tcPr>
            <w:tcW w:w="11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更新</w:t>
            </w:r>
          </w:p>
        </w:tc>
      </w:tr>
      <w:tr>
        <w:tblPrEx>
          <w:tblCellMar>
            <w:top w:w="0" w:type="dxa"/>
            <w:left w:w="108" w:type="dxa"/>
            <w:bottom w:w="0" w:type="dxa"/>
            <w:right w:w="108" w:type="dxa"/>
          </w:tblCellMar>
        </w:tblPrEx>
        <w:trPr>
          <w:trHeight w:val="836"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3</w:t>
            </w: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钙镁磷钾肥</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left"/>
              <w:rPr>
                <w:rFonts w:ascii="Times New Roman" w:hAnsi="Times New Roman"/>
                <w:color w:val="auto"/>
              </w:rPr>
            </w:pPr>
            <w:r>
              <w:rPr>
                <w:rFonts w:ascii="Times New Roman" w:hAnsi="Times New Roman"/>
                <w:color w:val="auto"/>
              </w:rPr>
              <w:t>HG/T 2598—1994 钙镁磷钾肥</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left"/>
              <w:rPr>
                <w:rFonts w:ascii="Times New Roman" w:hAnsi="Times New Roman"/>
                <w:color w:val="auto"/>
              </w:rPr>
            </w:pPr>
            <w:r>
              <w:rPr>
                <w:rFonts w:ascii="Times New Roman" w:hAnsi="Times New Roman"/>
                <w:color w:val="auto"/>
              </w:rPr>
              <w:t>HG 2598—1994 钙镁磷钾肥</w:t>
            </w:r>
          </w:p>
        </w:tc>
        <w:tc>
          <w:tcPr>
            <w:tcW w:w="11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无变化</w:t>
            </w:r>
          </w:p>
        </w:tc>
      </w:tr>
      <w:tr>
        <w:tblPrEx>
          <w:tblCellMar>
            <w:top w:w="0" w:type="dxa"/>
            <w:left w:w="108" w:type="dxa"/>
            <w:bottom w:w="0" w:type="dxa"/>
            <w:right w:w="108" w:type="dxa"/>
          </w:tblCellMar>
        </w:tblPrEx>
        <w:trPr>
          <w:trHeight w:val="836"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4</w:t>
            </w: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肥料级磷酸氢钙</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left"/>
              <w:rPr>
                <w:rFonts w:ascii="Times New Roman" w:hAnsi="Times New Roman"/>
                <w:color w:val="auto"/>
              </w:rPr>
            </w:pPr>
            <w:r>
              <w:rPr>
                <w:rFonts w:ascii="Times New Roman" w:hAnsi="Times New Roman"/>
                <w:snapToGrid w:val="0"/>
                <w:color w:val="auto"/>
              </w:rPr>
              <w:t>HG/T 3275—1999 肥料级磷酸氢钙</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left"/>
              <w:rPr>
                <w:rFonts w:ascii="Times New Roman" w:hAnsi="Times New Roman"/>
                <w:color w:val="auto"/>
              </w:rPr>
            </w:pPr>
            <w:r>
              <w:rPr>
                <w:rFonts w:ascii="Times New Roman" w:hAnsi="Times New Roman"/>
                <w:snapToGrid w:val="0"/>
                <w:color w:val="auto"/>
              </w:rPr>
              <w:t>HG/T 3275—1999 肥料级磷酸氢钙</w:t>
            </w:r>
          </w:p>
        </w:tc>
        <w:tc>
          <w:tcPr>
            <w:tcW w:w="11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无变化</w:t>
            </w:r>
          </w:p>
        </w:tc>
      </w:tr>
      <w:bookmarkEnd w:id="68"/>
    </w:tbl>
    <w:p>
      <w:pPr>
        <w:jc w:val="center"/>
        <w:rPr>
          <w:rFonts w:ascii="Times New Roman" w:hAnsi="Times New Roman"/>
          <w:b/>
          <w:color w:val="auto"/>
          <w:sz w:val="28"/>
          <w:szCs w:val="28"/>
        </w:rPr>
      </w:pPr>
    </w:p>
    <w:p>
      <w:pPr>
        <w:snapToGrid w:val="0"/>
        <w:jc w:val="center"/>
        <w:rPr>
          <w:rFonts w:ascii="Times New Roman" w:hAnsi="Times New Roman" w:eastAsiaTheme="minorEastAsia"/>
          <w:b/>
          <w:color w:val="auto"/>
        </w:rPr>
      </w:pPr>
      <w:r>
        <w:rPr>
          <w:rFonts w:ascii="Times New Roman" w:hAnsi="Times New Roman" w:eastAsiaTheme="minorEastAsia"/>
          <w:b/>
          <w:color w:val="auto"/>
        </w:rPr>
        <w:t>表3 应具备的生产设备变化对比表</w:t>
      </w:r>
    </w:p>
    <w:tbl>
      <w:tblPr>
        <w:tblStyle w:val="3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2835"/>
        <w:gridCol w:w="255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blHeader/>
          <w:jc w:val="center"/>
        </w:trPr>
        <w:tc>
          <w:tcPr>
            <w:tcW w:w="704" w:type="dxa"/>
            <w:vAlign w:val="center"/>
          </w:tcPr>
          <w:p>
            <w:pPr>
              <w:jc w:val="center"/>
              <w:rPr>
                <w:rFonts w:ascii="Times New Roman" w:hAnsi="Times New Roman"/>
                <w:b/>
                <w:color w:val="auto"/>
              </w:rPr>
            </w:pPr>
            <w:r>
              <w:rPr>
                <w:rFonts w:ascii="Times New Roman" w:hAnsi="Times New Roman"/>
                <w:b/>
                <w:color w:val="auto"/>
              </w:rPr>
              <w:t>序号</w:t>
            </w:r>
          </w:p>
        </w:tc>
        <w:tc>
          <w:tcPr>
            <w:tcW w:w="1276" w:type="dxa"/>
            <w:vAlign w:val="center"/>
          </w:tcPr>
          <w:p>
            <w:pPr>
              <w:jc w:val="center"/>
              <w:rPr>
                <w:rFonts w:ascii="Times New Roman" w:hAnsi="Times New Roman"/>
                <w:b/>
                <w:color w:val="auto"/>
              </w:rPr>
            </w:pPr>
            <w:r>
              <w:rPr>
                <w:rFonts w:ascii="Times New Roman" w:hAnsi="Times New Roman"/>
                <w:b/>
                <w:color w:val="auto"/>
              </w:rPr>
              <w:t>产品单元/磷肥种类（</w:t>
            </w:r>
            <w:r>
              <w:rPr>
                <w:rFonts w:ascii="Times New Roman" w:hAnsi="Times New Roman"/>
                <w:b/>
                <w:bCs/>
                <w:color w:val="auto"/>
              </w:rPr>
              <w:t>本细则</w:t>
            </w:r>
            <w:r>
              <w:rPr>
                <w:rFonts w:ascii="Times New Roman" w:hAnsi="Times New Roman"/>
                <w:b/>
                <w:color w:val="auto"/>
              </w:rPr>
              <w:t>）</w:t>
            </w:r>
          </w:p>
        </w:tc>
        <w:tc>
          <w:tcPr>
            <w:tcW w:w="2835" w:type="dxa"/>
            <w:vAlign w:val="center"/>
          </w:tcPr>
          <w:p>
            <w:pPr>
              <w:jc w:val="center"/>
              <w:rPr>
                <w:rFonts w:ascii="Times New Roman" w:hAnsi="Times New Roman"/>
                <w:b/>
                <w:color w:val="auto"/>
              </w:rPr>
            </w:pPr>
            <w:r>
              <w:rPr>
                <w:rFonts w:ascii="Times New Roman" w:hAnsi="Times New Roman"/>
                <w:b/>
                <w:color w:val="auto"/>
              </w:rPr>
              <w:t>主要设备</w:t>
            </w:r>
          </w:p>
          <w:p>
            <w:pPr>
              <w:jc w:val="center"/>
              <w:rPr>
                <w:rFonts w:ascii="Times New Roman" w:hAnsi="Times New Roman"/>
                <w:b/>
                <w:color w:val="auto"/>
              </w:rPr>
            </w:pPr>
            <w:r>
              <w:rPr>
                <w:rFonts w:ascii="Times New Roman" w:hAnsi="Times New Roman"/>
                <w:b/>
                <w:color w:val="auto"/>
              </w:rPr>
              <w:t>（</w:t>
            </w:r>
            <w:r>
              <w:rPr>
                <w:rFonts w:ascii="Times New Roman" w:hAnsi="Times New Roman"/>
                <w:b/>
                <w:bCs/>
                <w:color w:val="auto"/>
              </w:rPr>
              <w:t>本细则</w:t>
            </w:r>
            <w:r>
              <w:rPr>
                <w:rFonts w:ascii="Times New Roman" w:hAnsi="Times New Roman"/>
                <w:b/>
                <w:color w:val="auto"/>
              </w:rPr>
              <w:t>）</w:t>
            </w:r>
          </w:p>
        </w:tc>
        <w:tc>
          <w:tcPr>
            <w:tcW w:w="2556" w:type="dxa"/>
            <w:vAlign w:val="center"/>
          </w:tcPr>
          <w:p>
            <w:pPr>
              <w:jc w:val="center"/>
              <w:rPr>
                <w:rFonts w:ascii="Times New Roman" w:hAnsi="Times New Roman"/>
                <w:b/>
                <w:color w:val="auto"/>
              </w:rPr>
            </w:pPr>
            <w:r>
              <w:rPr>
                <w:rFonts w:ascii="Times New Roman" w:hAnsi="Times New Roman"/>
                <w:b/>
                <w:color w:val="auto"/>
              </w:rPr>
              <w:t>主要设备</w:t>
            </w:r>
          </w:p>
          <w:p>
            <w:pPr>
              <w:jc w:val="center"/>
              <w:rPr>
                <w:rFonts w:ascii="Times New Roman" w:hAnsi="Times New Roman"/>
                <w:b/>
                <w:color w:val="auto"/>
              </w:rPr>
            </w:pPr>
            <w:r>
              <w:rPr>
                <w:rFonts w:ascii="Times New Roman" w:hAnsi="Times New Roman"/>
                <w:b/>
                <w:color w:val="auto"/>
              </w:rPr>
              <w:t>（</w:t>
            </w:r>
            <w:r>
              <w:rPr>
                <w:rFonts w:ascii="Times New Roman" w:hAnsi="Times New Roman"/>
                <w:b/>
                <w:bCs/>
                <w:color w:val="auto"/>
              </w:rPr>
              <w:t>上一版细则</w:t>
            </w:r>
            <w:r>
              <w:rPr>
                <w:rFonts w:ascii="Times New Roman" w:hAnsi="Times New Roman"/>
                <w:b/>
                <w:color w:val="auto"/>
              </w:rPr>
              <w:t>）</w:t>
            </w:r>
          </w:p>
        </w:tc>
        <w:tc>
          <w:tcPr>
            <w:tcW w:w="1701" w:type="dxa"/>
            <w:vAlign w:val="center"/>
          </w:tcPr>
          <w:p>
            <w:pPr>
              <w:jc w:val="center"/>
              <w:rPr>
                <w:rFonts w:ascii="Times New Roman" w:hAnsi="Times New Roman"/>
                <w:b/>
                <w:color w:val="auto"/>
              </w:rPr>
            </w:pPr>
            <w:r>
              <w:rPr>
                <w:rFonts w:ascii="Times New Roman" w:hAnsi="Times New Roman"/>
                <w:b/>
                <w:color w:val="auto"/>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704" w:type="dxa"/>
            <w:vAlign w:val="center"/>
          </w:tcPr>
          <w:p>
            <w:pPr>
              <w:spacing w:line="0" w:lineRule="atLeast"/>
              <w:jc w:val="center"/>
              <w:rPr>
                <w:rFonts w:ascii="Times New Roman" w:hAnsi="Times New Roman"/>
                <w:color w:val="auto"/>
              </w:rPr>
            </w:pPr>
            <w:r>
              <w:rPr>
                <w:rFonts w:ascii="Times New Roman" w:hAnsi="Times New Roman"/>
                <w:color w:val="auto"/>
              </w:rPr>
              <w:t>1</w:t>
            </w:r>
          </w:p>
        </w:tc>
        <w:tc>
          <w:tcPr>
            <w:tcW w:w="1276" w:type="dxa"/>
            <w:vAlign w:val="center"/>
          </w:tcPr>
          <w:p>
            <w:pPr>
              <w:adjustRightInd w:val="0"/>
              <w:snapToGrid w:val="0"/>
              <w:rPr>
                <w:rFonts w:ascii="Times New Roman" w:hAnsi="Times New Roman"/>
                <w:bCs/>
                <w:color w:val="auto"/>
              </w:rPr>
            </w:pPr>
            <w:r>
              <w:rPr>
                <w:rFonts w:ascii="Times New Roman" w:hAnsi="Times New Roman"/>
                <w:color w:val="auto"/>
              </w:rPr>
              <w:t>过磷酸钙/过磷酸钙</w:t>
            </w:r>
          </w:p>
        </w:tc>
        <w:tc>
          <w:tcPr>
            <w:tcW w:w="2835" w:type="dxa"/>
            <w:vAlign w:val="center"/>
          </w:tcPr>
          <w:p>
            <w:pPr>
              <w:adjustRightInd w:val="0"/>
              <w:snapToGrid w:val="0"/>
              <w:jc w:val="left"/>
              <w:rPr>
                <w:rFonts w:ascii="Times New Roman" w:hAnsi="Times New Roman"/>
                <w:color w:val="auto"/>
              </w:rPr>
            </w:pPr>
            <w:r>
              <w:rPr>
                <w:rFonts w:ascii="Times New Roman" w:hAnsi="Times New Roman"/>
                <w:color w:val="auto"/>
              </w:rPr>
              <w:t>1、原料破碎、研磨设备</w:t>
            </w:r>
          </w:p>
          <w:p>
            <w:pPr>
              <w:adjustRightInd w:val="0"/>
              <w:snapToGrid w:val="0"/>
              <w:jc w:val="left"/>
              <w:rPr>
                <w:rFonts w:ascii="Times New Roman" w:hAnsi="Times New Roman"/>
                <w:color w:val="auto"/>
              </w:rPr>
            </w:pPr>
            <w:r>
              <w:rPr>
                <w:rFonts w:ascii="Times New Roman" w:hAnsi="Times New Roman"/>
                <w:color w:val="auto"/>
              </w:rPr>
              <w:t>2、硫酸、矿粉（浆）计量设备</w:t>
            </w:r>
          </w:p>
          <w:p>
            <w:pPr>
              <w:adjustRightInd w:val="0"/>
              <w:snapToGrid w:val="0"/>
              <w:jc w:val="left"/>
              <w:rPr>
                <w:rFonts w:ascii="Times New Roman" w:hAnsi="Times New Roman"/>
                <w:color w:val="auto"/>
              </w:rPr>
            </w:pPr>
            <w:r>
              <w:rPr>
                <w:rFonts w:ascii="Times New Roman" w:hAnsi="Times New Roman"/>
                <w:color w:val="auto"/>
              </w:rPr>
              <w:t>3、混合设备</w:t>
            </w:r>
          </w:p>
          <w:p>
            <w:pPr>
              <w:adjustRightInd w:val="0"/>
              <w:snapToGrid w:val="0"/>
              <w:jc w:val="left"/>
              <w:rPr>
                <w:rFonts w:ascii="Times New Roman" w:hAnsi="Times New Roman"/>
                <w:color w:val="auto"/>
              </w:rPr>
            </w:pPr>
            <w:r>
              <w:rPr>
                <w:rFonts w:ascii="Times New Roman" w:hAnsi="Times New Roman"/>
                <w:color w:val="auto"/>
              </w:rPr>
              <w:t>4、化成设备</w:t>
            </w:r>
          </w:p>
          <w:p>
            <w:pPr>
              <w:adjustRightInd w:val="0"/>
              <w:snapToGrid w:val="0"/>
              <w:jc w:val="left"/>
              <w:rPr>
                <w:rFonts w:ascii="Times New Roman" w:hAnsi="Times New Roman"/>
                <w:color w:val="auto"/>
              </w:rPr>
            </w:pPr>
            <w:r>
              <w:rPr>
                <w:rFonts w:ascii="Times New Roman" w:hAnsi="Times New Roman"/>
                <w:color w:val="auto"/>
              </w:rPr>
              <w:t>5、硫酸贮槽</w:t>
            </w:r>
          </w:p>
          <w:p>
            <w:pPr>
              <w:adjustRightInd w:val="0"/>
              <w:snapToGrid w:val="0"/>
              <w:jc w:val="left"/>
              <w:rPr>
                <w:rFonts w:ascii="Times New Roman" w:hAnsi="Times New Roman"/>
                <w:color w:val="auto"/>
              </w:rPr>
            </w:pPr>
            <w:r>
              <w:rPr>
                <w:rFonts w:ascii="Times New Roman" w:hAnsi="Times New Roman"/>
                <w:color w:val="auto"/>
              </w:rPr>
              <w:t>6、熟化库及机械翻堆设备</w:t>
            </w:r>
          </w:p>
          <w:p>
            <w:pPr>
              <w:adjustRightInd w:val="0"/>
              <w:snapToGrid w:val="0"/>
              <w:jc w:val="left"/>
              <w:rPr>
                <w:rFonts w:ascii="Times New Roman" w:hAnsi="Times New Roman"/>
                <w:color w:val="auto"/>
              </w:rPr>
            </w:pPr>
            <w:r>
              <w:rPr>
                <w:rFonts w:ascii="Times New Roman" w:hAnsi="Times New Roman"/>
                <w:color w:val="auto"/>
              </w:rPr>
              <w:t>7、氟回收或处理设备</w:t>
            </w:r>
          </w:p>
          <w:p>
            <w:pPr>
              <w:adjustRightInd w:val="0"/>
              <w:snapToGrid w:val="0"/>
              <w:jc w:val="left"/>
              <w:rPr>
                <w:rFonts w:ascii="Times New Roman" w:hAnsi="Times New Roman"/>
                <w:color w:val="auto"/>
              </w:rPr>
            </w:pPr>
            <w:r>
              <w:rPr>
                <w:rFonts w:ascii="Times New Roman" w:hAnsi="Times New Roman"/>
                <w:color w:val="auto"/>
              </w:rPr>
              <w:t>8、干燥及温控设备（粒状过磷酸钙生产适用）</w:t>
            </w:r>
          </w:p>
          <w:p>
            <w:pPr>
              <w:adjustRightInd w:val="0"/>
              <w:snapToGrid w:val="0"/>
              <w:jc w:val="left"/>
              <w:rPr>
                <w:rFonts w:ascii="Times New Roman" w:hAnsi="Times New Roman"/>
                <w:color w:val="auto"/>
              </w:rPr>
            </w:pPr>
            <w:r>
              <w:rPr>
                <w:rFonts w:ascii="Times New Roman" w:hAnsi="Times New Roman"/>
                <w:color w:val="auto"/>
              </w:rPr>
              <w:t>9、造粒设备（自产矿粉干法工艺及粒状过磷酸钙生产适用）</w:t>
            </w:r>
          </w:p>
          <w:p>
            <w:pPr>
              <w:adjustRightInd w:val="0"/>
              <w:snapToGrid w:val="0"/>
              <w:jc w:val="left"/>
              <w:rPr>
                <w:rFonts w:ascii="Times New Roman" w:hAnsi="Times New Roman"/>
                <w:color w:val="auto"/>
              </w:rPr>
            </w:pPr>
            <w:r>
              <w:rPr>
                <w:rFonts w:ascii="Times New Roman" w:hAnsi="Times New Roman"/>
                <w:color w:val="auto"/>
              </w:rPr>
              <w:t>10、成品筛分设备（粒状过磷酸钙生产适用）</w:t>
            </w:r>
          </w:p>
          <w:p>
            <w:pPr>
              <w:ind w:right="-15"/>
              <w:jc w:val="left"/>
              <w:rPr>
                <w:rFonts w:ascii="Times New Roman" w:hAnsi="Times New Roman"/>
                <w:color w:val="auto"/>
              </w:rPr>
            </w:pPr>
            <w:r>
              <w:rPr>
                <w:rFonts w:ascii="Times New Roman" w:hAnsi="Times New Roman"/>
                <w:color w:val="auto"/>
              </w:rPr>
              <w:t>11、矿浆泵</w:t>
            </w:r>
          </w:p>
        </w:tc>
        <w:tc>
          <w:tcPr>
            <w:tcW w:w="2556" w:type="dxa"/>
            <w:vAlign w:val="center"/>
          </w:tcPr>
          <w:p>
            <w:pPr>
              <w:adjustRightInd w:val="0"/>
              <w:snapToGrid w:val="0"/>
              <w:rPr>
                <w:rFonts w:ascii="Times New Roman" w:hAnsi="Times New Roman"/>
                <w:color w:val="auto"/>
              </w:rPr>
            </w:pPr>
            <w:r>
              <w:rPr>
                <w:rFonts w:ascii="Times New Roman" w:hAnsi="Times New Roman"/>
                <w:color w:val="auto"/>
              </w:rPr>
              <w:t>1、原料破碎、研磨设备</w:t>
            </w:r>
          </w:p>
          <w:p>
            <w:pPr>
              <w:adjustRightInd w:val="0"/>
              <w:snapToGrid w:val="0"/>
              <w:rPr>
                <w:rFonts w:ascii="Times New Roman" w:hAnsi="Times New Roman"/>
                <w:color w:val="auto"/>
              </w:rPr>
            </w:pPr>
            <w:r>
              <w:rPr>
                <w:rFonts w:ascii="Times New Roman" w:hAnsi="Times New Roman"/>
                <w:color w:val="auto"/>
              </w:rPr>
              <w:t>2、硫酸、矿粉（浆）计量设备</w:t>
            </w:r>
          </w:p>
          <w:p>
            <w:pPr>
              <w:adjustRightInd w:val="0"/>
              <w:snapToGrid w:val="0"/>
              <w:rPr>
                <w:rFonts w:ascii="Times New Roman" w:hAnsi="Times New Roman"/>
                <w:color w:val="auto"/>
              </w:rPr>
            </w:pPr>
            <w:r>
              <w:rPr>
                <w:rFonts w:ascii="Times New Roman" w:hAnsi="Times New Roman"/>
                <w:color w:val="auto"/>
              </w:rPr>
              <w:t>3、混合设备（配酸设备、酸矿混合器）</w:t>
            </w:r>
          </w:p>
          <w:p>
            <w:pPr>
              <w:adjustRightInd w:val="0"/>
              <w:snapToGrid w:val="0"/>
              <w:rPr>
                <w:rFonts w:ascii="Times New Roman" w:hAnsi="Times New Roman"/>
                <w:color w:val="auto"/>
              </w:rPr>
            </w:pPr>
            <w:r>
              <w:rPr>
                <w:rFonts w:ascii="Times New Roman" w:hAnsi="Times New Roman"/>
                <w:color w:val="auto"/>
              </w:rPr>
              <w:t>4、化成设备</w:t>
            </w:r>
          </w:p>
          <w:p>
            <w:pPr>
              <w:adjustRightInd w:val="0"/>
              <w:snapToGrid w:val="0"/>
              <w:rPr>
                <w:rFonts w:ascii="Times New Roman" w:hAnsi="Times New Roman"/>
                <w:color w:val="auto"/>
              </w:rPr>
            </w:pPr>
            <w:r>
              <w:rPr>
                <w:rFonts w:ascii="Times New Roman" w:hAnsi="Times New Roman"/>
                <w:color w:val="auto"/>
              </w:rPr>
              <w:t>5、硫酸贮槽</w:t>
            </w:r>
          </w:p>
          <w:p>
            <w:pPr>
              <w:adjustRightInd w:val="0"/>
              <w:snapToGrid w:val="0"/>
              <w:rPr>
                <w:rFonts w:ascii="Times New Roman" w:hAnsi="Times New Roman"/>
                <w:color w:val="auto"/>
              </w:rPr>
            </w:pPr>
            <w:r>
              <w:rPr>
                <w:rFonts w:ascii="Times New Roman" w:hAnsi="Times New Roman"/>
                <w:color w:val="auto"/>
              </w:rPr>
              <w:t>6、成品包装设备</w:t>
            </w:r>
          </w:p>
          <w:p>
            <w:pPr>
              <w:adjustRightInd w:val="0"/>
              <w:snapToGrid w:val="0"/>
              <w:rPr>
                <w:rFonts w:ascii="Times New Roman" w:hAnsi="Times New Roman"/>
                <w:color w:val="auto"/>
              </w:rPr>
            </w:pPr>
            <w:r>
              <w:rPr>
                <w:rFonts w:ascii="Times New Roman" w:hAnsi="Times New Roman"/>
                <w:color w:val="auto"/>
              </w:rPr>
              <w:t>7、成品包装计量设备</w:t>
            </w:r>
          </w:p>
          <w:p>
            <w:pPr>
              <w:adjustRightInd w:val="0"/>
              <w:snapToGrid w:val="0"/>
              <w:rPr>
                <w:rFonts w:ascii="Times New Roman" w:hAnsi="Times New Roman"/>
                <w:color w:val="auto"/>
              </w:rPr>
            </w:pPr>
            <w:r>
              <w:rPr>
                <w:rFonts w:ascii="Times New Roman" w:hAnsi="Times New Roman"/>
                <w:color w:val="auto"/>
              </w:rPr>
              <w:t>8、造粒设备</w:t>
            </w:r>
          </w:p>
          <w:p>
            <w:pPr>
              <w:adjustRightInd w:val="0"/>
              <w:snapToGrid w:val="0"/>
              <w:rPr>
                <w:rFonts w:ascii="Times New Roman" w:hAnsi="Times New Roman"/>
                <w:color w:val="auto"/>
              </w:rPr>
            </w:pPr>
            <w:r>
              <w:rPr>
                <w:rFonts w:ascii="Times New Roman" w:hAnsi="Times New Roman"/>
                <w:color w:val="auto"/>
              </w:rPr>
              <w:t>9、干燥设备</w:t>
            </w:r>
          </w:p>
          <w:p>
            <w:pPr>
              <w:adjustRightInd w:val="0"/>
              <w:snapToGrid w:val="0"/>
              <w:rPr>
                <w:rFonts w:ascii="Times New Roman" w:hAnsi="Times New Roman"/>
                <w:color w:val="auto"/>
              </w:rPr>
            </w:pPr>
            <w:r>
              <w:rPr>
                <w:rFonts w:ascii="Times New Roman" w:hAnsi="Times New Roman"/>
                <w:color w:val="auto"/>
              </w:rPr>
              <w:t>10、成品筛分设备</w:t>
            </w:r>
          </w:p>
          <w:p>
            <w:pPr>
              <w:adjustRightInd w:val="0"/>
              <w:snapToGrid w:val="0"/>
              <w:rPr>
                <w:rFonts w:ascii="Times New Roman" w:hAnsi="Times New Roman"/>
                <w:color w:val="auto"/>
              </w:rPr>
            </w:pPr>
            <w:r>
              <w:rPr>
                <w:rFonts w:ascii="Times New Roman" w:hAnsi="Times New Roman"/>
                <w:color w:val="auto"/>
              </w:rPr>
              <w:t>11、氟回收或处理设备</w:t>
            </w:r>
          </w:p>
          <w:p>
            <w:pPr>
              <w:ind w:right="-15"/>
              <w:jc w:val="left"/>
              <w:rPr>
                <w:rFonts w:ascii="Times New Roman" w:hAnsi="Times New Roman"/>
                <w:color w:val="auto"/>
              </w:rPr>
            </w:pPr>
            <w:r>
              <w:rPr>
                <w:rFonts w:ascii="Times New Roman" w:hAnsi="Times New Roman"/>
                <w:color w:val="auto"/>
              </w:rPr>
              <w:t>12、矿浆泵</w:t>
            </w:r>
          </w:p>
        </w:tc>
        <w:tc>
          <w:tcPr>
            <w:tcW w:w="1701" w:type="dxa"/>
            <w:vAlign w:val="center"/>
          </w:tcPr>
          <w:p>
            <w:pPr>
              <w:jc w:val="center"/>
              <w:rPr>
                <w:rFonts w:ascii="Times New Roman" w:hAnsi="Times New Roman"/>
                <w:color w:val="auto"/>
              </w:rPr>
            </w:pPr>
            <w:r>
              <w:rPr>
                <w:rFonts w:ascii="Times New Roman" w:hAnsi="Times New Roman"/>
                <w:color w:val="auto"/>
              </w:rPr>
              <w:t>删除成品包装和包装计量设备，增加熟化库和机械翻堆设备，干燥设备修改为干燥及温控设备。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04" w:type="dxa"/>
            <w:vAlign w:val="center"/>
          </w:tcPr>
          <w:p>
            <w:pPr>
              <w:spacing w:line="0" w:lineRule="atLeast"/>
              <w:jc w:val="center"/>
              <w:rPr>
                <w:rFonts w:ascii="Times New Roman" w:hAnsi="Times New Roman"/>
                <w:color w:val="auto"/>
              </w:rPr>
            </w:pPr>
            <w:r>
              <w:rPr>
                <w:rFonts w:ascii="Times New Roman" w:hAnsi="Times New Roman"/>
                <w:color w:val="auto"/>
              </w:rPr>
              <w:t>2</w:t>
            </w:r>
          </w:p>
        </w:tc>
        <w:tc>
          <w:tcPr>
            <w:tcW w:w="1276" w:type="dxa"/>
            <w:vAlign w:val="center"/>
          </w:tcPr>
          <w:p>
            <w:pPr>
              <w:adjustRightInd w:val="0"/>
              <w:snapToGrid w:val="0"/>
              <w:rPr>
                <w:rFonts w:ascii="Times New Roman" w:hAnsi="Times New Roman"/>
                <w:bCs/>
                <w:color w:val="auto"/>
              </w:rPr>
            </w:pPr>
            <w:r>
              <w:rPr>
                <w:rFonts w:ascii="Times New Roman" w:hAnsi="Times New Roman"/>
                <w:color w:val="auto"/>
              </w:rPr>
              <w:t>钙镁磷肥/钙镁磷肥</w:t>
            </w:r>
          </w:p>
        </w:tc>
        <w:tc>
          <w:tcPr>
            <w:tcW w:w="2835" w:type="dxa"/>
            <w:vAlign w:val="center"/>
          </w:tcPr>
          <w:p>
            <w:pPr>
              <w:adjustRightInd w:val="0"/>
              <w:snapToGrid w:val="0"/>
              <w:rPr>
                <w:rFonts w:ascii="Times New Roman" w:hAnsi="Times New Roman"/>
                <w:color w:val="auto"/>
              </w:rPr>
            </w:pPr>
            <w:r>
              <w:rPr>
                <w:rFonts w:ascii="Times New Roman" w:hAnsi="Times New Roman"/>
                <w:color w:val="auto"/>
              </w:rPr>
              <w:t>1、配料计量设备</w:t>
            </w:r>
          </w:p>
          <w:p>
            <w:pPr>
              <w:adjustRightInd w:val="0"/>
              <w:snapToGrid w:val="0"/>
              <w:rPr>
                <w:rFonts w:ascii="Times New Roman" w:hAnsi="Times New Roman"/>
                <w:color w:val="auto"/>
              </w:rPr>
            </w:pPr>
            <w:r>
              <w:rPr>
                <w:rFonts w:ascii="Times New Roman" w:hAnsi="Times New Roman"/>
                <w:color w:val="auto"/>
              </w:rPr>
              <w:t>2、热风炉</w:t>
            </w:r>
          </w:p>
          <w:p>
            <w:pPr>
              <w:adjustRightInd w:val="0"/>
              <w:snapToGrid w:val="0"/>
              <w:rPr>
                <w:rFonts w:ascii="Times New Roman" w:hAnsi="Times New Roman"/>
                <w:color w:val="auto"/>
              </w:rPr>
            </w:pPr>
            <w:r>
              <w:rPr>
                <w:rFonts w:ascii="Times New Roman" w:hAnsi="Times New Roman"/>
                <w:color w:val="auto"/>
              </w:rPr>
              <w:t>3、高炉及高炉上料设备</w:t>
            </w:r>
          </w:p>
          <w:p>
            <w:pPr>
              <w:adjustRightInd w:val="0"/>
              <w:snapToGrid w:val="0"/>
              <w:rPr>
                <w:rFonts w:ascii="Times New Roman" w:hAnsi="Times New Roman"/>
                <w:color w:val="auto"/>
              </w:rPr>
            </w:pPr>
            <w:r>
              <w:rPr>
                <w:rFonts w:ascii="Times New Roman" w:hAnsi="Times New Roman"/>
                <w:color w:val="auto"/>
              </w:rPr>
              <w:t>4、风机（热风机和鼓风机）</w:t>
            </w:r>
          </w:p>
          <w:p>
            <w:pPr>
              <w:adjustRightInd w:val="0"/>
              <w:snapToGrid w:val="0"/>
              <w:rPr>
                <w:rFonts w:ascii="Times New Roman" w:hAnsi="Times New Roman"/>
                <w:color w:val="auto"/>
              </w:rPr>
            </w:pPr>
            <w:r>
              <w:rPr>
                <w:rFonts w:ascii="Times New Roman" w:hAnsi="Times New Roman"/>
                <w:color w:val="auto"/>
              </w:rPr>
              <w:t>5、烘干磨细设备</w:t>
            </w:r>
          </w:p>
          <w:p>
            <w:pPr>
              <w:adjustRightInd w:val="0"/>
              <w:snapToGrid w:val="0"/>
              <w:rPr>
                <w:rFonts w:ascii="Times New Roman" w:hAnsi="Times New Roman"/>
                <w:color w:val="auto"/>
              </w:rPr>
            </w:pPr>
            <w:r>
              <w:rPr>
                <w:rFonts w:ascii="Times New Roman" w:hAnsi="Times New Roman"/>
                <w:color w:val="auto"/>
              </w:rPr>
              <w:t>6、造粒设备（粒状钙镁磷肥生产适用）</w:t>
            </w:r>
          </w:p>
          <w:p>
            <w:pPr>
              <w:ind w:right="-15"/>
              <w:rPr>
                <w:rFonts w:ascii="Times New Roman" w:hAnsi="Times New Roman"/>
                <w:color w:val="auto"/>
              </w:rPr>
            </w:pPr>
            <w:r>
              <w:rPr>
                <w:rFonts w:ascii="Times New Roman" w:hAnsi="Times New Roman"/>
                <w:color w:val="auto"/>
              </w:rPr>
              <w:t>7、成品筛分设备（粒状钙镁磷肥生产适用）</w:t>
            </w:r>
          </w:p>
        </w:tc>
        <w:tc>
          <w:tcPr>
            <w:tcW w:w="2556" w:type="dxa"/>
            <w:vAlign w:val="center"/>
          </w:tcPr>
          <w:p>
            <w:pPr>
              <w:adjustRightInd w:val="0"/>
              <w:snapToGrid w:val="0"/>
              <w:rPr>
                <w:rFonts w:ascii="Times New Roman" w:hAnsi="Times New Roman"/>
                <w:color w:val="auto"/>
              </w:rPr>
            </w:pPr>
            <w:r>
              <w:rPr>
                <w:rFonts w:ascii="Times New Roman" w:hAnsi="Times New Roman"/>
                <w:color w:val="auto"/>
              </w:rPr>
              <w:t>1、配料计量设备</w:t>
            </w:r>
          </w:p>
          <w:p>
            <w:pPr>
              <w:adjustRightInd w:val="0"/>
              <w:snapToGrid w:val="0"/>
              <w:rPr>
                <w:rFonts w:ascii="Times New Roman" w:hAnsi="Times New Roman"/>
                <w:color w:val="auto"/>
              </w:rPr>
            </w:pPr>
            <w:r>
              <w:rPr>
                <w:rFonts w:ascii="Times New Roman" w:hAnsi="Times New Roman"/>
                <w:color w:val="auto"/>
              </w:rPr>
              <w:t>2、高炉上料设备</w:t>
            </w:r>
          </w:p>
          <w:p>
            <w:pPr>
              <w:adjustRightInd w:val="0"/>
              <w:snapToGrid w:val="0"/>
              <w:rPr>
                <w:rFonts w:ascii="Times New Roman" w:hAnsi="Times New Roman"/>
                <w:color w:val="auto"/>
              </w:rPr>
            </w:pPr>
            <w:r>
              <w:rPr>
                <w:rFonts w:ascii="Times New Roman" w:hAnsi="Times New Roman"/>
                <w:color w:val="auto"/>
              </w:rPr>
              <w:t>3、热风炉</w:t>
            </w:r>
          </w:p>
          <w:p>
            <w:pPr>
              <w:adjustRightInd w:val="0"/>
              <w:snapToGrid w:val="0"/>
              <w:rPr>
                <w:rFonts w:ascii="Times New Roman" w:hAnsi="Times New Roman"/>
                <w:color w:val="auto"/>
              </w:rPr>
            </w:pPr>
            <w:r>
              <w:rPr>
                <w:rFonts w:ascii="Times New Roman" w:hAnsi="Times New Roman"/>
                <w:color w:val="auto"/>
              </w:rPr>
              <w:t>4、高炉</w:t>
            </w:r>
          </w:p>
          <w:p>
            <w:pPr>
              <w:adjustRightInd w:val="0"/>
              <w:snapToGrid w:val="0"/>
              <w:rPr>
                <w:rFonts w:ascii="Times New Roman" w:hAnsi="Times New Roman"/>
                <w:color w:val="auto"/>
              </w:rPr>
            </w:pPr>
            <w:r>
              <w:rPr>
                <w:rFonts w:ascii="Times New Roman" w:hAnsi="Times New Roman"/>
                <w:color w:val="auto"/>
              </w:rPr>
              <w:t>5、高炉气净化除尘设备</w:t>
            </w:r>
          </w:p>
          <w:p>
            <w:pPr>
              <w:adjustRightInd w:val="0"/>
              <w:snapToGrid w:val="0"/>
              <w:rPr>
                <w:rFonts w:ascii="Times New Roman" w:hAnsi="Times New Roman"/>
                <w:color w:val="auto"/>
              </w:rPr>
            </w:pPr>
            <w:r>
              <w:rPr>
                <w:rFonts w:ascii="Times New Roman" w:hAnsi="Times New Roman"/>
                <w:color w:val="auto"/>
              </w:rPr>
              <w:t>6、风机（热风机和鼓风机）</w:t>
            </w:r>
          </w:p>
          <w:p>
            <w:pPr>
              <w:adjustRightInd w:val="0"/>
              <w:snapToGrid w:val="0"/>
              <w:rPr>
                <w:rFonts w:ascii="Times New Roman" w:hAnsi="Times New Roman"/>
                <w:color w:val="auto"/>
              </w:rPr>
            </w:pPr>
            <w:r>
              <w:rPr>
                <w:rFonts w:ascii="Times New Roman" w:hAnsi="Times New Roman"/>
                <w:color w:val="auto"/>
              </w:rPr>
              <w:t>7、氟回收或处理设备</w:t>
            </w:r>
          </w:p>
          <w:p>
            <w:pPr>
              <w:adjustRightInd w:val="0"/>
              <w:snapToGrid w:val="0"/>
              <w:rPr>
                <w:rFonts w:ascii="Times New Roman" w:hAnsi="Times New Roman"/>
                <w:color w:val="auto"/>
              </w:rPr>
            </w:pPr>
            <w:r>
              <w:rPr>
                <w:rFonts w:ascii="Times New Roman" w:hAnsi="Times New Roman"/>
                <w:color w:val="auto"/>
              </w:rPr>
              <w:t>8、烘干磨细设备</w:t>
            </w:r>
          </w:p>
          <w:p>
            <w:pPr>
              <w:adjustRightInd w:val="0"/>
              <w:snapToGrid w:val="0"/>
              <w:rPr>
                <w:rFonts w:ascii="Times New Roman" w:hAnsi="Times New Roman"/>
                <w:color w:val="auto"/>
              </w:rPr>
            </w:pPr>
            <w:r>
              <w:rPr>
                <w:rFonts w:ascii="Times New Roman" w:hAnsi="Times New Roman"/>
                <w:color w:val="auto"/>
              </w:rPr>
              <w:t>9、成品包装设备</w:t>
            </w:r>
          </w:p>
          <w:p>
            <w:pPr>
              <w:ind w:right="-15"/>
              <w:jc w:val="left"/>
              <w:rPr>
                <w:rFonts w:ascii="Times New Roman" w:hAnsi="Times New Roman"/>
                <w:color w:val="auto"/>
              </w:rPr>
            </w:pPr>
            <w:r>
              <w:rPr>
                <w:rFonts w:ascii="Times New Roman" w:hAnsi="Times New Roman"/>
                <w:color w:val="auto"/>
              </w:rPr>
              <w:t>10、成品包装计量设备</w:t>
            </w:r>
          </w:p>
        </w:tc>
        <w:tc>
          <w:tcPr>
            <w:tcW w:w="1701" w:type="dxa"/>
          </w:tcPr>
          <w:p>
            <w:pPr>
              <w:jc w:val="center"/>
              <w:rPr>
                <w:rFonts w:ascii="Times New Roman" w:hAnsi="Times New Roman"/>
                <w:color w:val="auto"/>
              </w:rPr>
            </w:pPr>
            <w:r>
              <w:rPr>
                <w:rFonts w:ascii="Times New Roman" w:hAnsi="Times New Roman"/>
                <w:color w:val="auto"/>
              </w:rPr>
              <w:t>删除氟回收或处理设备、成品包装和成品包装计量设备，合并高炉和高炉上料设备，增加造粒设备和成品筛分设备。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04" w:type="dxa"/>
            <w:vAlign w:val="center"/>
          </w:tcPr>
          <w:p>
            <w:pPr>
              <w:spacing w:line="0" w:lineRule="atLeast"/>
              <w:jc w:val="center"/>
              <w:rPr>
                <w:rFonts w:ascii="Times New Roman" w:hAnsi="Times New Roman"/>
                <w:color w:val="auto"/>
              </w:rPr>
            </w:pPr>
            <w:r>
              <w:rPr>
                <w:rFonts w:ascii="Times New Roman" w:hAnsi="Times New Roman"/>
                <w:color w:val="auto"/>
              </w:rPr>
              <w:t>3</w:t>
            </w:r>
          </w:p>
        </w:tc>
        <w:tc>
          <w:tcPr>
            <w:tcW w:w="1276" w:type="dxa"/>
            <w:vAlign w:val="center"/>
          </w:tcPr>
          <w:p>
            <w:pPr>
              <w:jc w:val="center"/>
              <w:rPr>
                <w:rFonts w:ascii="Times New Roman" w:hAnsi="Times New Roman"/>
                <w:color w:val="auto"/>
              </w:rPr>
            </w:pPr>
            <w:r>
              <w:rPr>
                <w:rFonts w:ascii="Times New Roman" w:hAnsi="Times New Roman"/>
                <w:color w:val="auto"/>
              </w:rPr>
              <w:t>钙镁磷钾肥/钙镁磷钾肥</w:t>
            </w:r>
          </w:p>
        </w:tc>
        <w:tc>
          <w:tcPr>
            <w:tcW w:w="2835" w:type="dxa"/>
            <w:vAlign w:val="center"/>
          </w:tcPr>
          <w:p>
            <w:pPr>
              <w:adjustRightInd w:val="0"/>
              <w:snapToGrid w:val="0"/>
              <w:rPr>
                <w:rFonts w:ascii="Times New Roman" w:hAnsi="Times New Roman"/>
                <w:color w:val="auto"/>
              </w:rPr>
            </w:pPr>
            <w:r>
              <w:rPr>
                <w:rFonts w:ascii="Times New Roman" w:hAnsi="Times New Roman"/>
                <w:color w:val="auto"/>
              </w:rPr>
              <w:t>1、配料计量设备</w:t>
            </w:r>
          </w:p>
          <w:p>
            <w:pPr>
              <w:adjustRightInd w:val="0"/>
              <w:snapToGrid w:val="0"/>
              <w:rPr>
                <w:rFonts w:ascii="Times New Roman" w:hAnsi="Times New Roman"/>
                <w:color w:val="auto"/>
              </w:rPr>
            </w:pPr>
            <w:r>
              <w:rPr>
                <w:rFonts w:ascii="Times New Roman" w:hAnsi="Times New Roman"/>
                <w:color w:val="auto"/>
              </w:rPr>
              <w:t>2、热风炉</w:t>
            </w:r>
          </w:p>
          <w:p>
            <w:pPr>
              <w:adjustRightInd w:val="0"/>
              <w:snapToGrid w:val="0"/>
              <w:rPr>
                <w:rFonts w:ascii="Times New Roman" w:hAnsi="Times New Roman"/>
                <w:color w:val="auto"/>
              </w:rPr>
            </w:pPr>
            <w:r>
              <w:rPr>
                <w:rFonts w:ascii="Times New Roman" w:hAnsi="Times New Roman"/>
                <w:color w:val="auto"/>
              </w:rPr>
              <w:t>3、高炉及高炉上料设备</w:t>
            </w:r>
          </w:p>
          <w:p>
            <w:pPr>
              <w:adjustRightInd w:val="0"/>
              <w:snapToGrid w:val="0"/>
              <w:rPr>
                <w:rFonts w:ascii="Times New Roman" w:hAnsi="Times New Roman"/>
                <w:color w:val="auto"/>
              </w:rPr>
            </w:pPr>
            <w:r>
              <w:rPr>
                <w:rFonts w:ascii="Times New Roman" w:hAnsi="Times New Roman"/>
                <w:color w:val="auto"/>
              </w:rPr>
              <w:t>4、高炉气净化除尘设备</w:t>
            </w:r>
          </w:p>
          <w:p>
            <w:pPr>
              <w:adjustRightInd w:val="0"/>
              <w:snapToGrid w:val="0"/>
              <w:rPr>
                <w:rFonts w:ascii="Times New Roman" w:hAnsi="Times New Roman"/>
                <w:color w:val="auto"/>
              </w:rPr>
            </w:pPr>
            <w:r>
              <w:rPr>
                <w:rFonts w:ascii="Times New Roman" w:hAnsi="Times New Roman"/>
                <w:color w:val="auto"/>
              </w:rPr>
              <w:t>5、风机（热风机和鼓风机）</w:t>
            </w:r>
          </w:p>
          <w:p>
            <w:pPr>
              <w:adjustRightInd w:val="0"/>
              <w:snapToGrid w:val="0"/>
              <w:rPr>
                <w:rFonts w:ascii="Times New Roman" w:hAnsi="Times New Roman"/>
                <w:color w:val="auto"/>
              </w:rPr>
            </w:pPr>
            <w:r>
              <w:rPr>
                <w:rFonts w:ascii="Times New Roman" w:hAnsi="Times New Roman"/>
                <w:color w:val="auto"/>
              </w:rPr>
              <w:t>6、氟回收或处理设备</w:t>
            </w:r>
          </w:p>
          <w:p>
            <w:pPr>
              <w:ind w:right="-15"/>
              <w:jc w:val="left"/>
              <w:rPr>
                <w:rFonts w:ascii="Times New Roman" w:hAnsi="Times New Roman"/>
                <w:color w:val="auto"/>
              </w:rPr>
            </w:pPr>
            <w:r>
              <w:rPr>
                <w:rFonts w:ascii="Times New Roman" w:hAnsi="Times New Roman"/>
                <w:color w:val="auto"/>
              </w:rPr>
              <w:t>7、烘干磨细设备</w:t>
            </w:r>
          </w:p>
        </w:tc>
        <w:tc>
          <w:tcPr>
            <w:tcW w:w="2556" w:type="dxa"/>
            <w:vAlign w:val="center"/>
          </w:tcPr>
          <w:p>
            <w:pPr>
              <w:adjustRightInd w:val="0"/>
              <w:snapToGrid w:val="0"/>
              <w:rPr>
                <w:rFonts w:ascii="Times New Roman" w:hAnsi="Times New Roman"/>
                <w:color w:val="auto"/>
              </w:rPr>
            </w:pPr>
            <w:r>
              <w:rPr>
                <w:rFonts w:ascii="Times New Roman" w:hAnsi="Times New Roman"/>
                <w:color w:val="auto"/>
              </w:rPr>
              <w:t>1、配料计量设备</w:t>
            </w:r>
          </w:p>
          <w:p>
            <w:pPr>
              <w:adjustRightInd w:val="0"/>
              <w:snapToGrid w:val="0"/>
              <w:rPr>
                <w:rFonts w:ascii="Times New Roman" w:hAnsi="Times New Roman"/>
                <w:color w:val="auto"/>
              </w:rPr>
            </w:pPr>
            <w:r>
              <w:rPr>
                <w:rFonts w:ascii="Times New Roman" w:hAnsi="Times New Roman"/>
                <w:color w:val="auto"/>
              </w:rPr>
              <w:t>2、高炉上料设备</w:t>
            </w:r>
          </w:p>
          <w:p>
            <w:pPr>
              <w:adjustRightInd w:val="0"/>
              <w:snapToGrid w:val="0"/>
              <w:rPr>
                <w:rFonts w:ascii="Times New Roman" w:hAnsi="Times New Roman"/>
                <w:color w:val="auto"/>
              </w:rPr>
            </w:pPr>
            <w:r>
              <w:rPr>
                <w:rFonts w:ascii="Times New Roman" w:hAnsi="Times New Roman"/>
                <w:color w:val="auto"/>
              </w:rPr>
              <w:t>3、热风炉</w:t>
            </w:r>
          </w:p>
          <w:p>
            <w:pPr>
              <w:adjustRightInd w:val="0"/>
              <w:snapToGrid w:val="0"/>
              <w:rPr>
                <w:rFonts w:ascii="Times New Roman" w:hAnsi="Times New Roman"/>
                <w:color w:val="auto"/>
              </w:rPr>
            </w:pPr>
            <w:r>
              <w:rPr>
                <w:rFonts w:ascii="Times New Roman" w:hAnsi="Times New Roman"/>
                <w:color w:val="auto"/>
              </w:rPr>
              <w:t>4、高炉</w:t>
            </w:r>
          </w:p>
          <w:p>
            <w:pPr>
              <w:adjustRightInd w:val="0"/>
              <w:snapToGrid w:val="0"/>
              <w:rPr>
                <w:rFonts w:ascii="Times New Roman" w:hAnsi="Times New Roman"/>
                <w:color w:val="auto"/>
              </w:rPr>
            </w:pPr>
            <w:r>
              <w:rPr>
                <w:rFonts w:ascii="Times New Roman" w:hAnsi="Times New Roman"/>
                <w:color w:val="auto"/>
              </w:rPr>
              <w:t>5、高炉气净化除尘设备</w:t>
            </w:r>
          </w:p>
          <w:p>
            <w:pPr>
              <w:adjustRightInd w:val="0"/>
              <w:snapToGrid w:val="0"/>
              <w:rPr>
                <w:rFonts w:ascii="Times New Roman" w:hAnsi="Times New Roman"/>
                <w:color w:val="auto"/>
              </w:rPr>
            </w:pPr>
            <w:r>
              <w:rPr>
                <w:rFonts w:ascii="Times New Roman" w:hAnsi="Times New Roman"/>
                <w:color w:val="auto"/>
              </w:rPr>
              <w:t>6、风机（热风机和鼓风机）</w:t>
            </w:r>
          </w:p>
          <w:p>
            <w:pPr>
              <w:adjustRightInd w:val="0"/>
              <w:snapToGrid w:val="0"/>
              <w:rPr>
                <w:rFonts w:ascii="Times New Roman" w:hAnsi="Times New Roman"/>
                <w:color w:val="auto"/>
              </w:rPr>
            </w:pPr>
            <w:r>
              <w:rPr>
                <w:rFonts w:ascii="Times New Roman" w:hAnsi="Times New Roman"/>
                <w:color w:val="auto"/>
              </w:rPr>
              <w:t>7、氟回收或处理设备</w:t>
            </w:r>
          </w:p>
          <w:p>
            <w:pPr>
              <w:adjustRightInd w:val="0"/>
              <w:snapToGrid w:val="0"/>
              <w:rPr>
                <w:rFonts w:ascii="Times New Roman" w:hAnsi="Times New Roman"/>
                <w:color w:val="auto"/>
              </w:rPr>
            </w:pPr>
            <w:r>
              <w:rPr>
                <w:rFonts w:ascii="Times New Roman" w:hAnsi="Times New Roman"/>
                <w:color w:val="auto"/>
              </w:rPr>
              <w:t>8、烘干磨细设备</w:t>
            </w:r>
          </w:p>
          <w:p>
            <w:pPr>
              <w:adjustRightInd w:val="0"/>
              <w:snapToGrid w:val="0"/>
              <w:rPr>
                <w:rFonts w:ascii="Times New Roman" w:hAnsi="Times New Roman"/>
                <w:color w:val="auto"/>
              </w:rPr>
            </w:pPr>
            <w:r>
              <w:rPr>
                <w:rFonts w:ascii="Times New Roman" w:hAnsi="Times New Roman"/>
                <w:color w:val="auto"/>
              </w:rPr>
              <w:t>9、成品包装设备</w:t>
            </w:r>
          </w:p>
          <w:p>
            <w:pPr>
              <w:ind w:right="-15"/>
              <w:rPr>
                <w:rFonts w:ascii="Times New Roman" w:hAnsi="Times New Roman"/>
                <w:color w:val="auto"/>
              </w:rPr>
            </w:pPr>
            <w:r>
              <w:rPr>
                <w:rFonts w:ascii="Times New Roman" w:hAnsi="Times New Roman"/>
                <w:color w:val="auto"/>
              </w:rPr>
              <w:t>10、成品包装计量设备</w:t>
            </w:r>
          </w:p>
        </w:tc>
        <w:tc>
          <w:tcPr>
            <w:tcW w:w="1701" w:type="dxa"/>
            <w:vAlign w:val="center"/>
          </w:tcPr>
          <w:p>
            <w:pPr>
              <w:jc w:val="center"/>
              <w:rPr>
                <w:rFonts w:ascii="Times New Roman" w:hAnsi="Times New Roman"/>
                <w:color w:val="auto"/>
              </w:rPr>
            </w:pPr>
            <w:r>
              <w:rPr>
                <w:rFonts w:ascii="Times New Roman" w:hAnsi="Times New Roman"/>
                <w:color w:val="auto"/>
              </w:rPr>
              <w:t>删除氟回收或处理设备、成品包装和计量设备，合并高炉及高炉上料设备。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04" w:type="dxa"/>
            <w:vAlign w:val="center"/>
          </w:tcPr>
          <w:p>
            <w:pPr>
              <w:spacing w:line="0" w:lineRule="atLeast"/>
              <w:jc w:val="center"/>
              <w:rPr>
                <w:rFonts w:ascii="Times New Roman" w:hAnsi="Times New Roman"/>
                <w:color w:val="auto"/>
              </w:rPr>
            </w:pPr>
            <w:r>
              <w:rPr>
                <w:rFonts w:ascii="Times New Roman" w:hAnsi="Times New Roman"/>
                <w:color w:val="auto"/>
              </w:rPr>
              <w:t>4</w:t>
            </w:r>
          </w:p>
        </w:tc>
        <w:tc>
          <w:tcPr>
            <w:tcW w:w="1276" w:type="dxa"/>
            <w:vAlign w:val="center"/>
          </w:tcPr>
          <w:p>
            <w:pPr>
              <w:jc w:val="center"/>
              <w:rPr>
                <w:rFonts w:ascii="Times New Roman" w:hAnsi="Times New Roman"/>
                <w:color w:val="auto"/>
              </w:rPr>
            </w:pPr>
            <w:r>
              <w:rPr>
                <w:rFonts w:ascii="Times New Roman" w:hAnsi="Times New Roman"/>
                <w:color w:val="auto"/>
              </w:rPr>
              <w:t>肥料级磷酸氢钙/肥料级磷酸氢钙</w:t>
            </w:r>
          </w:p>
        </w:tc>
        <w:tc>
          <w:tcPr>
            <w:tcW w:w="2835" w:type="dxa"/>
            <w:vAlign w:val="center"/>
          </w:tcPr>
          <w:p>
            <w:pPr>
              <w:adjustRightInd w:val="0"/>
              <w:snapToGrid w:val="0"/>
              <w:rPr>
                <w:rFonts w:ascii="Times New Roman" w:hAnsi="Times New Roman"/>
                <w:color w:val="auto"/>
              </w:rPr>
            </w:pPr>
            <w:r>
              <w:rPr>
                <w:rFonts w:ascii="Times New Roman" w:hAnsi="Times New Roman"/>
                <w:color w:val="auto"/>
              </w:rPr>
              <w:t>1、燃烧炉</w:t>
            </w:r>
          </w:p>
          <w:p>
            <w:pPr>
              <w:adjustRightInd w:val="0"/>
              <w:snapToGrid w:val="0"/>
              <w:rPr>
                <w:rFonts w:ascii="Times New Roman" w:hAnsi="Times New Roman"/>
                <w:color w:val="auto"/>
              </w:rPr>
            </w:pPr>
            <w:r>
              <w:rPr>
                <w:rFonts w:ascii="Times New Roman" w:hAnsi="Times New Roman"/>
                <w:color w:val="auto"/>
              </w:rPr>
              <w:t>2、干燥机</w:t>
            </w:r>
          </w:p>
          <w:p>
            <w:pPr>
              <w:adjustRightInd w:val="0"/>
              <w:snapToGrid w:val="0"/>
              <w:rPr>
                <w:rFonts w:ascii="Times New Roman" w:hAnsi="Times New Roman"/>
                <w:color w:val="auto"/>
              </w:rPr>
            </w:pPr>
            <w:r>
              <w:rPr>
                <w:rFonts w:ascii="Times New Roman" w:hAnsi="Times New Roman"/>
                <w:color w:val="auto"/>
              </w:rPr>
              <w:t>3、干燥机进出口风温测定仪</w:t>
            </w:r>
          </w:p>
          <w:p>
            <w:pPr>
              <w:adjustRightInd w:val="0"/>
              <w:snapToGrid w:val="0"/>
              <w:rPr>
                <w:rFonts w:ascii="Times New Roman" w:hAnsi="Times New Roman"/>
                <w:color w:val="auto"/>
              </w:rPr>
            </w:pPr>
            <w:r>
              <w:rPr>
                <w:rFonts w:ascii="Times New Roman" w:hAnsi="Times New Roman"/>
                <w:color w:val="auto"/>
              </w:rPr>
              <w:t>4、鼓、引风机</w:t>
            </w:r>
          </w:p>
          <w:p>
            <w:pPr>
              <w:adjustRightInd w:val="0"/>
              <w:snapToGrid w:val="0"/>
              <w:rPr>
                <w:rFonts w:ascii="Times New Roman" w:hAnsi="Times New Roman"/>
                <w:color w:val="auto"/>
              </w:rPr>
            </w:pPr>
            <w:r>
              <w:rPr>
                <w:rFonts w:ascii="Times New Roman" w:hAnsi="Times New Roman"/>
                <w:color w:val="auto"/>
              </w:rPr>
              <w:t>5、气固分离设备</w:t>
            </w:r>
          </w:p>
          <w:p>
            <w:pPr>
              <w:ind w:right="-15"/>
              <w:jc w:val="left"/>
              <w:rPr>
                <w:rFonts w:ascii="Times New Roman" w:hAnsi="Times New Roman"/>
                <w:color w:val="auto"/>
              </w:rPr>
            </w:pPr>
            <w:r>
              <w:rPr>
                <w:rFonts w:ascii="Times New Roman" w:hAnsi="Times New Roman"/>
                <w:color w:val="auto"/>
              </w:rPr>
              <w:t>6、含尘气体净化回收设备</w:t>
            </w:r>
          </w:p>
        </w:tc>
        <w:tc>
          <w:tcPr>
            <w:tcW w:w="2556" w:type="dxa"/>
            <w:vAlign w:val="center"/>
          </w:tcPr>
          <w:p>
            <w:pPr>
              <w:adjustRightInd w:val="0"/>
              <w:snapToGrid w:val="0"/>
              <w:rPr>
                <w:rFonts w:ascii="Times New Roman" w:hAnsi="Times New Roman"/>
                <w:color w:val="auto"/>
              </w:rPr>
            </w:pPr>
            <w:r>
              <w:rPr>
                <w:rFonts w:ascii="Times New Roman" w:hAnsi="Times New Roman"/>
                <w:color w:val="auto"/>
              </w:rPr>
              <w:t>1、燃烧炉</w:t>
            </w:r>
          </w:p>
          <w:p>
            <w:pPr>
              <w:adjustRightInd w:val="0"/>
              <w:snapToGrid w:val="0"/>
              <w:rPr>
                <w:rFonts w:ascii="Times New Roman" w:hAnsi="Times New Roman"/>
                <w:color w:val="auto"/>
              </w:rPr>
            </w:pPr>
            <w:r>
              <w:rPr>
                <w:rFonts w:ascii="Times New Roman" w:hAnsi="Times New Roman"/>
                <w:color w:val="auto"/>
              </w:rPr>
              <w:t>2、干燥机</w:t>
            </w:r>
          </w:p>
          <w:p>
            <w:pPr>
              <w:adjustRightInd w:val="0"/>
              <w:snapToGrid w:val="0"/>
              <w:rPr>
                <w:rFonts w:ascii="Times New Roman" w:hAnsi="Times New Roman"/>
                <w:color w:val="auto"/>
              </w:rPr>
            </w:pPr>
            <w:r>
              <w:rPr>
                <w:rFonts w:ascii="Times New Roman" w:hAnsi="Times New Roman"/>
                <w:color w:val="auto"/>
              </w:rPr>
              <w:t>3、干燥机进出口风温测定仪</w:t>
            </w:r>
          </w:p>
          <w:p>
            <w:pPr>
              <w:adjustRightInd w:val="0"/>
              <w:snapToGrid w:val="0"/>
              <w:rPr>
                <w:rFonts w:ascii="Times New Roman" w:hAnsi="Times New Roman"/>
                <w:color w:val="auto"/>
              </w:rPr>
            </w:pPr>
            <w:r>
              <w:rPr>
                <w:rFonts w:ascii="Times New Roman" w:hAnsi="Times New Roman"/>
                <w:color w:val="auto"/>
              </w:rPr>
              <w:t>4、鼓、引风机</w:t>
            </w:r>
          </w:p>
          <w:p>
            <w:pPr>
              <w:adjustRightInd w:val="0"/>
              <w:snapToGrid w:val="0"/>
              <w:rPr>
                <w:rFonts w:ascii="Times New Roman" w:hAnsi="Times New Roman"/>
                <w:color w:val="auto"/>
              </w:rPr>
            </w:pPr>
            <w:r>
              <w:rPr>
                <w:rFonts w:ascii="Times New Roman" w:hAnsi="Times New Roman"/>
                <w:color w:val="auto"/>
              </w:rPr>
              <w:t>5、气固分离设备</w:t>
            </w:r>
          </w:p>
          <w:p>
            <w:pPr>
              <w:adjustRightInd w:val="0"/>
              <w:snapToGrid w:val="0"/>
              <w:rPr>
                <w:rFonts w:ascii="Times New Roman" w:hAnsi="Times New Roman"/>
                <w:color w:val="auto"/>
              </w:rPr>
            </w:pPr>
            <w:r>
              <w:rPr>
                <w:rFonts w:ascii="Times New Roman" w:hAnsi="Times New Roman"/>
                <w:color w:val="auto"/>
              </w:rPr>
              <w:t>6、含尘气体净化回收设备</w:t>
            </w:r>
          </w:p>
          <w:p>
            <w:pPr>
              <w:adjustRightInd w:val="0"/>
              <w:snapToGrid w:val="0"/>
              <w:rPr>
                <w:rFonts w:ascii="Times New Roman" w:hAnsi="Times New Roman"/>
                <w:color w:val="auto"/>
              </w:rPr>
            </w:pPr>
            <w:r>
              <w:rPr>
                <w:rFonts w:ascii="Times New Roman" w:hAnsi="Times New Roman"/>
                <w:color w:val="auto"/>
              </w:rPr>
              <w:t>7、成品包装设备</w:t>
            </w:r>
          </w:p>
          <w:p>
            <w:pPr>
              <w:ind w:right="-15"/>
              <w:rPr>
                <w:rFonts w:ascii="Times New Roman" w:hAnsi="Times New Roman"/>
                <w:color w:val="auto"/>
              </w:rPr>
            </w:pPr>
            <w:r>
              <w:rPr>
                <w:rFonts w:ascii="Times New Roman" w:hAnsi="Times New Roman"/>
                <w:color w:val="auto"/>
              </w:rPr>
              <w:t>8、成品包装计量设备</w:t>
            </w:r>
          </w:p>
        </w:tc>
        <w:tc>
          <w:tcPr>
            <w:tcW w:w="1701" w:type="dxa"/>
            <w:vAlign w:val="center"/>
          </w:tcPr>
          <w:p>
            <w:pPr>
              <w:jc w:val="center"/>
              <w:rPr>
                <w:rFonts w:ascii="Times New Roman" w:hAnsi="Times New Roman"/>
                <w:color w:val="auto"/>
              </w:rPr>
            </w:pPr>
            <w:r>
              <w:rPr>
                <w:rFonts w:ascii="Times New Roman" w:hAnsi="Times New Roman"/>
                <w:color w:val="auto"/>
              </w:rPr>
              <w:t>删除成品包装和包装计量设备。</w:t>
            </w:r>
          </w:p>
        </w:tc>
      </w:tr>
    </w:tbl>
    <w:p>
      <w:pPr>
        <w:snapToGrid w:val="0"/>
        <w:jc w:val="center"/>
        <w:rPr>
          <w:rFonts w:ascii="Times New Roman" w:hAnsi="Times New Roman"/>
          <w:b/>
          <w:color w:val="auto"/>
          <w:sz w:val="28"/>
        </w:rPr>
      </w:pPr>
    </w:p>
    <w:p>
      <w:pPr>
        <w:snapToGrid w:val="0"/>
        <w:jc w:val="center"/>
        <w:rPr>
          <w:rFonts w:ascii="Times New Roman" w:hAnsi="Times New Roman" w:eastAsiaTheme="minorEastAsia"/>
          <w:b/>
          <w:color w:val="auto"/>
        </w:rPr>
      </w:pPr>
      <w:r>
        <w:rPr>
          <w:rFonts w:ascii="Times New Roman" w:hAnsi="Times New Roman" w:eastAsiaTheme="minorEastAsia"/>
          <w:b/>
          <w:color w:val="auto"/>
        </w:rPr>
        <w:t>表4 应具备的检验检测设备变化对比表</w:t>
      </w:r>
    </w:p>
    <w:tbl>
      <w:tblPr>
        <w:tblStyle w:val="37"/>
        <w:tblW w:w="9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365"/>
        <w:gridCol w:w="1759"/>
        <w:gridCol w:w="1984"/>
        <w:gridCol w:w="3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704" w:type="dxa"/>
            <w:vAlign w:val="center"/>
          </w:tcPr>
          <w:p>
            <w:pPr>
              <w:jc w:val="center"/>
              <w:rPr>
                <w:rFonts w:ascii="Times New Roman" w:hAnsi="Times New Roman"/>
                <w:b/>
                <w:color w:val="auto"/>
              </w:rPr>
            </w:pPr>
            <w:r>
              <w:rPr>
                <w:rFonts w:ascii="Times New Roman" w:hAnsi="Times New Roman"/>
                <w:b/>
                <w:color w:val="auto"/>
              </w:rPr>
              <w:t>序号</w:t>
            </w:r>
          </w:p>
        </w:tc>
        <w:tc>
          <w:tcPr>
            <w:tcW w:w="1365" w:type="dxa"/>
            <w:vAlign w:val="center"/>
          </w:tcPr>
          <w:p>
            <w:pPr>
              <w:jc w:val="center"/>
              <w:rPr>
                <w:rFonts w:ascii="Times New Roman" w:hAnsi="Times New Roman"/>
                <w:b/>
                <w:color w:val="auto"/>
              </w:rPr>
            </w:pPr>
            <w:r>
              <w:rPr>
                <w:rFonts w:ascii="Times New Roman" w:hAnsi="Times New Roman"/>
                <w:b/>
                <w:color w:val="auto"/>
              </w:rPr>
              <w:t>产品单元/磷肥种类</w:t>
            </w:r>
          </w:p>
          <w:p>
            <w:pPr>
              <w:jc w:val="center"/>
              <w:rPr>
                <w:rFonts w:ascii="Times New Roman" w:hAnsi="Times New Roman"/>
                <w:b/>
                <w:color w:val="auto"/>
              </w:rPr>
            </w:pPr>
            <w:r>
              <w:rPr>
                <w:rFonts w:ascii="Times New Roman" w:hAnsi="Times New Roman"/>
                <w:b/>
                <w:color w:val="auto"/>
              </w:rPr>
              <w:t>（</w:t>
            </w:r>
            <w:r>
              <w:rPr>
                <w:rFonts w:ascii="Times New Roman" w:hAnsi="Times New Roman"/>
                <w:b/>
                <w:bCs/>
                <w:color w:val="auto"/>
              </w:rPr>
              <w:t>本细则</w:t>
            </w:r>
            <w:r>
              <w:rPr>
                <w:rFonts w:ascii="Times New Roman" w:hAnsi="Times New Roman"/>
                <w:b/>
                <w:color w:val="auto"/>
              </w:rPr>
              <w:t>）</w:t>
            </w:r>
          </w:p>
        </w:tc>
        <w:tc>
          <w:tcPr>
            <w:tcW w:w="1759" w:type="dxa"/>
            <w:vAlign w:val="center"/>
          </w:tcPr>
          <w:p>
            <w:pPr>
              <w:jc w:val="center"/>
              <w:rPr>
                <w:rFonts w:ascii="Times New Roman" w:hAnsi="Times New Roman"/>
                <w:b/>
                <w:color w:val="auto"/>
              </w:rPr>
            </w:pPr>
            <w:r>
              <w:rPr>
                <w:rFonts w:ascii="Times New Roman" w:hAnsi="Times New Roman"/>
                <w:b/>
                <w:color w:val="auto"/>
              </w:rPr>
              <w:t>主要检测设备</w:t>
            </w:r>
          </w:p>
          <w:p>
            <w:pPr>
              <w:jc w:val="center"/>
              <w:rPr>
                <w:rFonts w:ascii="Times New Roman" w:hAnsi="Times New Roman"/>
                <w:b/>
                <w:color w:val="auto"/>
              </w:rPr>
            </w:pPr>
            <w:r>
              <w:rPr>
                <w:rFonts w:ascii="Times New Roman" w:hAnsi="Times New Roman"/>
                <w:b/>
                <w:color w:val="auto"/>
              </w:rPr>
              <w:t>（</w:t>
            </w:r>
            <w:r>
              <w:rPr>
                <w:rFonts w:ascii="Times New Roman" w:hAnsi="Times New Roman"/>
                <w:b/>
                <w:bCs/>
                <w:color w:val="auto"/>
              </w:rPr>
              <w:t>本细则</w:t>
            </w:r>
            <w:r>
              <w:rPr>
                <w:rFonts w:ascii="Times New Roman" w:hAnsi="Times New Roman"/>
                <w:b/>
                <w:color w:val="auto"/>
              </w:rPr>
              <w:t>）</w:t>
            </w:r>
          </w:p>
        </w:tc>
        <w:tc>
          <w:tcPr>
            <w:tcW w:w="1984" w:type="dxa"/>
            <w:vAlign w:val="center"/>
          </w:tcPr>
          <w:p>
            <w:pPr>
              <w:jc w:val="center"/>
              <w:rPr>
                <w:rFonts w:ascii="Times New Roman" w:hAnsi="Times New Roman"/>
                <w:b/>
                <w:color w:val="auto"/>
              </w:rPr>
            </w:pPr>
            <w:r>
              <w:rPr>
                <w:rFonts w:ascii="Times New Roman" w:hAnsi="Times New Roman"/>
                <w:b/>
                <w:color w:val="auto"/>
              </w:rPr>
              <w:t>主要检测设备</w:t>
            </w:r>
          </w:p>
          <w:p>
            <w:pPr>
              <w:jc w:val="center"/>
              <w:rPr>
                <w:rFonts w:ascii="Times New Roman" w:hAnsi="Times New Roman"/>
                <w:b/>
                <w:color w:val="auto"/>
              </w:rPr>
            </w:pPr>
            <w:r>
              <w:rPr>
                <w:rFonts w:ascii="Times New Roman" w:hAnsi="Times New Roman"/>
                <w:b/>
                <w:color w:val="auto"/>
              </w:rPr>
              <w:t>（</w:t>
            </w:r>
            <w:r>
              <w:rPr>
                <w:rFonts w:ascii="Times New Roman" w:hAnsi="Times New Roman"/>
                <w:b/>
                <w:bCs/>
                <w:color w:val="auto"/>
              </w:rPr>
              <w:t>上一版细则</w:t>
            </w:r>
            <w:r>
              <w:rPr>
                <w:rFonts w:ascii="Times New Roman" w:hAnsi="Times New Roman"/>
                <w:b/>
                <w:color w:val="auto"/>
              </w:rPr>
              <w:t>）</w:t>
            </w:r>
          </w:p>
        </w:tc>
        <w:tc>
          <w:tcPr>
            <w:tcW w:w="3278" w:type="dxa"/>
            <w:vAlign w:val="center"/>
          </w:tcPr>
          <w:p>
            <w:pPr>
              <w:jc w:val="center"/>
              <w:rPr>
                <w:rFonts w:ascii="Times New Roman" w:hAnsi="Times New Roman"/>
                <w:b/>
                <w:color w:val="auto"/>
              </w:rPr>
            </w:pPr>
            <w:r>
              <w:rPr>
                <w:rFonts w:ascii="Times New Roman" w:hAnsi="Times New Roman"/>
                <w:b/>
                <w:color w:val="auto"/>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b/>
                <w:color w:val="auto"/>
              </w:rPr>
            </w:pPr>
            <w:r>
              <w:rPr>
                <w:rFonts w:ascii="Times New Roman" w:hAnsi="Times New Roman"/>
                <w:color w:val="auto"/>
              </w:rPr>
              <w:t>1</w:t>
            </w:r>
          </w:p>
        </w:tc>
        <w:tc>
          <w:tcPr>
            <w:tcW w:w="1365" w:type="dxa"/>
            <w:vAlign w:val="center"/>
          </w:tcPr>
          <w:p>
            <w:pPr>
              <w:jc w:val="center"/>
              <w:rPr>
                <w:rFonts w:ascii="Times New Roman" w:hAnsi="Times New Roman"/>
                <w:b/>
                <w:color w:val="auto"/>
              </w:rPr>
            </w:pPr>
            <w:r>
              <w:rPr>
                <w:rFonts w:ascii="Times New Roman" w:hAnsi="Times New Roman"/>
                <w:color w:val="auto"/>
              </w:rPr>
              <w:t>过磷酸钙</w:t>
            </w:r>
          </w:p>
        </w:tc>
        <w:tc>
          <w:tcPr>
            <w:tcW w:w="1759" w:type="dxa"/>
            <w:vAlign w:val="center"/>
          </w:tcPr>
          <w:p>
            <w:pPr>
              <w:jc w:val="center"/>
              <w:rPr>
                <w:rFonts w:ascii="Times New Roman" w:hAnsi="Times New Roman"/>
                <w:b/>
                <w:color w:val="auto"/>
              </w:rPr>
            </w:pPr>
            <w:r>
              <w:rPr>
                <w:rFonts w:ascii="Times New Roman" w:hAnsi="Times New Roman"/>
                <w:color w:val="auto"/>
              </w:rPr>
              <w:t>按照过磷酸钙磷肥种类进行设置</w:t>
            </w:r>
          </w:p>
        </w:tc>
        <w:tc>
          <w:tcPr>
            <w:tcW w:w="1984" w:type="dxa"/>
            <w:vAlign w:val="center"/>
          </w:tcPr>
          <w:p>
            <w:pPr>
              <w:jc w:val="center"/>
              <w:rPr>
                <w:rFonts w:ascii="Times New Roman" w:hAnsi="Times New Roman"/>
                <w:b/>
                <w:color w:val="auto"/>
              </w:rPr>
            </w:pPr>
            <w:r>
              <w:rPr>
                <w:rFonts w:ascii="Times New Roman" w:hAnsi="Times New Roman"/>
                <w:color w:val="auto"/>
              </w:rPr>
              <w:t>按照过磷酸钙单元进行设置</w:t>
            </w:r>
          </w:p>
        </w:tc>
        <w:tc>
          <w:tcPr>
            <w:tcW w:w="3278" w:type="dxa"/>
            <w:vAlign w:val="center"/>
          </w:tcPr>
          <w:p>
            <w:pPr>
              <w:jc w:val="center"/>
              <w:rPr>
                <w:rFonts w:ascii="Times New Roman" w:hAnsi="Times New Roman"/>
                <w:b/>
                <w:color w:val="auto"/>
              </w:rPr>
            </w:pPr>
            <w:r>
              <w:rPr>
                <w:rFonts w:ascii="Times New Roman" w:hAnsi="Times New Roman"/>
                <w:bCs/>
                <w:color w:val="auto"/>
              </w:rPr>
              <w:t>根据GB/T 20413—2017 过磷酸钙、</w:t>
            </w:r>
            <w:r>
              <w:rPr>
                <w:rFonts w:ascii="Times New Roman" w:hAnsi="Times New Roman"/>
                <w:color w:val="auto"/>
              </w:rPr>
              <w:t>GB 38400—2019 肥料中有毒有害物质的限量要求</w:t>
            </w:r>
            <w:r>
              <w:rPr>
                <w:rFonts w:ascii="Times New Roman" w:hAnsi="Times New Roman"/>
                <w:bCs/>
                <w:color w:val="auto"/>
              </w:rPr>
              <w:t>标准要求新增了检验方法对应的检验设备。</w:t>
            </w:r>
            <w:r>
              <w:rPr>
                <w:rFonts w:ascii="Times New Roman" w:hAnsi="Times New Roman"/>
                <w:color w:val="auto"/>
              </w:rPr>
              <w:t>允许企业委托型式检验。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704" w:type="dxa"/>
            <w:vAlign w:val="center"/>
          </w:tcPr>
          <w:p>
            <w:pPr>
              <w:jc w:val="center"/>
              <w:rPr>
                <w:rFonts w:ascii="Times New Roman" w:hAnsi="Times New Roman"/>
                <w:b/>
                <w:color w:val="auto"/>
              </w:rPr>
            </w:pPr>
            <w:r>
              <w:rPr>
                <w:rFonts w:ascii="Times New Roman" w:hAnsi="Times New Roman"/>
                <w:color w:val="auto"/>
              </w:rPr>
              <w:t>2</w:t>
            </w:r>
          </w:p>
        </w:tc>
        <w:tc>
          <w:tcPr>
            <w:tcW w:w="1365" w:type="dxa"/>
            <w:vAlign w:val="center"/>
          </w:tcPr>
          <w:p>
            <w:pPr>
              <w:jc w:val="center"/>
              <w:rPr>
                <w:rFonts w:ascii="Times New Roman" w:hAnsi="Times New Roman"/>
                <w:b/>
                <w:color w:val="auto"/>
              </w:rPr>
            </w:pPr>
            <w:r>
              <w:rPr>
                <w:rFonts w:ascii="Times New Roman" w:hAnsi="Times New Roman"/>
                <w:color w:val="auto"/>
              </w:rPr>
              <w:t>钙镁磷肥</w:t>
            </w:r>
          </w:p>
        </w:tc>
        <w:tc>
          <w:tcPr>
            <w:tcW w:w="1759" w:type="dxa"/>
            <w:vAlign w:val="center"/>
          </w:tcPr>
          <w:p>
            <w:pPr>
              <w:jc w:val="center"/>
              <w:rPr>
                <w:rFonts w:ascii="Times New Roman" w:hAnsi="Times New Roman"/>
                <w:b/>
                <w:color w:val="auto"/>
              </w:rPr>
            </w:pPr>
            <w:r>
              <w:rPr>
                <w:rFonts w:ascii="Times New Roman" w:hAnsi="Times New Roman"/>
                <w:color w:val="auto"/>
              </w:rPr>
              <w:t>按照钙镁磷肥磷肥种类进行设置</w:t>
            </w:r>
          </w:p>
        </w:tc>
        <w:tc>
          <w:tcPr>
            <w:tcW w:w="1984" w:type="dxa"/>
            <w:vAlign w:val="center"/>
          </w:tcPr>
          <w:p>
            <w:pPr>
              <w:jc w:val="center"/>
              <w:rPr>
                <w:rFonts w:ascii="Times New Roman" w:hAnsi="Times New Roman"/>
                <w:b/>
                <w:color w:val="auto"/>
              </w:rPr>
            </w:pPr>
            <w:r>
              <w:rPr>
                <w:rFonts w:ascii="Times New Roman" w:hAnsi="Times New Roman"/>
                <w:color w:val="auto"/>
              </w:rPr>
              <w:t>按照钙镁磷肥单元进行设置</w:t>
            </w:r>
          </w:p>
        </w:tc>
        <w:tc>
          <w:tcPr>
            <w:tcW w:w="3278" w:type="dxa"/>
            <w:vAlign w:val="center"/>
          </w:tcPr>
          <w:p>
            <w:pPr>
              <w:jc w:val="center"/>
              <w:rPr>
                <w:rFonts w:ascii="Times New Roman" w:hAnsi="Times New Roman"/>
                <w:b/>
                <w:color w:val="auto"/>
              </w:rPr>
            </w:pPr>
            <w:r>
              <w:rPr>
                <w:rFonts w:ascii="Times New Roman" w:hAnsi="Times New Roman"/>
                <w:bCs/>
                <w:color w:val="auto"/>
              </w:rPr>
              <w:t>根据GB/T 20412—2021 钙镁磷肥、</w:t>
            </w:r>
            <w:r>
              <w:rPr>
                <w:rFonts w:ascii="Times New Roman" w:hAnsi="Times New Roman"/>
                <w:color w:val="auto"/>
              </w:rPr>
              <w:t>GB 38400—2019 肥料中有毒有害物质的限量要求</w:t>
            </w:r>
            <w:r>
              <w:rPr>
                <w:rFonts w:ascii="Times New Roman" w:hAnsi="Times New Roman"/>
                <w:bCs/>
                <w:color w:val="auto"/>
              </w:rPr>
              <w:t>标准要求新增了检验方法对应的检验设备。</w:t>
            </w:r>
            <w:r>
              <w:rPr>
                <w:rFonts w:ascii="Times New Roman" w:hAnsi="Times New Roman"/>
                <w:color w:val="auto"/>
              </w:rPr>
              <w:t>允许企业委托型式检验。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704" w:type="dxa"/>
            <w:vAlign w:val="center"/>
          </w:tcPr>
          <w:p>
            <w:pPr>
              <w:jc w:val="center"/>
              <w:rPr>
                <w:rFonts w:ascii="Times New Roman" w:hAnsi="Times New Roman"/>
                <w:b/>
                <w:color w:val="auto"/>
              </w:rPr>
            </w:pPr>
            <w:r>
              <w:rPr>
                <w:rFonts w:ascii="Times New Roman" w:hAnsi="Times New Roman"/>
                <w:color w:val="auto"/>
              </w:rPr>
              <w:t>3</w:t>
            </w:r>
          </w:p>
        </w:tc>
        <w:tc>
          <w:tcPr>
            <w:tcW w:w="1365" w:type="dxa"/>
            <w:vAlign w:val="center"/>
          </w:tcPr>
          <w:p>
            <w:pPr>
              <w:jc w:val="center"/>
              <w:rPr>
                <w:rFonts w:ascii="Times New Roman" w:hAnsi="Times New Roman"/>
                <w:b/>
                <w:color w:val="auto"/>
              </w:rPr>
            </w:pPr>
            <w:r>
              <w:rPr>
                <w:rFonts w:ascii="Times New Roman" w:hAnsi="Times New Roman"/>
                <w:color w:val="auto"/>
              </w:rPr>
              <w:t>钙镁磷钾肥</w:t>
            </w:r>
          </w:p>
        </w:tc>
        <w:tc>
          <w:tcPr>
            <w:tcW w:w="1759" w:type="dxa"/>
            <w:vAlign w:val="center"/>
          </w:tcPr>
          <w:p>
            <w:pPr>
              <w:jc w:val="center"/>
              <w:rPr>
                <w:rFonts w:ascii="Times New Roman" w:hAnsi="Times New Roman"/>
                <w:b/>
                <w:color w:val="auto"/>
              </w:rPr>
            </w:pPr>
            <w:r>
              <w:rPr>
                <w:rFonts w:ascii="Times New Roman" w:hAnsi="Times New Roman"/>
                <w:color w:val="auto"/>
              </w:rPr>
              <w:t>按照钙镁磷钾肥磷肥种类进行设置</w:t>
            </w:r>
          </w:p>
        </w:tc>
        <w:tc>
          <w:tcPr>
            <w:tcW w:w="1984" w:type="dxa"/>
            <w:vAlign w:val="center"/>
          </w:tcPr>
          <w:p>
            <w:pPr>
              <w:jc w:val="center"/>
              <w:rPr>
                <w:rFonts w:ascii="Times New Roman" w:hAnsi="Times New Roman"/>
                <w:b/>
                <w:color w:val="auto"/>
              </w:rPr>
            </w:pPr>
            <w:r>
              <w:rPr>
                <w:rFonts w:ascii="Times New Roman" w:hAnsi="Times New Roman"/>
                <w:color w:val="auto"/>
              </w:rPr>
              <w:t>按照钙镁磷钾肥单元进行设置</w:t>
            </w:r>
          </w:p>
        </w:tc>
        <w:tc>
          <w:tcPr>
            <w:tcW w:w="3278" w:type="dxa"/>
            <w:vAlign w:val="center"/>
          </w:tcPr>
          <w:p>
            <w:pPr>
              <w:jc w:val="center"/>
              <w:rPr>
                <w:rFonts w:ascii="Times New Roman" w:hAnsi="Times New Roman"/>
                <w:b/>
                <w:color w:val="auto"/>
              </w:rPr>
            </w:pPr>
            <w:r>
              <w:rPr>
                <w:rFonts w:ascii="Times New Roman" w:hAnsi="Times New Roman"/>
                <w:bCs/>
                <w:color w:val="auto"/>
              </w:rPr>
              <w:t>根据HG/T 2598—1994 钙镁磷钾肥、</w:t>
            </w:r>
            <w:r>
              <w:rPr>
                <w:rFonts w:ascii="Times New Roman" w:hAnsi="Times New Roman"/>
                <w:color w:val="auto"/>
              </w:rPr>
              <w:t>GB 38400—2019 肥料中有毒有害物质的限量要求</w:t>
            </w:r>
            <w:r>
              <w:rPr>
                <w:rFonts w:ascii="Times New Roman" w:hAnsi="Times New Roman"/>
                <w:bCs/>
                <w:color w:val="auto"/>
              </w:rPr>
              <w:t>标准要求新增了检验方法对应的检验设备。</w:t>
            </w:r>
            <w:r>
              <w:rPr>
                <w:rFonts w:ascii="Times New Roman" w:hAnsi="Times New Roman"/>
                <w:color w:val="auto"/>
              </w:rPr>
              <w:t>允许企业委托型式检验。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b/>
                <w:color w:val="auto"/>
              </w:rPr>
            </w:pPr>
            <w:r>
              <w:rPr>
                <w:rFonts w:ascii="Times New Roman" w:hAnsi="Times New Roman"/>
                <w:color w:val="auto"/>
              </w:rPr>
              <w:t>4</w:t>
            </w:r>
          </w:p>
        </w:tc>
        <w:tc>
          <w:tcPr>
            <w:tcW w:w="1365" w:type="dxa"/>
            <w:vAlign w:val="center"/>
          </w:tcPr>
          <w:p>
            <w:pPr>
              <w:jc w:val="center"/>
              <w:rPr>
                <w:rFonts w:ascii="Times New Roman" w:hAnsi="Times New Roman"/>
                <w:b/>
                <w:color w:val="auto"/>
              </w:rPr>
            </w:pPr>
            <w:r>
              <w:rPr>
                <w:rFonts w:ascii="Times New Roman" w:hAnsi="Times New Roman"/>
                <w:color w:val="auto"/>
              </w:rPr>
              <w:t>肥料级磷酸氢钙</w:t>
            </w:r>
          </w:p>
        </w:tc>
        <w:tc>
          <w:tcPr>
            <w:tcW w:w="1759" w:type="dxa"/>
            <w:vAlign w:val="center"/>
          </w:tcPr>
          <w:p>
            <w:pPr>
              <w:jc w:val="center"/>
              <w:rPr>
                <w:rFonts w:ascii="Times New Roman" w:hAnsi="Times New Roman"/>
                <w:b/>
                <w:color w:val="auto"/>
              </w:rPr>
            </w:pPr>
            <w:r>
              <w:rPr>
                <w:rFonts w:ascii="Times New Roman" w:hAnsi="Times New Roman"/>
                <w:color w:val="auto"/>
              </w:rPr>
              <w:t>按照肥料级磷酸氢钙磷肥种类进行设置</w:t>
            </w:r>
          </w:p>
        </w:tc>
        <w:tc>
          <w:tcPr>
            <w:tcW w:w="1984" w:type="dxa"/>
            <w:vAlign w:val="center"/>
          </w:tcPr>
          <w:p>
            <w:pPr>
              <w:jc w:val="center"/>
              <w:rPr>
                <w:rFonts w:ascii="Times New Roman" w:hAnsi="Times New Roman"/>
                <w:b/>
                <w:color w:val="auto"/>
              </w:rPr>
            </w:pPr>
            <w:r>
              <w:rPr>
                <w:rFonts w:ascii="Times New Roman" w:hAnsi="Times New Roman"/>
                <w:color w:val="auto"/>
              </w:rPr>
              <w:t>按照肥料级磷酸氢钙单元进行设置</w:t>
            </w:r>
          </w:p>
        </w:tc>
        <w:tc>
          <w:tcPr>
            <w:tcW w:w="3278" w:type="dxa"/>
            <w:vAlign w:val="center"/>
          </w:tcPr>
          <w:p>
            <w:pPr>
              <w:jc w:val="center"/>
              <w:rPr>
                <w:rFonts w:ascii="Times New Roman" w:hAnsi="Times New Roman"/>
                <w:b/>
                <w:color w:val="auto"/>
              </w:rPr>
            </w:pPr>
            <w:r>
              <w:rPr>
                <w:rFonts w:ascii="Times New Roman" w:hAnsi="Times New Roman"/>
                <w:bCs/>
                <w:color w:val="auto"/>
              </w:rPr>
              <w:t>根据HG/T 3275—1999 肥料级磷酸氢钙、</w:t>
            </w:r>
            <w:r>
              <w:rPr>
                <w:rFonts w:ascii="Times New Roman" w:hAnsi="Times New Roman"/>
                <w:color w:val="auto"/>
              </w:rPr>
              <w:t>GB 38400—2019 肥料中有毒有害物质的限量要求</w:t>
            </w:r>
            <w:r>
              <w:rPr>
                <w:rFonts w:ascii="Times New Roman" w:hAnsi="Times New Roman"/>
                <w:bCs/>
                <w:color w:val="auto"/>
              </w:rPr>
              <w:t>标准要求新增了检验方法对应的检验设备。</w:t>
            </w:r>
            <w:r>
              <w:rPr>
                <w:rFonts w:ascii="Times New Roman" w:hAnsi="Times New Roman"/>
                <w:color w:val="auto"/>
              </w:rPr>
              <w:t>允许企业委托型式检验。</w:t>
            </w:r>
          </w:p>
        </w:tc>
      </w:tr>
    </w:tbl>
    <w:p>
      <w:pPr>
        <w:rPr>
          <w:rFonts w:ascii="Times New Roman" w:hAnsi="Times New Roman"/>
          <w:color w:val="auto"/>
        </w:rPr>
      </w:pPr>
    </w:p>
    <w:p>
      <w:pPr>
        <w:jc w:val="left"/>
        <w:rPr>
          <w:rFonts w:ascii="Times New Roman" w:hAnsi="Times New Roman"/>
          <w:color w:val="auto"/>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altName w:val="Ubuntu"/>
    <w:panose1 w:val="020B0604030504040204"/>
    <w:charset w:val="00"/>
    <w:family w:val="swiss"/>
    <w:pitch w:val="default"/>
    <w:sig w:usb0="00000000" w:usb1="00000000" w:usb2="0000001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汉鼎简书宋二">
    <w:altName w:val="方正书宋_GBK"/>
    <w:panose1 w:val="00000000000000000000"/>
    <w:charset w:val="86"/>
    <w:family w:val="moder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p>
  <w:p>
    <w:pPr>
      <w:pStyle w:val="24"/>
      <w:snapToGrid w:val="0"/>
      <w:jc w:val="center"/>
      <w:rPr>
        <w:rFonts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napToGrid w:val="0"/>
      <w:jc w:val="center"/>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napToGrid w:val="0"/>
      <w:jc w:val="center"/>
      <w:rPr>
        <w:rFonts w:ascii="宋体" w:hAnsi="宋体"/>
      </w:rPr>
    </w:pPr>
    <w:r>
      <w:fldChar w:fldCharType="begin"/>
    </w:r>
    <w:r>
      <w:instrText xml:space="preserve">PAGE  \* MERGEFORMAT</w:instrText>
    </w:r>
    <w:r>
      <w:fldChar w:fldCharType="separate"/>
    </w:r>
    <w:r>
      <w:rPr>
        <w:rFonts w:ascii="宋体" w:hAnsi="宋体"/>
      </w:rPr>
      <w:t>24</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napToGrid w:val="0"/>
      <w:jc w:val="center"/>
      <w:rPr>
        <w:rFonts w:hAnsi="宋体"/>
        <w:sz w:val="21"/>
        <w:szCs w:val="21"/>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02" name="文本框 4"/>
              <wp:cNvGraphicFramePr/>
              <a:graphic xmlns:a="http://schemas.openxmlformats.org/drawingml/2006/main">
                <a:graphicData uri="http://schemas.microsoft.com/office/word/2010/wordprocessingShape">
                  <wps:wsp>
                    <wps:cNvSpPr txBox="true"/>
                    <wps:spPr>
                      <a:xfrm>
                        <a:off x="0" y="0"/>
                        <a:ext cx="58420" cy="139700"/>
                      </a:xfrm>
                      <a:prstGeom prst="rect">
                        <a:avLst/>
                      </a:prstGeom>
                      <a:noFill/>
                      <a:ln cap="flat">
                        <a:noFill/>
                      </a:ln>
                    </wps:spPr>
                    <wps:txbx>
                      <w:txbxContent>
                        <w:p>
                          <w:pPr>
                            <w:pStyle w:val="24"/>
                            <w:snapToGrid w:val="0"/>
                            <w:jc w:val="center"/>
                            <w:rPr>
                              <w:rFonts w:hAnsi="宋体"/>
                            </w:rPr>
                          </w:pPr>
                          <w:r>
                            <w:rPr>
                              <w:rStyle w:val="4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41"/>
                            </w:rPr>
                            <w:t>38</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文本框 4" o:spid="_x0000_s1026" o:spt="202" type="#_x0000_t202" style="position:absolute;left:0pt;margin-top:0pt;height:11pt;width:4.6pt;mso-position-horizontal:center;mso-position-horizontal-relative:margin;mso-wrap-style:none;z-index:251659264;v-text-anchor:middle;mso-width-relative:page;mso-height-relative:page;" filled="f" stroked="f" coordsize="21600,21600" o:gfxdata="UEsFBgAAAAAAAAAAAAAAAAAAAAAAAFBLAwQKAAAAAACHTuJAAAAAAAAAAAAAAAAABAAAAGRycy9Q&#10;SwMEFAAAAAgAh07iQPCouuvSAAAAAgEAAA8AAABkcnMvZG93bnJldi54bWxNj8FOwzAQRO9I/Qdr&#10;K/VG7eZQ0TSbClUgcaWUqkc3XuKo8TqKnTTw9RgucFlpNKOZt8Vucq0YqQ+NZ4TVUoEgrrxpuEY4&#10;vj3fP4AIUbPRrWdC+KQAu3J2V+jc+Bu/0niItUglHHKNYGPscilDZcnpsPQdcfI+fO90TLKvpen1&#10;LZW7VmZKraXTDacFqzvaW6quh8EhhKs6qZevp8fz+2bYW+en8Sgt4mK+UlsQkab4F4Yf/IQOZWK6&#10;+IFNEC1CeiT+3uRtMhAXhCxTIMtC/kcvvwFQSwMEFAAAAAgAh07iQFcboVkiAgAALAQAAA4AAABk&#10;cnMvZTJvRG9jLnhtbK1Ty24TMRTdI/EPlvdkJqFAiTKpQqsgpIhWCoi147EzI/kl28lM+AD4A1bd&#10;sOe7+h0cO5kUASvExr7X933u8eyq14rshQ+tNRUdj0pKhOG2bs22oh8/LJ9dUhIiMzVT1oiKHkSg&#10;V/OnT2adm4qJbayqhSdIYsK0cxVtYnTTogi8EZqFkXXCwCit1yxC9dui9qxDdq2KSVm+LDrra+ct&#10;FyHg9eZopPOcX0rB462UQUSiKoreYj59PjfpLOYzNt165pqWn9pg/9CFZq1B0XOqGxYZ2fn2j1S6&#10;5d4GK+OIW11YKVsu8gyYZlz+Ns26YU7kWQBOcGeYwv9Ly9/v7zxpa+yunFBimMaSHr59fbj/8fD9&#10;C7lIAHUuTOG3dvCM/RvbVzT6nRhMAe9p9F56nW4MReACtA9nhEUfCcfji8uLCQwclvHz16/KvIDi&#10;Mdb5EN8Kq0kSKuqxvwwr269CRCtwHVxSKWOXrVJ5h8oQzkAgqdgx5GxDjDIITWMce01S7Df9abaN&#10;rQ8YzdsjO4LjyxblVyzEO+ZBB3QMisdbHFLZrqL2JFHSWP/5b+/JH1uClZIO9KqoAf8pUe8MtpeY&#10;OAh+EDaDYHb62oKvY3wdx7OIAB/VIEpv9SfwfpFqSKYCEjPDUa2iPPpBuY7QT2b8IC4Wi7O+c77d&#10;NgjPmyQgo2NxZdaODy4J3+AWuwiMM/QJtSNUJzBBybyR0/dJnP9Vz16Pn3z+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PCouuvSAAAAAgEAAA8AAAAAAAAAAQAgAAAAOAAAAGRycy9kb3ducmV2Lnht&#10;bFBLAQIUABQAAAAIAIdO4kBXG6FZIgIAACwEAAAOAAAAAAAAAAEAIAAAADcBAABkcnMvZTJvRG9j&#10;LnhtbFBLBQYAAAAABgAGAFkBAADLBQAAAAA=&#10;">
              <v:fill on="f" focussize="0,0"/>
              <v:stroke on="f"/>
              <v:imagedata o:title=""/>
              <o:lock v:ext="edit" aspectratio="f"/>
              <v:textbox inset="0mm,0mm,0mm,0mm" style="mso-fit-shape-to-text:t;">
                <w:txbxContent>
                  <w:p>
                    <w:pPr>
                      <w:pStyle w:val="24"/>
                      <w:snapToGrid w:val="0"/>
                      <w:jc w:val="center"/>
                      <w:rPr>
                        <w:rFonts w:hAnsi="宋体"/>
                      </w:rPr>
                    </w:pPr>
                    <w:r>
                      <w:rPr>
                        <w:rStyle w:val="4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41"/>
                      </w:rPr>
                      <w:t>38</w:t>
                    </w:r>
                    <w:r>
                      <w:rPr>
                        <w:rFonts w:ascii="Times New Roman" w:hAnsi="Times New Roman"/>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napToGrid w:val="0"/>
      <w:ind w:firstLine="210"/>
      <w:jc w:val="left"/>
      <w:rPr>
        <w:rFonts w:hAnsi="宋体"/>
        <w:sz w:val="21"/>
        <w:szCs w:val="21"/>
      </w:rPr>
    </w:pPr>
    <w:r>
      <w:rPr>
        <w:rStyle w:val="41"/>
      </w:rPr>
      <w:fldChar w:fldCharType="begin"/>
    </w:r>
    <w:r>
      <w:instrText xml:space="preserve">PAGE  \* MERGEFORMAT</w:instrText>
    </w:r>
    <w:r>
      <w:fldChar w:fldCharType="separate"/>
    </w:r>
    <w:r>
      <w:rPr>
        <w:rStyle w:val="41"/>
        <w:rFonts w:hAnsi="宋体"/>
      </w:rPr>
      <w:t>18</w:t>
    </w:r>
    <w:r>
      <w:rPr>
        <w:rFonts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single" w:color="000000" w:sz="6" w:space="0"/>
      </w:pBdr>
      <w:snapToGrid w:val="0"/>
      <w:rPr>
        <w:rFonts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napToGrid w:val="0"/>
      <w:jc w:val="both"/>
      <w:rPr>
        <w:rFonts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napToGrid w:val="0"/>
      <w:rPr>
        <w:rFonts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482F"/>
    <w:multiLevelType w:val="singleLevel"/>
    <w:tmpl w:val="FFDF482F"/>
    <w:lvl w:ilvl="0" w:tentative="0">
      <w:start w:val="2"/>
      <w:numFmt w:val="chineseCounting"/>
      <w:suff w:val="space"/>
      <w:lvlText w:val="第%1条"/>
      <w:lvlJc w:val="left"/>
      <w:rPr>
        <w:rFonts w:hint="eastAsia"/>
      </w:rPr>
    </w:lvl>
  </w:abstractNum>
  <w:abstractNum w:abstractNumId="1">
    <w:nsid w:val="43712D90"/>
    <w:multiLevelType w:val="singleLevel"/>
    <w:tmpl w:val="43712D90"/>
    <w:lvl w:ilvl="0" w:tentative="0">
      <w:start w:val="2"/>
      <w:numFmt w:val="decimal"/>
      <w:suff w:val="space"/>
      <w:lvlText w:val="%1."/>
      <w:lvlJc w:val="left"/>
    </w:lvl>
  </w:abstractNum>
  <w:abstractNum w:abstractNumId="2">
    <w:nsid w:val="45267B5E"/>
    <w:multiLevelType w:val="multilevel"/>
    <w:tmpl w:val="45267B5E"/>
    <w:lvl w:ilvl="0" w:tentative="0">
      <w:start w:val="24"/>
      <w:numFmt w:val="decimal"/>
      <w:lvlText w:val="%1）"/>
      <w:lvlJc w:val="left"/>
      <w:pPr>
        <w:ind w:left="430" w:hanging="43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true"/>
  <w:documentProtection w:enforcement="0"/>
  <w:defaultTabStop w:val="0"/>
  <w:displayHorizontalDrawingGridEvery w:val="0"/>
  <w:displayVerticalDrawingGridEvery w:val="2"/>
  <w:characterSpacingControl w:val="compressPunctuation"/>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0M2YyNjhlN2RiMGFlN2RiZDBiN2Q2YmRjOWZjYjgifQ=="/>
  </w:docVars>
  <w:rsids>
    <w:rsidRoot w:val="00995AFB"/>
    <w:rsid w:val="0000050F"/>
    <w:rsid w:val="00006E21"/>
    <w:rsid w:val="0000749E"/>
    <w:rsid w:val="00010CEA"/>
    <w:rsid w:val="000126F8"/>
    <w:rsid w:val="00015CA6"/>
    <w:rsid w:val="000165FD"/>
    <w:rsid w:val="00023331"/>
    <w:rsid w:val="00024630"/>
    <w:rsid w:val="00024A19"/>
    <w:rsid w:val="0003187D"/>
    <w:rsid w:val="00034BFF"/>
    <w:rsid w:val="00035A0E"/>
    <w:rsid w:val="00035CAF"/>
    <w:rsid w:val="00035D10"/>
    <w:rsid w:val="00042FEC"/>
    <w:rsid w:val="00051AEA"/>
    <w:rsid w:val="00053FA2"/>
    <w:rsid w:val="00054D01"/>
    <w:rsid w:val="0005538D"/>
    <w:rsid w:val="0005781E"/>
    <w:rsid w:val="00064961"/>
    <w:rsid w:val="000659C2"/>
    <w:rsid w:val="000707E0"/>
    <w:rsid w:val="000756AD"/>
    <w:rsid w:val="000843F2"/>
    <w:rsid w:val="00090BD2"/>
    <w:rsid w:val="0009154C"/>
    <w:rsid w:val="000A0809"/>
    <w:rsid w:val="000A674A"/>
    <w:rsid w:val="000B029D"/>
    <w:rsid w:val="000B090C"/>
    <w:rsid w:val="000B3233"/>
    <w:rsid w:val="000B564C"/>
    <w:rsid w:val="000B5C8B"/>
    <w:rsid w:val="000C4014"/>
    <w:rsid w:val="000C5F8E"/>
    <w:rsid w:val="000C6692"/>
    <w:rsid w:val="000C6E0E"/>
    <w:rsid w:val="000C7B5F"/>
    <w:rsid w:val="000D1346"/>
    <w:rsid w:val="000D5F0A"/>
    <w:rsid w:val="000D6009"/>
    <w:rsid w:val="000E30EF"/>
    <w:rsid w:val="000F04DD"/>
    <w:rsid w:val="000F07E3"/>
    <w:rsid w:val="000F17C0"/>
    <w:rsid w:val="000F1D74"/>
    <w:rsid w:val="000F651A"/>
    <w:rsid w:val="0011159A"/>
    <w:rsid w:val="00120F29"/>
    <w:rsid w:val="001268AC"/>
    <w:rsid w:val="0012742D"/>
    <w:rsid w:val="00127613"/>
    <w:rsid w:val="001305DB"/>
    <w:rsid w:val="00130D5F"/>
    <w:rsid w:val="00132915"/>
    <w:rsid w:val="00134B3D"/>
    <w:rsid w:val="001356AC"/>
    <w:rsid w:val="00136CFE"/>
    <w:rsid w:val="00146CAF"/>
    <w:rsid w:val="00147481"/>
    <w:rsid w:val="00147D8E"/>
    <w:rsid w:val="001507AB"/>
    <w:rsid w:val="00153245"/>
    <w:rsid w:val="001547BE"/>
    <w:rsid w:val="00155453"/>
    <w:rsid w:val="0015665E"/>
    <w:rsid w:val="00156EA5"/>
    <w:rsid w:val="00161D74"/>
    <w:rsid w:val="00165019"/>
    <w:rsid w:val="00166A6E"/>
    <w:rsid w:val="00167783"/>
    <w:rsid w:val="00174330"/>
    <w:rsid w:val="00175A24"/>
    <w:rsid w:val="0017607D"/>
    <w:rsid w:val="00183A1C"/>
    <w:rsid w:val="00184724"/>
    <w:rsid w:val="0018564B"/>
    <w:rsid w:val="001863AE"/>
    <w:rsid w:val="0019296B"/>
    <w:rsid w:val="00193950"/>
    <w:rsid w:val="00194BC2"/>
    <w:rsid w:val="001A1AE2"/>
    <w:rsid w:val="001A26B8"/>
    <w:rsid w:val="001A7D26"/>
    <w:rsid w:val="001B1CE7"/>
    <w:rsid w:val="001B27B6"/>
    <w:rsid w:val="001B7F7A"/>
    <w:rsid w:val="001C152A"/>
    <w:rsid w:val="001D2BB8"/>
    <w:rsid w:val="001D38D5"/>
    <w:rsid w:val="001D43ED"/>
    <w:rsid w:val="001D547C"/>
    <w:rsid w:val="001E0278"/>
    <w:rsid w:val="001E3999"/>
    <w:rsid w:val="001E3E97"/>
    <w:rsid w:val="001F2E91"/>
    <w:rsid w:val="001F351C"/>
    <w:rsid w:val="001F353F"/>
    <w:rsid w:val="001F35E0"/>
    <w:rsid w:val="001F3820"/>
    <w:rsid w:val="001F5873"/>
    <w:rsid w:val="001F694C"/>
    <w:rsid w:val="00200B46"/>
    <w:rsid w:val="002044CB"/>
    <w:rsid w:val="00205D0A"/>
    <w:rsid w:val="0021085B"/>
    <w:rsid w:val="002152C6"/>
    <w:rsid w:val="0021698A"/>
    <w:rsid w:val="002224A6"/>
    <w:rsid w:val="00225082"/>
    <w:rsid w:val="00233B30"/>
    <w:rsid w:val="00240FE9"/>
    <w:rsid w:val="002428FE"/>
    <w:rsid w:val="0024592B"/>
    <w:rsid w:val="002459FE"/>
    <w:rsid w:val="00246410"/>
    <w:rsid w:val="00251344"/>
    <w:rsid w:val="0025300F"/>
    <w:rsid w:val="00257D40"/>
    <w:rsid w:val="00260194"/>
    <w:rsid w:val="0026292E"/>
    <w:rsid w:val="00263C73"/>
    <w:rsid w:val="00264498"/>
    <w:rsid w:val="00264A65"/>
    <w:rsid w:val="00264CEE"/>
    <w:rsid w:val="00273AE0"/>
    <w:rsid w:val="00277BA6"/>
    <w:rsid w:val="00280E66"/>
    <w:rsid w:val="0028224C"/>
    <w:rsid w:val="0028569B"/>
    <w:rsid w:val="002862AC"/>
    <w:rsid w:val="00290BCC"/>
    <w:rsid w:val="002943EC"/>
    <w:rsid w:val="00295082"/>
    <w:rsid w:val="002A48E6"/>
    <w:rsid w:val="002B165A"/>
    <w:rsid w:val="002B7A90"/>
    <w:rsid w:val="002C106A"/>
    <w:rsid w:val="002C696F"/>
    <w:rsid w:val="002C7417"/>
    <w:rsid w:val="002C7C31"/>
    <w:rsid w:val="002D469F"/>
    <w:rsid w:val="002D790E"/>
    <w:rsid w:val="002D79D8"/>
    <w:rsid w:val="002E1683"/>
    <w:rsid w:val="002E2D8C"/>
    <w:rsid w:val="002E4A77"/>
    <w:rsid w:val="002E5077"/>
    <w:rsid w:val="002E513A"/>
    <w:rsid w:val="002E6BEE"/>
    <w:rsid w:val="002F1D54"/>
    <w:rsid w:val="002F2252"/>
    <w:rsid w:val="00306920"/>
    <w:rsid w:val="003158C1"/>
    <w:rsid w:val="00315F29"/>
    <w:rsid w:val="00317AFE"/>
    <w:rsid w:val="00322436"/>
    <w:rsid w:val="00323259"/>
    <w:rsid w:val="00323AF3"/>
    <w:rsid w:val="003279FD"/>
    <w:rsid w:val="00331950"/>
    <w:rsid w:val="00335A35"/>
    <w:rsid w:val="003452B6"/>
    <w:rsid w:val="00352466"/>
    <w:rsid w:val="003553AF"/>
    <w:rsid w:val="00356B9E"/>
    <w:rsid w:val="00357FBF"/>
    <w:rsid w:val="00361908"/>
    <w:rsid w:val="00361EA4"/>
    <w:rsid w:val="00365D3A"/>
    <w:rsid w:val="0036711B"/>
    <w:rsid w:val="00370594"/>
    <w:rsid w:val="00380238"/>
    <w:rsid w:val="00380BFA"/>
    <w:rsid w:val="00384AB8"/>
    <w:rsid w:val="00386C17"/>
    <w:rsid w:val="00390E46"/>
    <w:rsid w:val="00391195"/>
    <w:rsid w:val="00391915"/>
    <w:rsid w:val="00392BB0"/>
    <w:rsid w:val="003948EB"/>
    <w:rsid w:val="0039640F"/>
    <w:rsid w:val="003A023E"/>
    <w:rsid w:val="003A04AC"/>
    <w:rsid w:val="003A17C1"/>
    <w:rsid w:val="003A4087"/>
    <w:rsid w:val="003A7725"/>
    <w:rsid w:val="003B0426"/>
    <w:rsid w:val="003B29BF"/>
    <w:rsid w:val="003C0C02"/>
    <w:rsid w:val="003C1311"/>
    <w:rsid w:val="003C3A59"/>
    <w:rsid w:val="003C5F24"/>
    <w:rsid w:val="003D2A80"/>
    <w:rsid w:val="003D420F"/>
    <w:rsid w:val="003D6834"/>
    <w:rsid w:val="003D75BE"/>
    <w:rsid w:val="003E236F"/>
    <w:rsid w:val="003E33A3"/>
    <w:rsid w:val="003E5638"/>
    <w:rsid w:val="003E73AB"/>
    <w:rsid w:val="003E77DD"/>
    <w:rsid w:val="003F3323"/>
    <w:rsid w:val="003F4C4F"/>
    <w:rsid w:val="003F6AA6"/>
    <w:rsid w:val="0040190B"/>
    <w:rsid w:val="00402B2C"/>
    <w:rsid w:val="00411126"/>
    <w:rsid w:val="004133F5"/>
    <w:rsid w:val="00413D11"/>
    <w:rsid w:val="00420436"/>
    <w:rsid w:val="0042524A"/>
    <w:rsid w:val="004275A1"/>
    <w:rsid w:val="00430548"/>
    <w:rsid w:val="004320EA"/>
    <w:rsid w:val="00434015"/>
    <w:rsid w:val="00434E3D"/>
    <w:rsid w:val="0043524B"/>
    <w:rsid w:val="00443CE7"/>
    <w:rsid w:val="00443F43"/>
    <w:rsid w:val="004478A7"/>
    <w:rsid w:val="00453F23"/>
    <w:rsid w:val="00454EE8"/>
    <w:rsid w:val="00462AC6"/>
    <w:rsid w:val="00465A92"/>
    <w:rsid w:val="00466AA8"/>
    <w:rsid w:val="00471013"/>
    <w:rsid w:val="004719C6"/>
    <w:rsid w:val="00474DFE"/>
    <w:rsid w:val="00475C50"/>
    <w:rsid w:val="00481A23"/>
    <w:rsid w:val="00486E00"/>
    <w:rsid w:val="00486E6F"/>
    <w:rsid w:val="00487E6F"/>
    <w:rsid w:val="004908C3"/>
    <w:rsid w:val="0049131E"/>
    <w:rsid w:val="00492CDC"/>
    <w:rsid w:val="00497525"/>
    <w:rsid w:val="004A07EA"/>
    <w:rsid w:val="004A27C3"/>
    <w:rsid w:val="004A6BC1"/>
    <w:rsid w:val="004B0B51"/>
    <w:rsid w:val="004B22C2"/>
    <w:rsid w:val="004B2D52"/>
    <w:rsid w:val="004B30C4"/>
    <w:rsid w:val="004B35EA"/>
    <w:rsid w:val="004B5257"/>
    <w:rsid w:val="004B58AA"/>
    <w:rsid w:val="004B5FAF"/>
    <w:rsid w:val="004B6FBA"/>
    <w:rsid w:val="004C6EED"/>
    <w:rsid w:val="004D7A6B"/>
    <w:rsid w:val="004E3F50"/>
    <w:rsid w:val="004E57AE"/>
    <w:rsid w:val="004E5EF0"/>
    <w:rsid w:val="004E633C"/>
    <w:rsid w:val="004E744A"/>
    <w:rsid w:val="004E7CA7"/>
    <w:rsid w:val="004F31EC"/>
    <w:rsid w:val="004F5BD2"/>
    <w:rsid w:val="004F749B"/>
    <w:rsid w:val="004F7C85"/>
    <w:rsid w:val="00502B73"/>
    <w:rsid w:val="00502D8A"/>
    <w:rsid w:val="00506F7F"/>
    <w:rsid w:val="005078D6"/>
    <w:rsid w:val="005079BD"/>
    <w:rsid w:val="005105B3"/>
    <w:rsid w:val="00513E74"/>
    <w:rsid w:val="00514309"/>
    <w:rsid w:val="00514FC6"/>
    <w:rsid w:val="00516072"/>
    <w:rsid w:val="005175C4"/>
    <w:rsid w:val="005254C1"/>
    <w:rsid w:val="005272E7"/>
    <w:rsid w:val="005324E2"/>
    <w:rsid w:val="0053464D"/>
    <w:rsid w:val="00537293"/>
    <w:rsid w:val="0054058A"/>
    <w:rsid w:val="005446A7"/>
    <w:rsid w:val="00551D66"/>
    <w:rsid w:val="00563FB2"/>
    <w:rsid w:val="00566C13"/>
    <w:rsid w:val="0056787C"/>
    <w:rsid w:val="00571410"/>
    <w:rsid w:val="00572F62"/>
    <w:rsid w:val="0057321C"/>
    <w:rsid w:val="00576C37"/>
    <w:rsid w:val="00583A4F"/>
    <w:rsid w:val="00585A53"/>
    <w:rsid w:val="00585D5A"/>
    <w:rsid w:val="0059417C"/>
    <w:rsid w:val="00596EA3"/>
    <w:rsid w:val="005A0E29"/>
    <w:rsid w:val="005A6ECC"/>
    <w:rsid w:val="005B2E52"/>
    <w:rsid w:val="005B3681"/>
    <w:rsid w:val="005B4D5E"/>
    <w:rsid w:val="005B61D8"/>
    <w:rsid w:val="005B767F"/>
    <w:rsid w:val="005C5E21"/>
    <w:rsid w:val="005C626E"/>
    <w:rsid w:val="005D16A0"/>
    <w:rsid w:val="005D39AE"/>
    <w:rsid w:val="005D5E2A"/>
    <w:rsid w:val="005E572B"/>
    <w:rsid w:val="005E6C5E"/>
    <w:rsid w:val="005F39EC"/>
    <w:rsid w:val="005F77B3"/>
    <w:rsid w:val="00602B93"/>
    <w:rsid w:val="006030D5"/>
    <w:rsid w:val="0060612E"/>
    <w:rsid w:val="00610D5D"/>
    <w:rsid w:val="00614FFA"/>
    <w:rsid w:val="006241A6"/>
    <w:rsid w:val="00625995"/>
    <w:rsid w:val="00633F64"/>
    <w:rsid w:val="00634392"/>
    <w:rsid w:val="0063566F"/>
    <w:rsid w:val="00640575"/>
    <w:rsid w:val="006413A1"/>
    <w:rsid w:val="006503D4"/>
    <w:rsid w:val="00650920"/>
    <w:rsid w:val="0065173A"/>
    <w:rsid w:val="00652EB1"/>
    <w:rsid w:val="00657131"/>
    <w:rsid w:val="006572BA"/>
    <w:rsid w:val="00657AE0"/>
    <w:rsid w:val="00657FD3"/>
    <w:rsid w:val="00660392"/>
    <w:rsid w:val="00662374"/>
    <w:rsid w:val="00663C4E"/>
    <w:rsid w:val="00666C0B"/>
    <w:rsid w:val="00666E9B"/>
    <w:rsid w:val="006675C1"/>
    <w:rsid w:val="00670D8D"/>
    <w:rsid w:val="00673552"/>
    <w:rsid w:val="00673EB9"/>
    <w:rsid w:val="00684C5A"/>
    <w:rsid w:val="00687361"/>
    <w:rsid w:val="00690B93"/>
    <w:rsid w:val="006914AC"/>
    <w:rsid w:val="00693F89"/>
    <w:rsid w:val="00696AC4"/>
    <w:rsid w:val="006975E9"/>
    <w:rsid w:val="006A0FFD"/>
    <w:rsid w:val="006A1801"/>
    <w:rsid w:val="006A3200"/>
    <w:rsid w:val="006A3511"/>
    <w:rsid w:val="006B5A2F"/>
    <w:rsid w:val="006B6106"/>
    <w:rsid w:val="006B68F6"/>
    <w:rsid w:val="006B7201"/>
    <w:rsid w:val="006C1B9B"/>
    <w:rsid w:val="006C3F7C"/>
    <w:rsid w:val="006C49DA"/>
    <w:rsid w:val="006C4F14"/>
    <w:rsid w:val="006C6FC2"/>
    <w:rsid w:val="006D012B"/>
    <w:rsid w:val="006D12BB"/>
    <w:rsid w:val="006D3172"/>
    <w:rsid w:val="006D3768"/>
    <w:rsid w:val="006D4883"/>
    <w:rsid w:val="006D6441"/>
    <w:rsid w:val="006D7126"/>
    <w:rsid w:val="006E2E53"/>
    <w:rsid w:val="006E40D7"/>
    <w:rsid w:val="006E6357"/>
    <w:rsid w:val="006F03E3"/>
    <w:rsid w:val="006F14C3"/>
    <w:rsid w:val="006F20C4"/>
    <w:rsid w:val="006F2EB9"/>
    <w:rsid w:val="006F4FA2"/>
    <w:rsid w:val="006F7B8B"/>
    <w:rsid w:val="00701A50"/>
    <w:rsid w:val="0070308D"/>
    <w:rsid w:val="0071124B"/>
    <w:rsid w:val="0071198A"/>
    <w:rsid w:val="00711E1E"/>
    <w:rsid w:val="00712541"/>
    <w:rsid w:val="00714E86"/>
    <w:rsid w:val="00716508"/>
    <w:rsid w:val="00717E95"/>
    <w:rsid w:val="00726C38"/>
    <w:rsid w:val="00727B4D"/>
    <w:rsid w:val="00727D4D"/>
    <w:rsid w:val="00727E8F"/>
    <w:rsid w:val="00730656"/>
    <w:rsid w:val="00743227"/>
    <w:rsid w:val="007449DA"/>
    <w:rsid w:val="00744E14"/>
    <w:rsid w:val="00746761"/>
    <w:rsid w:val="007502D9"/>
    <w:rsid w:val="00751B27"/>
    <w:rsid w:val="0076228F"/>
    <w:rsid w:val="007629E8"/>
    <w:rsid w:val="00771DA5"/>
    <w:rsid w:val="0077222A"/>
    <w:rsid w:val="0077398F"/>
    <w:rsid w:val="00776BA5"/>
    <w:rsid w:val="007811EA"/>
    <w:rsid w:val="00783FFF"/>
    <w:rsid w:val="00786D0A"/>
    <w:rsid w:val="007870F7"/>
    <w:rsid w:val="007871B2"/>
    <w:rsid w:val="00790014"/>
    <w:rsid w:val="00791918"/>
    <w:rsid w:val="007944D7"/>
    <w:rsid w:val="00797280"/>
    <w:rsid w:val="007A4231"/>
    <w:rsid w:val="007A4631"/>
    <w:rsid w:val="007A7C9B"/>
    <w:rsid w:val="007B084D"/>
    <w:rsid w:val="007B0E8A"/>
    <w:rsid w:val="007B29B8"/>
    <w:rsid w:val="007B6F5B"/>
    <w:rsid w:val="007B7556"/>
    <w:rsid w:val="007B7C57"/>
    <w:rsid w:val="007C00F2"/>
    <w:rsid w:val="007C3C36"/>
    <w:rsid w:val="007C3E73"/>
    <w:rsid w:val="007C694A"/>
    <w:rsid w:val="007C6D1D"/>
    <w:rsid w:val="007C7273"/>
    <w:rsid w:val="007D0ACE"/>
    <w:rsid w:val="007D79C6"/>
    <w:rsid w:val="007D7B56"/>
    <w:rsid w:val="007D7BF8"/>
    <w:rsid w:val="007D7FD9"/>
    <w:rsid w:val="007E0C74"/>
    <w:rsid w:val="007E3AFA"/>
    <w:rsid w:val="007E75A7"/>
    <w:rsid w:val="007E76C4"/>
    <w:rsid w:val="007E778E"/>
    <w:rsid w:val="007F0E2A"/>
    <w:rsid w:val="007F1945"/>
    <w:rsid w:val="007F232F"/>
    <w:rsid w:val="007F23E3"/>
    <w:rsid w:val="007F6AAE"/>
    <w:rsid w:val="0080056A"/>
    <w:rsid w:val="00800FAE"/>
    <w:rsid w:val="00801588"/>
    <w:rsid w:val="00801F55"/>
    <w:rsid w:val="008067E8"/>
    <w:rsid w:val="00807852"/>
    <w:rsid w:val="00827670"/>
    <w:rsid w:val="00837D8A"/>
    <w:rsid w:val="00840E68"/>
    <w:rsid w:val="008433BA"/>
    <w:rsid w:val="00843EA8"/>
    <w:rsid w:val="00847A5D"/>
    <w:rsid w:val="00854F51"/>
    <w:rsid w:val="00860D32"/>
    <w:rsid w:val="00860E55"/>
    <w:rsid w:val="0086212B"/>
    <w:rsid w:val="0086484C"/>
    <w:rsid w:val="0086596C"/>
    <w:rsid w:val="008706CF"/>
    <w:rsid w:val="0087096B"/>
    <w:rsid w:val="00874D3C"/>
    <w:rsid w:val="0088011D"/>
    <w:rsid w:val="00880DFC"/>
    <w:rsid w:val="00883DB8"/>
    <w:rsid w:val="00883F71"/>
    <w:rsid w:val="008908F1"/>
    <w:rsid w:val="00890E65"/>
    <w:rsid w:val="00892226"/>
    <w:rsid w:val="00895C2E"/>
    <w:rsid w:val="00896BCF"/>
    <w:rsid w:val="008A00FE"/>
    <w:rsid w:val="008A5F5D"/>
    <w:rsid w:val="008A67A2"/>
    <w:rsid w:val="008A7D1A"/>
    <w:rsid w:val="008B188D"/>
    <w:rsid w:val="008B3715"/>
    <w:rsid w:val="008B3ECE"/>
    <w:rsid w:val="008B609C"/>
    <w:rsid w:val="008C50FC"/>
    <w:rsid w:val="008D30A2"/>
    <w:rsid w:val="008D37A1"/>
    <w:rsid w:val="008D5331"/>
    <w:rsid w:val="008D6B76"/>
    <w:rsid w:val="008E0423"/>
    <w:rsid w:val="008E475D"/>
    <w:rsid w:val="008F008D"/>
    <w:rsid w:val="008F07FD"/>
    <w:rsid w:val="008F1936"/>
    <w:rsid w:val="008F57E1"/>
    <w:rsid w:val="008F7326"/>
    <w:rsid w:val="00900114"/>
    <w:rsid w:val="00900A77"/>
    <w:rsid w:val="00901FE5"/>
    <w:rsid w:val="00902F34"/>
    <w:rsid w:val="00903048"/>
    <w:rsid w:val="00911405"/>
    <w:rsid w:val="009119E6"/>
    <w:rsid w:val="009145B7"/>
    <w:rsid w:val="009160E2"/>
    <w:rsid w:val="00917E21"/>
    <w:rsid w:val="009203D6"/>
    <w:rsid w:val="00921CE4"/>
    <w:rsid w:val="00924C9A"/>
    <w:rsid w:val="009273B1"/>
    <w:rsid w:val="00932B05"/>
    <w:rsid w:val="0093582E"/>
    <w:rsid w:val="00943C8C"/>
    <w:rsid w:val="00950EF8"/>
    <w:rsid w:val="00952782"/>
    <w:rsid w:val="009549F0"/>
    <w:rsid w:val="00956E15"/>
    <w:rsid w:val="0096210B"/>
    <w:rsid w:val="009651CE"/>
    <w:rsid w:val="00971672"/>
    <w:rsid w:val="00971DC2"/>
    <w:rsid w:val="0097455E"/>
    <w:rsid w:val="00980F3B"/>
    <w:rsid w:val="0099019D"/>
    <w:rsid w:val="00993047"/>
    <w:rsid w:val="00993E2A"/>
    <w:rsid w:val="009945E3"/>
    <w:rsid w:val="00994AE2"/>
    <w:rsid w:val="00995AFB"/>
    <w:rsid w:val="009974FC"/>
    <w:rsid w:val="00997A76"/>
    <w:rsid w:val="009B123D"/>
    <w:rsid w:val="009B1FEA"/>
    <w:rsid w:val="009B6B7D"/>
    <w:rsid w:val="009C3C54"/>
    <w:rsid w:val="009C4120"/>
    <w:rsid w:val="009C716B"/>
    <w:rsid w:val="009C7A98"/>
    <w:rsid w:val="009E4F7E"/>
    <w:rsid w:val="009E77C9"/>
    <w:rsid w:val="009F17C9"/>
    <w:rsid w:val="009F372C"/>
    <w:rsid w:val="009F7628"/>
    <w:rsid w:val="00A00AC7"/>
    <w:rsid w:val="00A0142A"/>
    <w:rsid w:val="00A027DB"/>
    <w:rsid w:val="00A03181"/>
    <w:rsid w:val="00A074F8"/>
    <w:rsid w:val="00A17363"/>
    <w:rsid w:val="00A216A1"/>
    <w:rsid w:val="00A229FD"/>
    <w:rsid w:val="00A24485"/>
    <w:rsid w:val="00A2514C"/>
    <w:rsid w:val="00A25426"/>
    <w:rsid w:val="00A27562"/>
    <w:rsid w:val="00A3005E"/>
    <w:rsid w:val="00A35278"/>
    <w:rsid w:val="00A35BC2"/>
    <w:rsid w:val="00A360E7"/>
    <w:rsid w:val="00A37015"/>
    <w:rsid w:val="00A42A0D"/>
    <w:rsid w:val="00A456A7"/>
    <w:rsid w:val="00A519EB"/>
    <w:rsid w:val="00A537FE"/>
    <w:rsid w:val="00A53F67"/>
    <w:rsid w:val="00A57B44"/>
    <w:rsid w:val="00A6237A"/>
    <w:rsid w:val="00A640ED"/>
    <w:rsid w:val="00A641FC"/>
    <w:rsid w:val="00A64FA9"/>
    <w:rsid w:val="00A6637B"/>
    <w:rsid w:val="00A67FD9"/>
    <w:rsid w:val="00A716C0"/>
    <w:rsid w:val="00A71D87"/>
    <w:rsid w:val="00A803BF"/>
    <w:rsid w:val="00A81952"/>
    <w:rsid w:val="00A84C63"/>
    <w:rsid w:val="00A84F59"/>
    <w:rsid w:val="00A85615"/>
    <w:rsid w:val="00A87EB9"/>
    <w:rsid w:val="00A91CAA"/>
    <w:rsid w:val="00A92AC2"/>
    <w:rsid w:val="00A92F78"/>
    <w:rsid w:val="00A94063"/>
    <w:rsid w:val="00A94718"/>
    <w:rsid w:val="00AA1F96"/>
    <w:rsid w:val="00AA4497"/>
    <w:rsid w:val="00AA6497"/>
    <w:rsid w:val="00AB24AB"/>
    <w:rsid w:val="00AB39FD"/>
    <w:rsid w:val="00AB4C60"/>
    <w:rsid w:val="00AB4C6A"/>
    <w:rsid w:val="00AB5329"/>
    <w:rsid w:val="00AB54C7"/>
    <w:rsid w:val="00AC02AB"/>
    <w:rsid w:val="00AC1D35"/>
    <w:rsid w:val="00AC3525"/>
    <w:rsid w:val="00AC78A1"/>
    <w:rsid w:val="00AD37B1"/>
    <w:rsid w:val="00AD3BFF"/>
    <w:rsid w:val="00AD5A04"/>
    <w:rsid w:val="00AE013C"/>
    <w:rsid w:val="00AE0276"/>
    <w:rsid w:val="00AE3496"/>
    <w:rsid w:val="00AE477A"/>
    <w:rsid w:val="00AE7528"/>
    <w:rsid w:val="00AF3F10"/>
    <w:rsid w:val="00B006D7"/>
    <w:rsid w:val="00B02972"/>
    <w:rsid w:val="00B05991"/>
    <w:rsid w:val="00B05D93"/>
    <w:rsid w:val="00B11EBF"/>
    <w:rsid w:val="00B14E0D"/>
    <w:rsid w:val="00B16077"/>
    <w:rsid w:val="00B211B4"/>
    <w:rsid w:val="00B218EF"/>
    <w:rsid w:val="00B2532F"/>
    <w:rsid w:val="00B2594B"/>
    <w:rsid w:val="00B27E8B"/>
    <w:rsid w:val="00B307D8"/>
    <w:rsid w:val="00B31618"/>
    <w:rsid w:val="00B321F9"/>
    <w:rsid w:val="00B354D6"/>
    <w:rsid w:val="00B3627D"/>
    <w:rsid w:val="00B36475"/>
    <w:rsid w:val="00B423C9"/>
    <w:rsid w:val="00B4288E"/>
    <w:rsid w:val="00B447F1"/>
    <w:rsid w:val="00B46874"/>
    <w:rsid w:val="00B46B19"/>
    <w:rsid w:val="00B5012D"/>
    <w:rsid w:val="00B5053D"/>
    <w:rsid w:val="00B5358A"/>
    <w:rsid w:val="00B53A31"/>
    <w:rsid w:val="00B566AE"/>
    <w:rsid w:val="00B62218"/>
    <w:rsid w:val="00B62DFA"/>
    <w:rsid w:val="00B62FD6"/>
    <w:rsid w:val="00B662B2"/>
    <w:rsid w:val="00B71B20"/>
    <w:rsid w:val="00B727D2"/>
    <w:rsid w:val="00B7445A"/>
    <w:rsid w:val="00B75EA7"/>
    <w:rsid w:val="00B761FE"/>
    <w:rsid w:val="00B768B3"/>
    <w:rsid w:val="00B8206F"/>
    <w:rsid w:val="00B82DD5"/>
    <w:rsid w:val="00B90F55"/>
    <w:rsid w:val="00B93833"/>
    <w:rsid w:val="00BA17C9"/>
    <w:rsid w:val="00BA2641"/>
    <w:rsid w:val="00BA4925"/>
    <w:rsid w:val="00BA62A4"/>
    <w:rsid w:val="00BA7CF3"/>
    <w:rsid w:val="00BA7DB2"/>
    <w:rsid w:val="00BB1250"/>
    <w:rsid w:val="00BB3D3F"/>
    <w:rsid w:val="00BB520B"/>
    <w:rsid w:val="00BB541D"/>
    <w:rsid w:val="00BC0548"/>
    <w:rsid w:val="00BC13EA"/>
    <w:rsid w:val="00BC22C6"/>
    <w:rsid w:val="00BC7B11"/>
    <w:rsid w:val="00BD736A"/>
    <w:rsid w:val="00BD7CF7"/>
    <w:rsid w:val="00BF2C32"/>
    <w:rsid w:val="00BF65FB"/>
    <w:rsid w:val="00C008C1"/>
    <w:rsid w:val="00C00C2F"/>
    <w:rsid w:val="00C00EFC"/>
    <w:rsid w:val="00C06E2D"/>
    <w:rsid w:val="00C070D7"/>
    <w:rsid w:val="00C11F2D"/>
    <w:rsid w:val="00C14234"/>
    <w:rsid w:val="00C148FA"/>
    <w:rsid w:val="00C159A8"/>
    <w:rsid w:val="00C17D2A"/>
    <w:rsid w:val="00C17EB3"/>
    <w:rsid w:val="00C25393"/>
    <w:rsid w:val="00C26249"/>
    <w:rsid w:val="00C27AE5"/>
    <w:rsid w:val="00C32B42"/>
    <w:rsid w:val="00C34F05"/>
    <w:rsid w:val="00C4093B"/>
    <w:rsid w:val="00C53670"/>
    <w:rsid w:val="00C55CB7"/>
    <w:rsid w:val="00C64BC6"/>
    <w:rsid w:val="00C6627E"/>
    <w:rsid w:val="00C676D6"/>
    <w:rsid w:val="00C74575"/>
    <w:rsid w:val="00C81C0F"/>
    <w:rsid w:val="00C83863"/>
    <w:rsid w:val="00C8642C"/>
    <w:rsid w:val="00C87714"/>
    <w:rsid w:val="00C87733"/>
    <w:rsid w:val="00C91418"/>
    <w:rsid w:val="00C92420"/>
    <w:rsid w:val="00C937D9"/>
    <w:rsid w:val="00C941BA"/>
    <w:rsid w:val="00C964AD"/>
    <w:rsid w:val="00C97A16"/>
    <w:rsid w:val="00CA0BD9"/>
    <w:rsid w:val="00CA1478"/>
    <w:rsid w:val="00CB15C7"/>
    <w:rsid w:val="00CB22AE"/>
    <w:rsid w:val="00CB24CB"/>
    <w:rsid w:val="00CB7383"/>
    <w:rsid w:val="00CC20B1"/>
    <w:rsid w:val="00CC2636"/>
    <w:rsid w:val="00CC32D5"/>
    <w:rsid w:val="00CC6ABE"/>
    <w:rsid w:val="00CC7979"/>
    <w:rsid w:val="00CD0E58"/>
    <w:rsid w:val="00CD4876"/>
    <w:rsid w:val="00CD5980"/>
    <w:rsid w:val="00CE2791"/>
    <w:rsid w:val="00CE486E"/>
    <w:rsid w:val="00CE6244"/>
    <w:rsid w:val="00CF43FF"/>
    <w:rsid w:val="00D0196E"/>
    <w:rsid w:val="00D07781"/>
    <w:rsid w:val="00D111CC"/>
    <w:rsid w:val="00D13135"/>
    <w:rsid w:val="00D13C70"/>
    <w:rsid w:val="00D14CCF"/>
    <w:rsid w:val="00D230F0"/>
    <w:rsid w:val="00D306CF"/>
    <w:rsid w:val="00D30CED"/>
    <w:rsid w:val="00D31F6C"/>
    <w:rsid w:val="00D32E83"/>
    <w:rsid w:val="00D35BC1"/>
    <w:rsid w:val="00D428A9"/>
    <w:rsid w:val="00D44377"/>
    <w:rsid w:val="00D51CF1"/>
    <w:rsid w:val="00D54C70"/>
    <w:rsid w:val="00D56BCC"/>
    <w:rsid w:val="00D658BB"/>
    <w:rsid w:val="00D65ADA"/>
    <w:rsid w:val="00D65F5F"/>
    <w:rsid w:val="00D71A6A"/>
    <w:rsid w:val="00D71FF2"/>
    <w:rsid w:val="00D7433B"/>
    <w:rsid w:val="00D74F30"/>
    <w:rsid w:val="00D80B4D"/>
    <w:rsid w:val="00D85958"/>
    <w:rsid w:val="00D9093B"/>
    <w:rsid w:val="00D91B56"/>
    <w:rsid w:val="00D91BD2"/>
    <w:rsid w:val="00D964CE"/>
    <w:rsid w:val="00D972D3"/>
    <w:rsid w:val="00DA0608"/>
    <w:rsid w:val="00DA6BFB"/>
    <w:rsid w:val="00DB2AE0"/>
    <w:rsid w:val="00DB2E0A"/>
    <w:rsid w:val="00DC0749"/>
    <w:rsid w:val="00DC378E"/>
    <w:rsid w:val="00DC4601"/>
    <w:rsid w:val="00DC653A"/>
    <w:rsid w:val="00DD46E6"/>
    <w:rsid w:val="00DE1020"/>
    <w:rsid w:val="00DE597A"/>
    <w:rsid w:val="00DE71CA"/>
    <w:rsid w:val="00DF1524"/>
    <w:rsid w:val="00DF3093"/>
    <w:rsid w:val="00DF5A47"/>
    <w:rsid w:val="00E00325"/>
    <w:rsid w:val="00E012B6"/>
    <w:rsid w:val="00E01A14"/>
    <w:rsid w:val="00E03912"/>
    <w:rsid w:val="00E06118"/>
    <w:rsid w:val="00E1590C"/>
    <w:rsid w:val="00E15B76"/>
    <w:rsid w:val="00E16611"/>
    <w:rsid w:val="00E166A4"/>
    <w:rsid w:val="00E169F2"/>
    <w:rsid w:val="00E25542"/>
    <w:rsid w:val="00E27459"/>
    <w:rsid w:val="00E3099D"/>
    <w:rsid w:val="00E32792"/>
    <w:rsid w:val="00E337C4"/>
    <w:rsid w:val="00E401DD"/>
    <w:rsid w:val="00E415C6"/>
    <w:rsid w:val="00E42451"/>
    <w:rsid w:val="00E4406A"/>
    <w:rsid w:val="00E44217"/>
    <w:rsid w:val="00E45550"/>
    <w:rsid w:val="00E5391A"/>
    <w:rsid w:val="00E53987"/>
    <w:rsid w:val="00E54D6A"/>
    <w:rsid w:val="00E575B5"/>
    <w:rsid w:val="00E60242"/>
    <w:rsid w:val="00E644F1"/>
    <w:rsid w:val="00E676C3"/>
    <w:rsid w:val="00E70918"/>
    <w:rsid w:val="00E71C84"/>
    <w:rsid w:val="00E748C4"/>
    <w:rsid w:val="00E75560"/>
    <w:rsid w:val="00E869A0"/>
    <w:rsid w:val="00E94707"/>
    <w:rsid w:val="00E94C00"/>
    <w:rsid w:val="00E955DB"/>
    <w:rsid w:val="00E968F3"/>
    <w:rsid w:val="00E9797C"/>
    <w:rsid w:val="00EA349F"/>
    <w:rsid w:val="00EA79F1"/>
    <w:rsid w:val="00EB7982"/>
    <w:rsid w:val="00EC1227"/>
    <w:rsid w:val="00EC1D91"/>
    <w:rsid w:val="00EC4DF5"/>
    <w:rsid w:val="00EC7A60"/>
    <w:rsid w:val="00ED1503"/>
    <w:rsid w:val="00ED4109"/>
    <w:rsid w:val="00ED4322"/>
    <w:rsid w:val="00ED6530"/>
    <w:rsid w:val="00ED7B5A"/>
    <w:rsid w:val="00ED7C9C"/>
    <w:rsid w:val="00EE0360"/>
    <w:rsid w:val="00EE3607"/>
    <w:rsid w:val="00EF171C"/>
    <w:rsid w:val="00EF1E6E"/>
    <w:rsid w:val="00EF22EC"/>
    <w:rsid w:val="00EF34F6"/>
    <w:rsid w:val="00EF3C4C"/>
    <w:rsid w:val="00EF44DC"/>
    <w:rsid w:val="00EF6DA8"/>
    <w:rsid w:val="00EF7A67"/>
    <w:rsid w:val="00F00AFB"/>
    <w:rsid w:val="00F033E9"/>
    <w:rsid w:val="00F05BCF"/>
    <w:rsid w:val="00F06F2A"/>
    <w:rsid w:val="00F07A19"/>
    <w:rsid w:val="00F07BCE"/>
    <w:rsid w:val="00F20611"/>
    <w:rsid w:val="00F21830"/>
    <w:rsid w:val="00F30AD6"/>
    <w:rsid w:val="00F34F7C"/>
    <w:rsid w:val="00F35057"/>
    <w:rsid w:val="00F429F4"/>
    <w:rsid w:val="00F43DEB"/>
    <w:rsid w:val="00F46883"/>
    <w:rsid w:val="00F53FAC"/>
    <w:rsid w:val="00F546D3"/>
    <w:rsid w:val="00F61EE6"/>
    <w:rsid w:val="00F66369"/>
    <w:rsid w:val="00F70D89"/>
    <w:rsid w:val="00F72C33"/>
    <w:rsid w:val="00F73C48"/>
    <w:rsid w:val="00F777CF"/>
    <w:rsid w:val="00F77C63"/>
    <w:rsid w:val="00F83254"/>
    <w:rsid w:val="00F840ED"/>
    <w:rsid w:val="00F84B3C"/>
    <w:rsid w:val="00F85186"/>
    <w:rsid w:val="00F85465"/>
    <w:rsid w:val="00F90214"/>
    <w:rsid w:val="00F90298"/>
    <w:rsid w:val="00F91E58"/>
    <w:rsid w:val="00F92949"/>
    <w:rsid w:val="00F93ADD"/>
    <w:rsid w:val="00F94A5C"/>
    <w:rsid w:val="00F96C3D"/>
    <w:rsid w:val="00FA15B1"/>
    <w:rsid w:val="00FA7C47"/>
    <w:rsid w:val="00FB09BF"/>
    <w:rsid w:val="00FB100D"/>
    <w:rsid w:val="00FB1077"/>
    <w:rsid w:val="00FB1B82"/>
    <w:rsid w:val="00FB3530"/>
    <w:rsid w:val="00FB6415"/>
    <w:rsid w:val="00FB670E"/>
    <w:rsid w:val="00FB68B2"/>
    <w:rsid w:val="00FC5486"/>
    <w:rsid w:val="00FC764F"/>
    <w:rsid w:val="00FD3040"/>
    <w:rsid w:val="00FE0528"/>
    <w:rsid w:val="00FE3084"/>
    <w:rsid w:val="00FE4E9D"/>
    <w:rsid w:val="00FF2AAF"/>
    <w:rsid w:val="028945B9"/>
    <w:rsid w:val="065F7326"/>
    <w:rsid w:val="0A3132BD"/>
    <w:rsid w:val="0BBA6DAD"/>
    <w:rsid w:val="0BD3A427"/>
    <w:rsid w:val="0C827333"/>
    <w:rsid w:val="0D38D08A"/>
    <w:rsid w:val="1409136D"/>
    <w:rsid w:val="14853178"/>
    <w:rsid w:val="1A052C99"/>
    <w:rsid w:val="1F3BCE92"/>
    <w:rsid w:val="214967B1"/>
    <w:rsid w:val="217B5490"/>
    <w:rsid w:val="231F24DD"/>
    <w:rsid w:val="265E5F7A"/>
    <w:rsid w:val="27004A38"/>
    <w:rsid w:val="2FECFDF2"/>
    <w:rsid w:val="30F450AD"/>
    <w:rsid w:val="321F4D68"/>
    <w:rsid w:val="340D457A"/>
    <w:rsid w:val="37EE70B0"/>
    <w:rsid w:val="3AEB0069"/>
    <w:rsid w:val="3BCC4692"/>
    <w:rsid w:val="3C1C08F2"/>
    <w:rsid w:val="3CBD245C"/>
    <w:rsid w:val="3FD63B70"/>
    <w:rsid w:val="40B12930"/>
    <w:rsid w:val="40F7192E"/>
    <w:rsid w:val="4211227D"/>
    <w:rsid w:val="47EB3668"/>
    <w:rsid w:val="496840CA"/>
    <w:rsid w:val="4A686B24"/>
    <w:rsid w:val="4ABD0166"/>
    <w:rsid w:val="4B101D4D"/>
    <w:rsid w:val="4FD2B164"/>
    <w:rsid w:val="532134AE"/>
    <w:rsid w:val="53AB0B98"/>
    <w:rsid w:val="565E1A64"/>
    <w:rsid w:val="578F9937"/>
    <w:rsid w:val="5B294F19"/>
    <w:rsid w:val="5B5E086D"/>
    <w:rsid w:val="5D4B0BE0"/>
    <w:rsid w:val="5E09753C"/>
    <w:rsid w:val="5F3E5ED6"/>
    <w:rsid w:val="61194E40"/>
    <w:rsid w:val="612550F7"/>
    <w:rsid w:val="61964A76"/>
    <w:rsid w:val="65DA031D"/>
    <w:rsid w:val="66AD7A56"/>
    <w:rsid w:val="6AF6743D"/>
    <w:rsid w:val="6B77DB4C"/>
    <w:rsid w:val="6B8F4AFD"/>
    <w:rsid w:val="6FCB88C9"/>
    <w:rsid w:val="6FF75EFD"/>
    <w:rsid w:val="70785D38"/>
    <w:rsid w:val="70DA61C9"/>
    <w:rsid w:val="73676527"/>
    <w:rsid w:val="757A12F6"/>
    <w:rsid w:val="75DF4015"/>
    <w:rsid w:val="762002A6"/>
    <w:rsid w:val="76464F84"/>
    <w:rsid w:val="77F3734F"/>
    <w:rsid w:val="78D74175"/>
    <w:rsid w:val="799A4207"/>
    <w:rsid w:val="7ABE3C3F"/>
    <w:rsid w:val="7BFF48EB"/>
    <w:rsid w:val="7DBEB404"/>
    <w:rsid w:val="7DF8A6FA"/>
    <w:rsid w:val="7DFEA9AC"/>
    <w:rsid w:val="7EFBF66F"/>
    <w:rsid w:val="7F3EAB1D"/>
    <w:rsid w:val="7F7ED0FB"/>
    <w:rsid w:val="7FD1E018"/>
    <w:rsid w:val="7FE6A430"/>
    <w:rsid w:val="7FFBAB84"/>
    <w:rsid w:val="86FFF870"/>
    <w:rsid w:val="9CD3AEC0"/>
    <w:rsid w:val="AFF76F62"/>
    <w:rsid w:val="B7ECB93A"/>
    <w:rsid w:val="B7FF9FA7"/>
    <w:rsid w:val="B974D3CB"/>
    <w:rsid w:val="BFBF61B5"/>
    <w:rsid w:val="CDAA646F"/>
    <w:rsid w:val="CF7EB3CD"/>
    <w:rsid w:val="D3AF2DCF"/>
    <w:rsid w:val="D5C7C02D"/>
    <w:rsid w:val="DF3E3086"/>
    <w:rsid w:val="DFEF203A"/>
    <w:rsid w:val="E3FFC407"/>
    <w:rsid w:val="E9DAEB7A"/>
    <w:rsid w:val="F697BB4C"/>
    <w:rsid w:val="F73F65FC"/>
    <w:rsid w:val="F9F78FC1"/>
    <w:rsid w:val="F9FF84C2"/>
    <w:rsid w:val="F9FFBF70"/>
    <w:rsid w:val="FBAF06DA"/>
    <w:rsid w:val="FF1B1DA3"/>
    <w:rsid w:val="FF6D8744"/>
    <w:rsid w:val="FF7B3208"/>
    <w:rsid w:val="FF7FE07C"/>
    <w:rsid w:val="FFF73183"/>
    <w:rsid w:val="FFFE2AAF"/>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1" w:semiHidden="0" w:name="toc 4"/>
    <w:lsdException w:qFormat="1" w:uiPriority="32" w:semiHidden="0" w:name="toc 5"/>
    <w:lsdException w:qFormat="1" w:uiPriority="0"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0" w:semiHidden="0" w:name="Strong"/>
    <w:lsdException w:qFormat="1" w:unhideWhenUsed="0" w:uiPriority="18"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76"/>
    <w:qFormat/>
    <w:uiPriority w:val="0"/>
    <w:pPr>
      <w:keepNext/>
      <w:keepLines/>
      <w:outlineLvl w:val="0"/>
    </w:pPr>
    <w:rPr>
      <w:b/>
      <w:sz w:val="44"/>
      <w:szCs w:val="44"/>
    </w:rPr>
  </w:style>
  <w:style w:type="paragraph" w:styleId="3">
    <w:name w:val="heading 2"/>
    <w:next w:val="1"/>
    <w:unhideWhenUsed/>
    <w:qFormat/>
    <w:uiPriority w:val="0"/>
    <w:pPr>
      <w:jc w:val="both"/>
      <w:outlineLvl w:val="1"/>
    </w:pPr>
    <w:rPr>
      <w:rFonts w:ascii="Calibri" w:hAnsi="Calibri" w:eastAsia="宋体" w:cs="Times New Roman"/>
      <w:sz w:val="21"/>
      <w:szCs w:val="21"/>
      <w:lang w:val="en-US" w:eastAsia="zh-CN" w:bidi="ar-SA"/>
    </w:rPr>
  </w:style>
  <w:style w:type="paragraph" w:styleId="4">
    <w:name w:val="heading 3"/>
    <w:basedOn w:val="1"/>
    <w:next w:val="1"/>
    <w:link w:val="101"/>
    <w:unhideWhenUsed/>
    <w:qFormat/>
    <w:uiPriority w:val="0"/>
    <w:pPr>
      <w:keepNext/>
      <w:keepLines/>
      <w:outlineLvl w:val="2"/>
    </w:pPr>
    <w:rPr>
      <w:rFonts w:ascii="Times New Roman" w:hAnsi="Times New Roman" w:eastAsia="Times New Roman"/>
      <w:b/>
      <w:sz w:val="30"/>
      <w:szCs w:val="30"/>
    </w:rPr>
  </w:style>
  <w:style w:type="paragraph" w:styleId="5">
    <w:name w:val="heading 4"/>
    <w:next w:val="1"/>
    <w:semiHidden/>
    <w:unhideWhenUsed/>
    <w:qFormat/>
    <w:uiPriority w:val="9"/>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link w:val="113"/>
    <w:qFormat/>
    <w:uiPriority w:val="9"/>
    <w:pPr>
      <w:ind w:left="2200" w:hanging="400"/>
      <w:jc w:val="both"/>
      <w:outlineLvl w:val="8"/>
    </w:pPr>
    <w:rPr>
      <w:rFonts w:ascii="Calibri" w:hAnsi="Calibri" w:eastAsia="宋体" w:cs="Times New Roman"/>
      <w:sz w:val="21"/>
      <w:szCs w:val="21"/>
      <w:lang w:val="en-US" w:eastAsia="zh-CN" w:bidi="ar-SA"/>
    </w:rPr>
  </w:style>
  <w:style w:type="character" w:default="1" w:styleId="39">
    <w:name w:val="Default Paragraph Font"/>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1260"/>
    </w:pPr>
    <w:rPr>
      <w:rFonts w:eastAsia="宋体" w:cs="Times New Roman" w:asciiTheme="minorHAnsi" w:hAnsiTheme="minorHAnsi"/>
      <w:sz w:val="18"/>
      <w:szCs w:val="18"/>
      <w:lang w:val="en-US" w:eastAsia="zh-CN" w:bidi="ar-SA"/>
    </w:rPr>
  </w:style>
  <w:style w:type="paragraph" w:styleId="12">
    <w:name w:val="Normal Indent"/>
    <w:basedOn w:val="1"/>
    <w:qFormat/>
    <w:uiPriority w:val="0"/>
    <w:pPr>
      <w:ind w:firstLine="420"/>
    </w:pPr>
  </w:style>
  <w:style w:type="paragraph" w:styleId="13">
    <w:name w:val="Document Map"/>
    <w:basedOn w:val="1"/>
    <w:link w:val="88"/>
    <w:qFormat/>
    <w:uiPriority w:val="0"/>
    <w:pPr>
      <w:widowControl w:val="0"/>
      <w:shd w:val="clear" w:color="auto" w:fill="000080"/>
    </w:pPr>
    <w:rPr>
      <w:rFonts w:ascii="Times New Roman" w:hAnsi="Times New Roman"/>
      <w:kern w:val="2"/>
      <w:szCs w:val="20"/>
    </w:rPr>
  </w:style>
  <w:style w:type="paragraph" w:styleId="14">
    <w:name w:val="annotation text"/>
    <w:basedOn w:val="1"/>
    <w:link w:val="72"/>
    <w:unhideWhenUsed/>
    <w:qFormat/>
    <w:uiPriority w:val="99"/>
  </w:style>
  <w:style w:type="paragraph" w:styleId="15">
    <w:name w:val="Body Text"/>
    <w:basedOn w:val="1"/>
    <w:link w:val="86"/>
    <w:unhideWhenUsed/>
    <w:qFormat/>
    <w:uiPriority w:val="0"/>
    <w:pPr>
      <w:spacing w:after="120"/>
    </w:pPr>
  </w:style>
  <w:style w:type="paragraph" w:styleId="16">
    <w:name w:val="Body Text Indent"/>
    <w:basedOn w:val="1"/>
    <w:link w:val="70"/>
    <w:unhideWhenUsed/>
    <w:qFormat/>
    <w:uiPriority w:val="0"/>
    <w:pPr>
      <w:ind w:left="420"/>
    </w:pPr>
  </w:style>
  <w:style w:type="paragraph" w:styleId="17">
    <w:name w:val="toc 5"/>
    <w:next w:val="1"/>
    <w:unhideWhenUsed/>
    <w:qFormat/>
    <w:uiPriority w:val="32"/>
    <w:pPr>
      <w:ind w:left="840"/>
    </w:pPr>
    <w:rPr>
      <w:rFonts w:eastAsia="宋体" w:cs="Times New Roman" w:asciiTheme="minorHAnsi" w:hAnsiTheme="minorHAnsi"/>
      <w:sz w:val="18"/>
      <w:szCs w:val="18"/>
      <w:lang w:val="en-US" w:eastAsia="zh-CN" w:bidi="ar-SA"/>
    </w:rPr>
  </w:style>
  <w:style w:type="paragraph" w:styleId="18">
    <w:name w:val="toc 3"/>
    <w:next w:val="1"/>
    <w:unhideWhenUsed/>
    <w:qFormat/>
    <w:uiPriority w:val="39"/>
    <w:pPr>
      <w:ind w:left="420"/>
    </w:pPr>
    <w:rPr>
      <w:rFonts w:eastAsia="宋体" w:cs="Times New Roman" w:asciiTheme="minorHAnsi" w:hAnsiTheme="minorHAnsi"/>
      <w:i/>
      <w:iCs/>
      <w:lang w:val="en-US" w:eastAsia="zh-CN" w:bidi="ar-SA"/>
    </w:rPr>
  </w:style>
  <w:style w:type="paragraph" w:styleId="19">
    <w:name w:val="Plain Text"/>
    <w:basedOn w:val="1"/>
    <w:link w:val="89"/>
    <w:qFormat/>
    <w:uiPriority w:val="0"/>
    <w:pPr>
      <w:widowControl w:val="0"/>
    </w:pPr>
    <w:rPr>
      <w:rFonts w:ascii="宋体" w:hAnsi="Courier New" w:cs="Courier New"/>
      <w:kern w:val="2"/>
    </w:rPr>
  </w:style>
  <w:style w:type="paragraph" w:styleId="20">
    <w:name w:val="toc 8"/>
    <w:next w:val="1"/>
    <w:unhideWhenUsed/>
    <w:qFormat/>
    <w:uiPriority w:val="35"/>
    <w:pPr>
      <w:ind w:left="1470"/>
    </w:pPr>
    <w:rPr>
      <w:rFonts w:eastAsia="宋体" w:cs="Times New Roman" w:asciiTheme="minorHAnsi" w:hAnsiTheme="minorHAnsi"/>
      <w:sz w:val="18"/>
      <w:szCs w:val="18"/>
      <w:lang w:val="en-US" w:eastAsia="zh-CN" w:bidi="ar-SA"/>
    </w:rPr>
  </w:style>
  <w:style w:type="paragraph" w:styleId="21">
    <w:name w:val="Date"/>
    <w:basedOn w:val="1"/>
    <w:next w:val="1"/>
    <w:link w:val="90"/>
    <w:qFormat/>
    <w:uiPriority w:val="0"/>
    <w:pPr>
      <w:widowControl w:val="0"/>
      <w:ind w:left="100" w:leftChars="2500"/>
    </w:pPr>
    <w:rPr>
      <w:rFonts w:ascii="Times New Roman" w:hAnsi="Times New Roman"/>
      <w:kern w:val="2"/>
      <w:szCs w:val="20"/>
    </w:rPr>
  </w:style>
  <w:style w:type="paragraph" w:styleId="22">
    <w:name w:val="Body Text Indent 2"/>
    <w:basedOn w:val="1"/>
    <w:link w:val="91"/>
    <w:qFormat/>
    <w:uiPriority w:val="0"/>
    <w:pPr>
      <w:widowControl w:val="0"/>
      <w:spacing w:after="120" w:line="480" w:lineRule="auto"/>
      <w:ind w:left="420" w:leftChars="200"/>
    </w:pPr>
    <w:rPr>
      <w:rFonts w:ascii="Times New Roman" w:hAnsi="Times New Roman"/>
      <w:kern w:val="2"/>
      <w:szCs w:val="20"/>
    </w:rPr>
  </w:style>
  <w:style w:type="paragraph" w:styleId="23">
    <w:name w:val="Balloon Text"/>
    <w:basedOn w:val="1"/>
    <w:link w:val="68"/>
    <w:qFormat/>
    <w:uiPriority w:val="0"/>
    <w:rPr>
      <w:sz w:val="18"/>
      <w:szCs w:val="18"/>
    </w:rPr>
  </w:style>
  <w:style w:type="paragraph" w:styleId="24">
    <w:name w:val="footer"/>
    <w:basedOn w:val="1"/>
    <w:link w:val="74"/>
    <w:qFormat/>
    <w:uiPriority w:val="99"/>
    <w:pPr>
      <w:tabs>
        <w:tab w:val="center" w:pos="4153"/>
        <w:tab w:val="right" w:pos="8306"/>
      </w:tabs>
    </w:pPr>
    <w:rPr>
      <w:sz w:val="18"/>
      <w:szCs w:val="18"/>
    </w:rPr>
  </w:style>
  <w:style w:type="paragraph" w:styleId="25">
    <w:name w:val="header"/>
    <w:basedOn w:val="1"/>
    <w:link w:val="64"/>
    <w:qFormat/>
    <w:uiPriority w:val="99"/>
    <w:pPr>
      <w:tabs>
        <w:tab w:val="center" w:pos="4153"/>
        <w:tab w:val="right" w:pos="8306"/>
      </w:tabs>
      <w:jc w:val="center"/>
    </w:pPr>
    <w:rPr>
      <w:sz w:val="18"/>
      <w:szCs w:val="18"/>
    </w:rPr>
  </w:style>
  <w:style w:type="paragraph" w:styleId="26">
    <w:name w:val="toc 1"/>
    <w:basedOn w:val="1"/>
    <w:next w:val="1"/>
    <w:qFormat/>
    <w:uiPriority w:val="39"/>
    <w:pPr>
      <w:spacing w:before="120" w:after="120"/>
      <w:jc w:val="left"/>
    </w:pPr>
    <w:rPr>
      <w:rFonts w:asciiTheme="minorHAnsi" w:hAnsiTheme="minorHAnsi"/>
      <w:b/>
      <w:bCs/>
      <w:caps/>
      <w:sz w:val="20"/>
      <w:szCs w:val="20"/>
    </w:rPr>
  </w:style>
  <w:style w:type="paragraph" w:styleId="27">
    <w:name w:val="toc 4"/>
    <w:next w:val="1"/>
    <w:unhideWhenUsed/>
    <w:qFormat/>
    <w:uiPriority w:val="31"/>
    <w:pPr>
      <w:ind w:left="630"/>
    </w:pPr>
    <w:rPr>
      <w:rFonts w:eastAsia="宋体" w:cs="Times New Roman" w:asciiTheme="minorHAnsi" w:hAnsiTheme="minorHAnsi"/>
      <w:sz w:val="18"/>
      <w:szCs w:val="18"/>
      <w:lang w:val="en-US" w:eastAsia="zh-CN" w:bidi="ar-SA"/>
    </w:rPr>
  </w:style>
  <w:style w:type="paragraph" w:styleId="28">
    <w:name w:val="Subtitle"/>
    <w:qFormat/>
    <w:uiPriority w:val="11"/>
    <w:pPr>
      <w:jc w:val="center"/>
    </w:pPr>
    <w:rPr>
      <w:rFonts w:ascii="Calibri" w:hAnsi="Calibri" w:eastAsia="宋体" w:cs="Times New Roman"/>
      <w:sz w:val="24"/>
      <w:szCs w:val="24"/>
      <w:lang w:val="en-US" w:eastAsia="zh-CN" w:bidi="ar-SA"/>
    </w:rPr>
  </w:style>
  <w:style w:type="paragraph" w:styleId="29">
    <w:name w:val="toc 6"/>
    <w:next w:val="1"/>
    <w:unhideWhenUsed/>
    <w:qFormat/>
    <w:uiPriority w:val="0"/>
    <w:pPr>
      <w:ind w:left="1050"/>
    </w:pPr>
    <w:rPr>
      <w:rFonts w:eastAsia="宋体" w:cs="Times New Roman" w:asciiTheme="minorHAnsi" w:hAnsiTheme="minorHAnsi"/>
      <w:sz w:val="18"/>
      <w:szCs w:val="18"/>
      <w:lang w:val="en-US" w:eastAsia="zh-CN" w:bidi="ar-SA"/>
    </w:rPr>
  </w:style>
  <w:style w:type="paragraph" w:styleId="30">
    <w:name w:val="toc 2"/>
    <w:basedOn w:val="1"/>
    <w:next w:val="1"/>
    <w:qFormat/>
    <w:uiPriority w:val="39"/>
    <w:pPr>
      <w:ind w:left="210"/>
      <w:jc w:val="left"/>
    </w:pPr>
    <w:rPr>
      <w:rFonts w:asciiTheme="minorHAnsi" w:hAnsiTheme="minorHAnsi"/>
      <w:smallCaps/>
      <w:sz w:val="20"/>
      <w:szCs w:val="20"/>
    </w:rPr>
  </w:style>
  <w:style w:type="paragraph" w:styleId="31">
    <w:name w:val="toc 9"/>
    <w:next w:val="1"/>
    <w:unhideWhenUsed/>
    <w:qFormat/>
    <w:uiPriority w:val="36"/>
    <w:pPr>
      <w:ind w:left="1680"/>
    </w:pPr>
    <w:rPr>
      <w:rFonts w:eastAsia="宋体" w:cs="Times New Roman" w:asciiTheme="minorHAnsi" w:hAnsiTheme="minorHAnsi"/>
      <w:sz w:val="18"/>
      <w:szCs w:val="18"/>
      <w:lang w:val="en-US" w:eastAsia="zh-CN" w:bidi="ar-SA"/>
    </w:rPr>
  </w:style>
  <w:style w:type="paragraph" w:styleId="32">
    <w:name w:val="Body Text 2"/>
    <w:basedOn w:val="1"/>
    <w:qFormat/>
    <w:uiPriority w:val="0"/>
    <w:rPr>
      <w:rFonts w:ascii="Times New Roman" w:hAnsi="Times New Roman" w:eastAsia="Times New Roman"/>
      <w:sz w:val="20"/>
      <w:szCs w:val="20"/>
    </w:rPr>
  </w:style>
  <w:style w:type="paragraph" w:styleId="33">
    <w:name w:val="Normal (Web)"/>
    <w:basedOn w:val="1"/>
    <w:qFormat/>
    <w:uiPriority w:val="0"/>
    <w:pPr>
      <w:spacing w:before="100" w:beforeAutospacing="1" w:after="100" w:afterAutospacing="1"/>
      <w:jc w:val="left"/>
    </w:pPr>
    <w:rPr>
      <w:rFonts w:ascii="宋体" w:hAnsi="宋体" w:cs="宋体"/>
      <w:sz w:val="24"/>
      <w:szCs w:val="24"/>
    </w:rPr>
  </w:style>
  <w:style w:type="paragraph" w:styleId="34">
    <w:name w:val="Title"/>
    <w:basedOn w:val="1"/>
    <w:next w:val="1"/>
    <w:link w:val="71"/>
    <w:qFormat/>
    <w:uiPriority w:val="10"/>
    <w:pPr>
      <w:jc w:val="center"/>
    </w:pPr>
    <w:rPr>
      <w:rFonts w:ascii="Calibri Light" w:hAnsi="Calibri Light"/>
      <w:b/>
      <w:sz w:val="32"/>
      <w:szCs w:val="32"/>
    </w:rPr>
  </w:style>
  <w:style w:type="paragraph" w:styleId="35">
    <w:name w:val="annotation subject"/>
    <w:basedOn w:val="14"/>
    <w:next w:val="14"/>
    <w:link w:val="73"/>
    <w:unhideWhenUsed/>
    <w:qFormat/>
    <w:uiPriority w:val="0"/>
    <w:rPr>
      <w:b/>
      <w:sz w:val="20"/>
      <w:szCs w:val="20"/>
    </w:rPr>
  </w:style>
  <w:style w:type="paragraph" w:styleId="36">
    <w:name w:val="Body Text First Indent"/>
    <w:basedOn w:val="15"/>
    <w:link w:val="87"/>
    <w:qFormat/>
    <w:uiPriority w:val="0"/>
    <w:pPr>
      <w:widowControl w:val="0"/>
      <w:ind w:firstLine="420" w:firstLineChars="100"/>
    </w:pPr>
    <w:rPr>
      <w:rFonts w:ascii="Times New Roman" w:hAnsi="Times New Roman"/>
      <w:kern w:val="2"/>
      <w:szCs w:val="20"/>
    </w:rPr>
  </w:style>
  <w:style w:type="table" w:styleId="38">
    <w:name w:val="Table Grid"/>
    <w:basedOn w:val="3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20"/>
    <w:rPr>
      <w:b/>
      <w:w w:val="100"/>
      <w:sz w:val="21"/>
      <w:szCs w:val="21"/>
      <w:shd w:val="clear" w:color="auto" w:fill="auto"/>
    </w:rPr>
  </w:style>
  <w:style w:type="character" w:styleId="41">
    <w:name w:val="page number"/>
    <w:basedOn w:val="39"/>
    <w:qFormat/>
    <w:uiPriority w:val="0"/>
  </w:style>
  <w:style w:type="character" w:styleId="42">
    <w:name w:val="FollowedHyperlink"/>
    <w:basedOn w:val="39"/>
    <w:semiHidden/>
    <w:unhideWhenUsed/>
    <w:qFormat/>
    <w:uiPriority w:val="99"/>
    <w:rPr>
      <w:color w:val="954F72" w:themeColor="followedHyperlink"/>
      <w:u w:val="single"/>
      <w14:textFill>
        <w14:solidFill>
          <w14:schemeClr w14:val="folHlink"/>
        </w14:solidFill>
      </w14:textFill>
    </w:rPr>
  </w:style>
  <w:style w:type="character" w:styleId="43">
    <w:name w:val="Emphasis"/>
    <w:qFormat/>
    <w:uiPriority w:val="18"/>
    <w:rPr>
      <w:i/>
      <w:w w:val="100"/>
      <w:sz w:val="21"/>
      <w:szCs w:val="21"/>
      <w:shd w:val="clear" w:color="auto" w:fill="auto"/>
    </w:rPr>
  </w:style>
  <w:style w:type="character" w:styleId="44">
    <w:name w:val="Hyperlink"/>
    <w:qFormat/>
    <w:uiPriority w:val="99"/>
    <w:rPr>
      <w:color w:val="0000FF"/>
      <w:w w:val="100"/>
      <w:sz w:val="20"/>
      <w:szCs w:val="20"/>
      <w:u w:val="single"/>
      <w:shd w:val="clear" w:color="auto" w:fill="auto"/>
    </w:rPr>
  </w:style>
  <w:style w:type="character" w:styleId="45">
    <w:name w:val="annotation reference"/>
    <w:basedOn w:val="39"/>
    <w:semiHidden/>
    <w:unhideWhenUsed/>
    <w:qFormat/>
    <w:uiPriority w:val="99"/>
    <w:rPr>
      <w:w w:val="100"/>
      <w:sz w:val="21"/>
      <w:szCs w:val="21"/>
      <w:shd w:val="clear" w:color="auto" w:fill="auto"/>
    </w:rPr>
  </w:style>
  <w:style w:type="paragraph" w:styleId="46">
    <w:name w:val="No Spacing"/>
    <w:qFormat/>
    <w:uiPriority w:val="5"/>
    <w:pPr>
      <w:jc w:val="both"/>
    </w:pPr>
    <w:rPr>
      <w:rFonts w:ascii="Calibri" w:hAnsi="Calibri" w:eastAsia="宋体" w:cs="Times New Roman"/>
      <w:sz w:val="21"/>
      <w:szCs w:val="21"/>
      <w:lang w:val="en-US" w:eastAsia="zh-CN" w:bidi="ar-SA"/>
    </w:rPr>
  </w:style>
  <w:style w:type="character" w:customStyle="1" w:styleId="47">
    <w:name w:val="不明显强调1"/>
    <w:qFormat/>
    <w:uiPriority w:val="17"/>
    <w:rPr>
      <w:i/>
      <w:color w:val="404040"/>
      <w:w w:val="100"/>
      <w:sz w:val="21"/>
      <w:szCs w:val="21"/>
      <w:shd w:val="clear" w:color="auto" w:fill="auto"/>
    </w:rPr>
  </w:style>
  <w:style w:type="character" w:customStyle="1" w:styleId="48">
    <w:name w:val="明显强调1"/>
    <w:qFormat/>
    <w:uiPriority w:val="19"/>
    <w:rPr>
      <w:i/>
      <w:color w:val="5B9BD5"/>
      <w:w w:val="100"/>
      <w:sz w:val="21"/>
      <w:szCs w:val="21"/>
      <w:shd w:val="clear" w:color="auto" w:fill="auto"/>
    </w:rPr>
  </w:style>
  <w:style w:type="paragraph" w:styleId="49">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50">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51">
    <w:name w:val="不明显参考1"/>
    <w:qFormat/>
    <w:uiPriority w:val="23"/>
    <w:rPr>
      <w:smallCaps/>
      <w:color w:val="5A5A5A"/>
      <w:w w:val="100"/>
      <w:sz w:val="21"/>
      <w:szCs w:val="21"/>
      <w:shd w:val="clear" w:color="auto" w:fill="auto"/>
    </w:rPr>
  </w:style>
  <w:style w:type="character" w:customStyle="1" w:styleId="52">
    <w:name w:val="明显参考1"/>
    <w:qFormat/>
    <w:uiPriority w:val="24"/>
    <w:rPr>
      <w:b/>
      <w:smallCaps/>
      <w:color w:val="5B9BD5"/>
      <w:w w:val="100"/>
      <w:sz w:val="21"/>
      <w:szCs w:val="21"/>
      <w:shd w:val="clear" w:color="auto" w:fill="auto"/>
    </w:rPr>
  </w:style>
  <w:style w:type="character" w:customStyle="1" w:styleId="53">
    <w:name w:val="书籍标题1"/>
    <w:qFormat/>
    <w:uiPriority w:val="25"/>
    <w:rPr>
      <w:b/>
      <w:i/>
      <w:w w:val="100"/>
      <w:sz w:val="21"/>
      <w:szCs w:val="21"/>
      <w:shd w:val="clear" w:color="auto" w:fill="auto"/>
    </w:rPr>
  </w:style>
  <w:style w:type="paragraph" w:styleId="54">
    <w:name w:val="List Paragraph"/>
    <w:basedOn w:val="1"/>
    <w:qFormat/>
    <w:uiPriority w:val="34"/>
    <w:pPr>
      <w:adjustRightInd w:val="0"/>
      <w:snapToGrid w:val="0"/>
      <w:jc w:val="left"/>
    </w:pPr>
  </w:style>
  <w:style w:type="paragraph" w:customStyle="1" w:styleId="55">
    <w:name w:val="TOC 标题1"/>
    <w:unhideWhenUsed/>
    <w:qFormat/>
    <w:uiPriority w:val="27"/>
    <w:rPr>
      <w:rFonts w:ascii="Calibri" w:hAnsi="Calibri" w:eastAsia="宋体" w:cs="Times New Roman"/>
      <w:color w:val="2E74B5"/>
      <w:sz w:val="32"/>
      <w:szCs w:val="32"/>
      <w:lang w:val="en-US" w:eastAsia="zh-CN" w:bidi="ar-SA"/>
    </w:rPr>
  </w:style>
  <w:style w:type="paragraph" w:customStyle="1" w:styleId="56">
    <w:name w:val="列出段落4"/>
    <w:basedOn w:val="1"/>
    <w:qFormat/>
    <w:uiPriority w:val="0"/>
    <w:pPr>
      <w:ind w:firstLine="420"/>
    </w:pPr>
    <w:rPr>
      <w:rFonts w:eastAsia="Calibri"/>
      <w:sz w:val="20"/>
      <w:szCs w:val="20"/>
    </w:rPr>
  </w:style>
  <w:style w:type="paragraph" w:customStyle="1" w:styleId="57">
    <w:name w:val="纯文本4"/>
    <w:basedOn w:val="1"/>
    <w:qFormat/>
    <w:uiPriority w:val="0"/>
    <w:pPr>
      <w:textAlignment w:val="baseline"/>
    </w:pPr>
    <w:rPr>
      <w:rFonts w:ascii="宋体" w:hAnsi="宋体" w:eastAsia="Times New Roman"/>
      <w:sz w:val="20"/>
      <w:szCs w:val="20"/>
    </w:rPr>
  </w:style>
  <w:style w:type="paragraph" w:customStyle="1" w:styleId="58">
    <w:name w:val="Default"/>
    <w:qFormat/>
    <w:uiPriority w:val="0"/>
    <w:pPr>
      <w:autoSpaceDE w:val="0"/>
      <w:autoSpaceDN w:val="0"/>
    </w:pPr>
    <w:rPr>
      <w:rFonts w:ascii="仿宋_GB2312" w:hAnsi="仿宋_GB2312" w:eastAsia="仿宋_GB2312" w:cs="Times New Roman"/>
      <w:color w:val="000000"/>
      <w:sz w:val="24"/>
      <w:szCs w:val="24"/>
      <w:lang w:val="en-US" w:eastAsia="zh-CN" w:bidi="ar-SA"/>
    </w:rPr>
  </w:style>
  <w:style w:type="paragraph" w:customStyle="1" w:styleId="59">
    <w:name w:val="列出段落1"/>
    <w:basedOn w:val="1"/>
    <w:qFormat/>
    <w:uiPriority w:val="0"/>
    <w:pPr>
      <w:ind w:firstLine="420"/>
    </w:pPr>
    <w:rPr>
      <w:rFonts w:eastAsia="Calibri"/>
      <w:sz w:val="20"/>
      <w:szCs w:val="20"/>
    </w:rPr>
  </w:style>
  <w:style w:type="paragraph" w:customStyle="1" w:styleId="60">
    <w:name w:val="List Paragraph1"/>
    <w:basedOn w:val="1"/>
    <w:qFormat/>
    <w:uiPriority w:val="0"/>
    <w:pPr>
      <w:ind w:firstLine="420"/>
    </w:pPr>
    <w:rPr>
      <w:rFonts w:eastAsia="Calibri"/>
      <w:sz w:val="20"/>
      <w:szCs w:val="20"/>
    </w:rPr>
  </w:style>
  <w:style w:type="paragraph" w:customStyle="1" w:styleId="61">
    <w:name w:val="列出段落2"/>
    <w:basedOn w:val="1"/>
    <w:qFormat/>
    <w:uiPriority w:val="0"/>
    <w:pPr>
      <w:ind w:firstLine="420"/>
    </w:pPr>
    <w:rPr>
      <w:rFonts w:eastAsia="Calibri"/>
      <w:sz w:val="20"/>
      <w:szCs w:val="20"/>
    </w:rPr>
  </w:style>
  <w:style w:type="paragraph" w:customStyle="1" w:styleId="62">
    <w:name w:val="列出段落3"/>
    <w:basedOn w:val="1"/>
    <w:qFormat/>
    <w:uiPriority w:val="0"/>
    <w:pPr>
      <w:ind w:firstLine="420"/>
    </w:pPr>
    <w:rPr>
      <w:rFonts w:eastAsia="Calibri"/>
      <w:sz w:val="20"/>
      <w:szCs w:val="20"/>
    </w:rPr>
  </w:style>
  <w:style w:type="paragraph" w:customStyle="1" w:styleId="63">
    <w:name w:val="纯文本1"/>
    <w:basedOn w:val="1"/>
    <w:qFormat/>
    <w:uiPriority w:val="0"/>
    <w:pPr>
      <w:textAlignment w:val="baseline"/>
    </w:pPr>
    <w:rPr>
      <w:rFonts w:ascii="宋体" w:hAnsi="宋体" w:eastAsia="Courier New"/>
      <w:sz w:val="20"/>
      <w:szCs w:val="20"/>
    </w:rPr>
  </w:style>
  <w:style w:type="character" w:customStyle="1" w:styleId="64">
    <w:name w:val="页眉 字符"/>
    <w:link w:val="25"/>
    <w:qFormat/>
    <w:uiPriority w:val="99"/>
    <w:rPr>
      <w:rFonts w:ascii="Calibri" w:hAnsi="Calibri" w:eastAsia="宋体"/>
      <w:w w:val="100"/>
      <w:sz w:val="18"/>
      <w:szCs w:val="18"/>
      <w:shd w:val="clear" w:color="auto" w:fill="auto"/>
    </w:rPr>
  </w:style>
  <w:style w:type="paragraph" w:customStyle="1" w:styleId="65">
    <w:name w:val="样式1"/>
    <w:qFormat/>
    <w:uiPriority w:val="0"/>
    <w:pPr>
      <w:ind w:firstLine="602"/>
      <w:jc w:val="both"/>
    </w:pPr>
    <w:rPr>
      <w:rFonts w:ascii="仿宋" w:hAnsi="仿宋" w:eastAsia="Times New Roman" w:cs="Times New Roman"/>
      <w:sz w:val="30"/>
      <w:szCs w:val="30"/>
      <w:lang w:val="en-US" w:eastAsia="zh-CN" w:bidi="ar-SA"/>
    </w:rPr>
  </w:style>
  <w:style w:type="paragraph" w:customStyle="1" w:styleId="66">
    <w:name w:val="列表段落2"/>
    <w:basedOn w:val="1"/>
    <w:qFormat/>
    <w:uiPriority w:val="99"/>
    <w:pPr>
      <w:ind w:firstLine="420"/>
    </w:pPr>
    <w:rPr>
      <w:rFonts w:eastAsia="Calibri"/>
      <w:sz w:val="20"/>
      <w:szCs w:val="20"/>
    </w:rPr>
  </w:style>
  <w:style w:type="paragraph" w:customStyle="1" w:styleId="67">
    <w:name w:val="列出段落5"/>
    <w:basedOn w:val="1"/>
    <w:qFormat/>
    <w:uiPriority w:val="0"/>
    <w:pPr>
      <w:ind w:firstLine="420"/>
    </w:pPr>
    <w:rPr>
      <w:rFonts w:eastAsia="Calibri"/>
      <w:sz w:val="20"/>
      <w:szCs w:val="20"/>
    </w:rPr>
  </w:style>
  <w:style w:type="character" w:customStyle="1" w:styleId="68">
    <w:name w:val="批注框文本 字符"/>
    <w:basedOn w:val="39"/>
    <w:link w:val="23"/>
    <w:qFormat/>
    <w:uiPriority w:val="0"/>
    <w:rPr>
      <w:w w:val="100"/>
      <w:sz w:val="18"/>
      <w:szCs w:val="18"/>
      <w:shd w:val="clear" w:color="auto" w:fill="auto"/>
    </w:rPr>
  </w:style>
  <w:style w:type="paragraph" w:customStyle="1" w:styleId="69">
    <w:name w:val="修订1"/>
    <w:semiHidden/>
    <w:qFormat/>
    <w:uiPriority w:val="0"/>
    <w:rPr>
      <w:rFonts w:ascii="Calibri" w:hAnsi="Calibri" w:eastAsia="宋体" w:cs="Times New Roman"/>
      <w:sz w:val="21"/>
      <w:szCs w:val="21"/>
      <w:lang w:val="en-US" w:eastAsia="zh-CN" w:bidi="ar-SA"/>
    </w:rPr>
  </w:style>
  <w:style w:type="character" w:customStyle="1" w:styleId="70">
    <w:name w:val="正文文本缩进 字符"/>
    <w:basedOn w:val="39"/>
    <w:link w:val="16"/>
    <w:qFormat/>
    <w:uiPriority w:val="0"/>
    <w:rPr>
      <w:w w:val="100"/>
      <w:sz w:val="21"/>
      <w:szCs w:val="21"/>
      <w:shd w:val="clear" w:color="auto" w:fill="auto"/>
    </w:rPr>
  </w:style>
  <w:style w:type="character" w:customStyle="1" w:styleId="71">
    <w:name w:val="标题 字符"/>
    <w:basedOn w:val="39"/>
    <w:link w:val="34"/>
    <w:qFormat/>
    <w:uiPriority w:val="0"/>
    <w:rPr>
      <w:rFonts w:ascii="Calibri Light" w:hAnsi="Calibri Light" w:eastAsia="宋体"/>
      <w:b/>
      <w:w w:val="100"/>
      <w:sz w:val="32"/>
      <w:szCs w:val="32"/>
      <w:shd w:val="clear" w:color="auto" w:fill="auto"/>
    </w:rPr>
  </w:style>
  <w:style w:type="character" w:customStyle="1" w:styleId="72">
    <w:name w:val="批注文字 字符"/>
    <w:basedOn w:val="39"/>
    <w:link w:val="14"/>
    <w:qFormat/>
    <w:uiPriority w:val="99"/>
    <w:rPr>
      <w:w w:val="100"/>
      <w:sz w:val="21"/>
      <w:szCs w:val="21"/>
      <w:shd w:val="clear" w:color="auto" w:fill="auto"/>
    </w:rPr>
  </w:style>
  <w:style w:type="character" w:customStyle="1" w:styleId="73">
    <w:name w:val="批注主题 字符"/>
    <w:basedOn w:val="72"/>
    <w:link w:val="35"/>
    <w:qFormat/>
    <w:uiPriority w:val="0"/>
    <w:rPr>
      <w:b/>
      <w:w w:val="100"/>
      <w:sz w:val="21"/>
      <w:szCs w:val="21"/>
      <w:shd w:val="clear" w:color="auto" w:fill="auto"/>
    </w:rPr>
  </w:style>
  <w:style w:type="character" w:customStyle="1" w:styleId="74">
    <w:name w:val="页脚 字符"/>
    <w:basedOn w:val="39"/>
    <w:link w:val="24"/>
    <w:qFormat/>
    <w:uiPriority w:val="99"/>
    <w:rPr>
      <w:w w:val="100"/>
      <w:sz w:val="18"/>
      <w:szCs w:val="18"/>
      <w:shd w:val="clear" w:color="auto" w:fill="auto"/>
    </w:rPr>
  </w:style>
  <w:style w:type="character" w:customStyle="1" w:styleId="75">
    <w:name w:val="标题 1 Char"/>
    <w:basedOn w:val="39"/>
    <w:qFormat/>
    <w:uiPriority w:val="0"/>
    <w:rPr>
      <w:b/>
      <w:w w:val="100"/>
      <w:sz w:val="44"/>
      <w:szCs w:val="44"/>
      <w:shd w:val="clear" w:color="auto" w:fill="auto"/>
    </w:rPr>
  </w:style>
  <w:style w:type="character" w:customStyle="1" w:styleId="76">
    <w:name w:val="标题 1 字符"/>
    <w:link w:val="2"/>
    <w:qFormat/>
    <w:uiPriority w:val="0"/>
    <w:rPr>
      <w:b/>
      <w:w w:val="100"/>
      <w:sz w:val="44"/>
      <w:szCs w:val="44"/>
      <w:shd w:val="clear" w:color="auto" w:fill="auto"/>
    </w:rPr>
  </w:style>
  <w:style w:type="paragraph" w:customStyle="1" w:styleId="77">
    <w:name w:val="修订2"/>
    <w:hidden/>
    <w:semiHidden/>
    <w:qFormat/>
    <w:uiPriority w:val="99"/>
    <w:rPr>
      <w:rFonts w:ascii="Calibri" w:hAnsi="Calibri" w:eastAsia="宋体" w:cs="Times New Roman"/>
      <w:sz w:val="21"/>
      <w:szCs w:val="21"/>
      <w:lang w:val="en-US" w:eastAsia="zh-CN" w:bidi="ar-SA"/>
    </w:rPr>
  </w:style>
  <w:style w:type="character" w:customStyle="1" w:styleId="78">
    <w:name w:val="List Paragraph 字符"/>
    <w:link w:val="79"/>
    <w:qFormat/>
    <w:uiPriority w:val="0"/>
    <w:rPr>
      <w:rFonts w:cs="Calibri"/>
      <w:kern w:val="2"/>
      <w:sz w:val="21"/>
      <w:szCs w:val="21"/>
    </w:rPr>
  </w:style>
  <w:style w:type="paragraph" w:customStyle="1" w:styleId="79">
    <w:name w:val="List Paragraph2"/>
    <w:basedOn w:val="1"/>
    <w:link w:val="78"/>
    <w:qFormat/>
    <w:uiPriority w:val="0"/>
    <w:pPr>
      <w:widowControl w:val="0"/>
      <w:ind w:firstLine="420" w:firstLineChars="200"/>
    </w:pPr>
    <w:rPr>
      <w:rFonts w:cs="Calibri"/>
      <w:kern w:val="2"/>
    </w:rPr>
  </w:style>
  <w:style w:type="paragraph" w:customStyle="1" w:styleId="80">
    <w:name w:val="修订3"/>
    <w:hidden/>
    <w:unhideWhenUsed/>
    <w:qFormat/>
    <w:uiPriority w:val="99"/>
    <w:rPr>
      <w:rFonts w:ascii="Calibri" w:hAnsi="Calibri" w:eastAsia="宋体" w:cs="Times New Roman"/>
      <w:sz w:val="21"/>
      <w:szCs w:val="21"/>
      <w:lang w:val="en-US" w:eastAsia="zh-CN" w:bidi="ar-SA"/>
    </w:rPr>
  </w:style>
  <w:style w:type="paragraph" w:customStyle="1" w:styleId="81">
    <w:name w:val="修订4"/>
    <w:hidden/>
    <w:unhideWhenUsed/>
    <w:qFormat/>
    <w:uiPriority w:val="99"/>
    <w:rPr>
      <w:rFonts w:ascii="Calibri" w:hAnsi="Calibri" w:eastAsia="宋体" w:cs="Times New Roman"/>
      <w:sz w:val="21"/>
      <w:szCs w:val="21"/>
      <w:lang w:val="en-US" w:eastAsia="zh-CN" w:bidi="ar-SA"/>
    </w:rPr>
  </w:style>
  <w:style w:type="paragraph" w:customStyle="1" w:styleId="82">
    <w:name w:val="修订5"/>
    <w:hidden/>
    <w:unhideWhenUsed/>
    <w:qFormat/>
    <w:uiPriority w:val="99"/>
    <w:rPr>
      <w:rFonts w:ascii="Calibri" w:hAnsi="Calibri" w:eastAsia="宋体" w:cs="Times New Roman"/>
      <w:sz w:val="21"/>
      <w:szCs w:val="21"/>
      <w:lang w:val="en-US" w:eastAsia="zh-CN" w:bidi="ar-SA"/>
    </w:rPr>
  </w:style>
  <w:style w:type="paragraph" w:customStyle="1" w:styleId="83">
    <w:name w:val="修订6"/>
    <w:hidden/>
    <w:unhideWhenUsed/>
    <w:qFormat/>
    <w:uiPriority w:val="99"/>
    <w:rPr>
      <w:rFonts w:ascii="Calibri" w:hAnsi="Calibri" w:eastAsia="宋体" w:cs="Times New Roman"/>
      <w:sz w:val="21"/>
      <w:szCs w:val="21"/>
      <w:lang w:val="en-US" w:eastAsia="zh-CN" w:bidi="ar-SA"/>
    </w:rPr>
  </w:style>
  <w:style w:type="paragraph" w:customStyle="1" w:styleId="84">
    <w:name w:val="修订7"/>
    <w:hidden/>
    <w:unhideWhenUsed/>
    <w:qFormat/>
    <w:uiPriority w:val="99"/>
    <w:rPr>
      <w:rFonts w:ascii="Calibri" w:hAnsi="Calibri" w:eastAsia="宋体" w:cs="Times New Roman"/>
      <w:sz w:val="21"/>
      <w:szCs w:val="21"/>
      <w:lang w:val="en-US" w:eastAsia="zh-CN" w:bidi="ar-SA"/>
    </w:rPr>
  </w:style>
  <w:style w:type="paragraph" w:customStyle="1" w:styleId="85">
    <w:name w:val="修订8"/>
    <w:hidden/>
    <w:unhideWhenUsed/>
    <w:qFormat/>
    <w:uiPriority w:val="99"/>
    <w:rPr>
      <w:rFonts w:ascii="Calibri" w:hAnsi="Calibri" w:eastAsia="宋体" w:cs="Times New Roman"/>
      <w:sz w:val="21"/>
      <w:szCs w:val="21"/>
      <w:lang w:val="en-US" w:eastAsia="zh-CN" w:bidi="ar-SA"/>
    </w:rPr>
  </w:style>
  <w:style w:type="character" w:customStyle="1" w:styleId="86">
    <w:name w:val="正文文本 字符"/>
    <w:basedOn w:val="39"/>
    <w:link w:val="15"/>
    <w:qFormat/>
    <w:uiPriority w:val="0"/>
    <w:rPr>
      <w:rFonts w:ascii="Calibri" w:hAnsi="Calibri"/>
      <w:sz w:val="21"/>
      <w:szCs w:val="21"/>
    </w:rPr>
  </w:style>
  <w:style w:type="character" w:customStyle="1" w:styleId="87">
    <w:name w:val="正文首行缩进 字符"/>
    <w:basedOn w:val="86"/>
    <w:link w:val="36"/>
    <w:qFormat/>
    <w:uiPriority w:val="0"/>
    <w:rPr>
      <w:rFonts w:ascii="Calibri" w:hAnsi="Calibri"/>
      <w:kern w:val="2"/>
      <w:sz w:val="21"/>
      <w:szCs w:val="21"/>
    </w:rPr>
  </w:style>
  <w:style w:type="character" w:customStyle="1" w:styleId="88">
    <w:name w:val="文档结构图 字符"/>
    <w:basedOn w:val="39"/>
    <w:link w:val="13"/>
    <w:qFormat/>
    <w:uiPriority w:val="0"/>
    <w:rPr>
      <w:kern w:val="2"/>
      <w:sz w:val="21"/>
      <w:shd w:val="clear" w:color="auto" w:fill="000080"/>
    </w:rPr>
  </w:style>
  <w:style w:type="character" w:customStyle="1" w:styleId="89">
    <w:name w:val="纯文本 字符"/>
    <w:basedOn w:val="39"/>
    <w:link w:val="19"/>
    <w:qFormat/>
    <w:uiPriority w:val="0"/>
    <w:rPr>
      <w:rFonts w:ascii="宋体" w:hAnsi="Courier New" w:cs="Courier New"/>
      <w:kern w:val="2"/>
      <w:sz w:val="21"/>
      <w:szCs w:val="21"/>
    </w:rPr>
  </w:style>
  <w:style w:type="character" w:customStyle="1" w:styleId="90">
    <w:name w:val="日期 字符"/>
    <w:basedOn w:val="39"/>
    <w:link w:val="21"/>
    <w:qFormat/>
    <w:uiPriority w:val="0"/>
    <w:rPr>
      <w:kern w:val="2"/>
      <w:sz w:val="21"/>
    </w:rPr>
  </w:style>
  <w:style w:type="character" w:customStyle="1" w:styleId="91">
    <w:name w:val="正文文本缩进 2 字符"/>
    <w:basedOn w:val="39"/>
    <w:link w:val="22"/>
    <w:qFormat/>
    <w:uiPriority w:val="0"/>
    <w:rPr>
      <w:kern w:val="2"/>
      <w:sz w:val="21"/>
    </w:rPr>
  </w:style>
  <w:style w:type="paragraph" w:customStyle="1" w:styleId="92">
    <w:name w:val="Char2 Char Char Char"/>
    <w:basedOn w:val="1"/>
    <w:qFormat/>
    <w:uiPriority w:val="0"/>
    <w:pPr>
      <w:spacing w:after="160" w:line="240" w:lineRule="exact"/>
      <w:jc w:val="left"/>
    </w:pPr>
    <w:rPr>
      <w:rFonts w:ascii="Verdana" w:hAnsi="Verdana"/>
      <w:sz w:val="20"/>
      <w:szCs w:val="20"/>
      <w:lang w:eastAsia="en-US"/>
    </w:rPr>
  </w:style>
  <w:style w:type="paragraph" w:customStyle="1" w:styleId="93">
    <w:name w:val="样式 标题 1 +"/>
    <w:basedOn w:val="2"/>
    <w:qFormat/>
    <w:uiPriority w:val="0"/>
    <w:pPr>
      <w:widowControl w:val="0"/>
      <w:spacing w:line="440" w:lineRule="exact"/>
      <w:ind w:firstLine="420" w:firstLineChars="200"/>
    </w:pPr>
    <w:rPr>
      <w:rFonts w:ascii="Times New Roman" w:hAnsi="Times New Roman" w:eastAsia="黑体"/>
      <w:b w:val="0"/>
      <w:bCs/>
      <w:sz w:val="21"/>
    </w:rPr>
  </w:style>
  <w:style w:type="paragraph" w:customStyle="1" w:styleId="94">
    <w:name w:val="Char"/>
    <w:basedOn w:val="1"/>
    <w:qFormat/>
    <w:uiPriority w:val="0"/>
    <w:pPr>
      <w:spacing w:after="160" w:line="240" w:lineRule="exact"/>
      <w:jc w:val="left"/>
    </w:pPr>
    <w:rPr>
      <w:rFonts w:ascii="Verdana" w:hAnsi="Verdana"/>
      <w:sz w:val="20"/>
      <w:szCs w:val="20"/>
      <w:lang w:eastAsia="en-US"/>
    </w:rPr>
  </w:style>
  <w:style w:type="paragraph" w:customStyle="1" w:styleId="95">
    <w:name w:val="Char Char Char Char"/>
    <w:basedOn w:val="1"/>
    <w:qFormat/>
    <w:uiPriority w:val="0"/>
    <w:pPr>
      <w:spacing w:after="160" w:line="240" w:lineRule="exact"/>
      <w:jc w:val="left"/>
    </w:pPr>
    <w:rPr>
      <w:rFonts w:ascii="Verdana" w:hAnsi="Verdana"/>
      <w:sz w:val="20"/>
      <w:szCs w:val="20"/>
      <w:lang w:eastAsia="en-US"/>
    </w:rPr>
  </w:style>
  <w:style w:type="paragraph" w:customStyle="1" w:styleId="96">
    <w:name w:val="默认段落字体 Para Char Char Char Char Char Char Char"/>
    <w:basedOn w:val="1"/>
    <w:qFormat/>
    <w:uiPriority w:val="0"/>
    <w:pPr>
      <w:widowControl w:val="0"/>
    </w:pPr>
    <w:rPr>
      <w:rFonts w:ascii="Tahoma" w:hAnsi="Tahoma"/>
      <w:kern w:val="2"/>
      <w:sz w:val="24"/>
      <w:szCs w:val="20"/>
    </w:rPr>
  </w:style>
  <w:style w:type="paragraph" w:customStyle="1" w:styleId="97">
    <w:name w:val="样式 标题 2 +"/>
    <w:basedOn w:val="3"/>
    <w:qFormat/>
    <w:uiPriority w:val="0"/>
    <w:pPr>
      <w:keepNext/>
      <w:keepLines/>
      <w:widowControl w:val="0"/>
      <w:spacing w:line="440" w:lineRule="exact"/>
      <w:ind w:firstLine="422" w:firstLineChars="200"/>
    </w:pPr>
    <w:rPr>
      <w:rFonts w:ascii="宋体" w:hAnsi="宋体"/>
      <w:b/>
      <w:kern w:val="2"/>
      <w:szCs w:val="20"/>
    </w:rPr>
  </w:style>
  <w:style w:type="paragraph" w:customStyle="1" w:styleId="98">
    <w:name w:val="表文"/>
    <w:basedOn w:val="1"/>
    <w:qFormat/>
    <w:uiPriority w:val="0"/>
    <w:pPr>
      <w:widowControl w:val="0"/>
      <w:topLinePunct/>
    </w:pPr>
    <w:rPr>
      <w:rFonts w:ascii="Times New Roman" w:hAnsi="Times New Roman"/>
      <w:sz w:val="18"/>
      <w:szCs w:val="18"/>
    </w:rPr>
  </w:style>
  <w:style w:type="paragraph" w:customStyle="1" w:styleId="99">
    <w:name w:val="正文（生产细则）"/>
    <w:basedOn w:val="1"/>
    <w:qFormat/>
    <w:uiPriority w:val="99"/>
    <w:pPr>
      <w:widowControl w:val="0"/>
      <w:adjustRightInd w:val="0"/>
      <w:snapToGrid w:val="0"/>
      <w:spacing w:line="300" w:lineRule="auto"/>
      <w:ind w:firstLine="200" w:firstLineChars="200"/>
    </w:pPr>
    <w:rPr>
      <w:rFonts w:ascii="Times New Roman" w:hAnsi="Times New Roman" w:eastAsia="仿宋_GB2312"/>
      <w:color w:val="000000"/>
      <w:kern w:val="2"/>
      <w:sz w:val="24"/>
      <w:szCs w:val="24"/>
    </w:rPr>
  </w:style>
  <w:style w:type="character" w:customStyle="1" w:styleId="100">
    <w:name w:val="clabel1"/>
    <w:qFormat/>
    <w:uiPriority w:val="0"/>
    <w:rPr>
      <w:color w:val="FF0000"/>
    </w:rPr>
  </w:style>
  <w:style w:type="character" w:customStyle="1" w:styleId="101">
    <w:name w:val="标题 3 字符"/>
    <w:link w:val="4"/>
    <w:qFormat/>
    <w:locked/>
    <w:uiPriority w:val="0"/>
    <w:rPr>
      <w:rFonts w:eastAsia="Times New Roman"/>
      <w:b/>
      <w:sz w:val="30"/>
      <w:szCs w:val="30"/>
    </w:rPr>
  </w:style>
  <w:style w:type="paragraph" w:customStyle="1" w:styleId="102">
    <w:name w:val="Plain Text1"/>
    <w:basedOn w:val="1"/>
    <w:qFormat/>
    <w:uiPriority w:val="0"/>
    <w:pPr>
      <w:widowControl w:val="0"/>
      <w:adjustRightInd w:val="0"/>
    </w:pPr>
    <w:rPr>
      <w:rFonts w:ascii="宋体" w:hAnsi="Courier New"/>
      <w:kern w:val="2"/>
      <w:szCs w:val="20"/>
    </w:rPr>
  </w:style>
  <w:style w:type="paragraph" w:customStyle="1" w:styleId="103">
    <w:name w:val="段"/>
    <w:qFormat/>
    <w:uiPriority w:val="0"/>
    <w:pPr>
      <w:autoSpaceDE w:val="0"/>
      <w:autoSpaceDN w:val="0"/>
      <w:jc w:val="center"/>
    </w:pPr>
    <w:rPr>
      <w:rFonts w:ascii="宋体" w:hAnsi="Times New Roman" w:eastAsia="宋体" w:cs="Times New Roman"/>
      <w:sz w:val="21"/>
      <w:lang w:val="en-US" w:eastAsia="zh-CN" w:bidi="ar-SA"/>
    </w:rPr>
  </w:style>
  <w:style w:type="paragraph" w:customStyle="1" w:styleId="104">
    <w:name w:val="三级条标题"/>
    <w:basedOn w:val="1"/>
    <w:next w:val="1"/>
    <w:link w:val="105"/>
    <w:qFormat/>
    <w:uiPriority w:val="0"/>
    <w:pPr>
      <w:ind w:left="945"/>
      <w:jc w:val="left"/>
      <w:outlineLvl w:val="4"/>
    </w:pPr>
    <w:rPr>
      <w:rFonts w:ascii="Times New Roman" w:hAnsi="Times New Roman" w:eastAsia="黑体"/>
      <w:szCs w:val="20"/>
    </w:rPr>
  </w:style>
  <w:style w:type="character" w:customStyle="1" w:styleId="105">
    <w:name w:val="三级条标题 Char"/>
    <w:link w:val="104"/>
    <w:qFormat/>
    <w:uiPriority w:val="0"/>
    <w:rPr>
      <w:rFonts w:eastAsia="黑体"/>
      <w:sz w:val="21"/>
    </w:rPr>
  </w:style>
  <w:style w:type="paragraph" w:customStyle="1" w:styleId="106">
    <w:name w:val="ordinary-output target-output clearfix"/>
    <w:basedOn w:val="1"/>
    <w:qFormat/>
    <w:uiPriority w:val="0"/>
    <w:pPr>
      <w:spacing w:before="100" w:beforeAutospacing="1" w:after="100" w:afterAutospacing="1"/>
      <w:jc w:val="left"/>
    </w:pPr>
    <w:rPr>
      <w:rFonts w:ascii="宋体" w:hAnsi="宋体" w:cs="宋体"/>
      <w:sz w:val="24"/>
      <w:szCs w:val="24"/>
    </w:rPr>
  </w:style>
  <w:style w:type="character" w:customStyle="1" w:styleId="107">
    <w:name w:val="high-light-bg4"/>
    <w:basedOn w:val="39"/>
    <w:qFormat/>
    <w:uiPriority w:val="0"/>
  </w:style>
  <w:style w:type="character" w:customStyle="1" w:styleId="108">
    <w:name w:val="页脚 字符1"/>
    <w:qFormat/>
    <w:uiPriority w:val="0"/>
    <w:rPr>
      <w:kern w:val="2"/>
      <w:sz w:val="18"/>
    </w:rPr>
  </w:style>
  <w:style w:type="paragraph" w:customStyle="1" w:styleId="109">
    <w:name w:val="纯文本11"/>
    <w:basedOn w:val="1"/>
    <w:qFormat/>
    <w:uiPriority w:val="0"/>
    <w:pPr>
      <w:widowControl w:val="0"/>
      <w:adjustRightInd w:val="0"/>
      <w:textAlignment w:val="baseline"/>
    </w:pPr>
    <w:rPr>
      <w:rFonts w:ascii="宋体" w:hAnsi="Courier New"/>
      <w:kern w:val="2"/>
      <w:szCs w:val="20"/>
    </w:rPr>
  </w:style>
  <w:style w:type="paragraph" w:customStyle="1" w:styleId="110">
    <w:name w:val="样式 标题 3 + 首行缩进:  0 字符"/>
    <w:basedOn w:val="4"/>
    <w:qFormat/>
    <w:uiPriority w:val="0"/>
    <w:pPr>
      <w:widowControl w:val="0"/>
      <w:adjustRightInd w:val="0"/>
      <w:spacing w:line="440" w:lineRule="exact"/>
      <w:jc w:val="center"/>
    </w:pPr>
    <w:rPr>
      <w:rFonts w:eastAsia="宋体" w:cs="宋体"/>
      <w:b w:val="0"/>
      <w:kern w:val="2"/>
      <w:sz w:val="28"/>
      <w:szCs w:val="20"/>
    </w:rPr>
  </w:style>
  <w:style w:type="paragraph" w:customStyle="1" w:styleId="111">
    <w:name w:val="肥料正文"/>
    <w:basedOn w:val="1"/>
    <w:qFormat/>
    <w:uiPriority w:val="0"/>
    <w:pPr>
      <w:widowControl w:val="0"/>
      <w:adjustRightInd w:val="0"/>
      <w:snapToGrid w:val="0"/>
      <w:spacing w:line="316" w:lineRule="auto"/>
      <w:ind w:firstLine="200" w:firstLineChars="200"/>
    </w:pPr>
    <w:rPr>
      <w:rFonts w:ascii="Times New Roman" w:hAnsi="Times New Roman" w:eastAsia="汉鼎简书宋二"/>
      <w:spacing w:val="2"/>
      <w:sz w:val="22"/>
      <w:szCs w:val="24"/>
    </w:rPr>
  </w:style>
  <w:style w:type="paragraph" w:customStyle="1" w:styleId="112">
    <w:name w:val="列出段落11"/>
    <w:basedOn w:val="1"/>
    <w:qFormat/>
    <w:uiPriority w:val="0"/>
    <w:pPr>
      <w:widowControl w:val="0"/>
      <w:ind w:firstLine="420" w:firstLineChars="200"/>
    </w:pPr>
    <w:rPr>
      <w:rFonts w:cs="Calibri"/>
      <w:kern w:val="2"/>
    </w:rPr>
  </w:style>
  <w:style w:type="character" w:customStyle="1" w:styleId="113">
    <w:name w:val="标题 9 字符"/>
    <w:basedOn w:val="39"/>
    <w:link w:val="10"/>
    <w:qFormat/>
    <w:uiPriority w:val="9"/>
    <w:rPr>
      <w:rFonts w:ascii="Calibri" w:hAnsi="Calibri"/>
      <w:sz w:val="21"/>
      <w:szCs w:val="21"/>
    </w:rPr>
  </w:style>
  <w:style w:type="character" w:customStyle="1" w:styleId="114">
    <w:name w:val="纯文本 字符2"/>
    <w:qFormat/>
    <w:uiPriority w:val="0"/>
    <w:rPr>
      <w:rFonts w:ascii="宋体" w:hAnsi="Courier New"/>
    </w:rPr>
  </w:style>
  <w:style w:type="paragraph" w:customStyle="1" w:styleId="115">
    <w:name w:val="列表段落3"/>
    <w:basedOn w:val="1"/>
    <w:qFormat/>
    <w:uiPriority w:val="0"/>
    <w:pPr>
      <w:widowControl w:val="0"/>
      <w:ind w:firstLine="420" w:firstLineChars="200"/>
    </w:pPr>
    <w:rPr>
      <w:rFonts w:cs="Calibri"/>
      <w:kern w:val="2"/>
    </w:rPr>
  </w:style>
  <w:style w:type="character" w:customStyle="1" w:styleId="116">
    <w:name w:val="标题 3 字符1"/>
    <w:basedOn w:val="39"/>
    <w:qFormat/>
    <w:uiPriority w:val="0"/>
    <w:rPr>
      <w:rFonts w:ascii="Times New Roman" w:hAnsi="Times New Roman" w:eastAsia="宋体" w:cs="Times New Roman"/>
      <w:b/>
      <w:bCs/>
      <w:sz w:val="30"/>
      <w:szCs w:val="32"/>
    </w:rPr>
  </w:style>
  <w:style w:type="character" w:customStyle="1" w:styleId="117">
    <w:name w:val="页脚 字符2"/>
    <w:qFormat/>
    <w:uiPriority w:val="99"/>
    <w:rPr>
      <w:sz w:val="18"/>
    </w:rPr>
  </w:style>
  <w:style w:type="character" w:customStyle="1" w:styleId="118">
    <w:name w:val="页眉 字符2"/>
    <w:qFormat/>
    <w:uiPriority w:val="99"/>
    <w:rPr>
      <w:sz w:val="18"/>
      <w:szCs w:val="18"/>
    </w:rPr>
  </w:style>
  <w:style w:type="paragraph" w:customStyle="1" w:styleId="119">
    <w:name w:val="TOC 标题2"/>
    <w:basedOn w:val="2"/>
    <w:next w:val="1"/>
    <w:unhideWhenUsed/>
    <w:qFormat/>
    <w:uiPriority w:val="39"/>
    <w:pPr>
      <w:spacing w:before="24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20">
    <w:name w:val="修订9"/>
    <w:hidden/>
    <w:unhideWhenUsed/>
    <w:qFormat/>
    <w:uiPriority w:val="99"/>
    <w:rPr>
      <w:rFonts w:ascii="Calibri" w:hAnsi="Calibri" w:eastAsia="宋体" w:cs="Times New Roman"/>
      <w:sz w:val="21"/>
      <w:szCs w:val="21"/>
      <w:lang w:val="en-US" w:eastAsia="zh-CN" w:bidi="ar-SA"/>
    </w:rPr>
  </w:style>
  <w:style w:type="paragraph" w:customStyle="1" w:styleId="121">
    <w:name w:val="修订10"/>
    <w:hidden/>
    <w:unhideWhenUsed/>
    <w:qFormat/>
    <w:uiPriority w:val="99"/>
    <w:rPr>
      <w:rFonts w:ascii="Calibri" w:hAnsi="Calibri" w:eastAsia="宋体" w:cs="Times New Roman"/>
      <w:sz w:val="21"/>
      <w:szCs w:val="21"/>
      <w:lang w:val="en-US" w:eastAsia="zh-CN" w:bidi="ar-SA"/>
    </w:rPr>
  </w:style>
  <w:style w:type="paragraph" w:customStyle="1" w:styleId="122">
    <w:name w:val="修订11"/>
    <w:hidden/>
    <w:unhideWhenUsed/>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8213</Words>
  <Characters>10135</Characters>
  <Lines>173</Lines>
  <Paragraphs>48</Paragraphs>
  <TotalTime>11</TotalTime>
  <ScaleCrop>false</ScaleCrop>
  <LinksUpToDate>false</LinksUpToDate>
  <CharactersWithSpaces>10465</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2024-12-31T18:24:00Z</dcterms:created>
  <dc:creator>柠檬树</dc:creator>
  <cp:lastModifiedBy>greatwall</cp:lastModifiedBy>
  <cp:lastPrinted>2024-06-25T10:28:00Z</cp:lastPrinted>
  <dcterms:modified xsi:type="dcterms:W3CDTF">2025-06-26T14:15:07Z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F711202496E844C7A97442C463C55DA1_13</vt:lpwstr>
  </property>
  <property fmtid="{D5CDD505-2E9C-101B-9397-08002B2CF9AE}" pid="4" name="KSOTemplateDocerSaveRecord">
    <vt:lpwstr>eyJoZGlkIjoiOGRlZjdjNmZhZDljOTY1NWVhMzk5MjJiMGU4MjkzZjgiLCJ1c2VySWQiOiI1MDQ3MzU4NDEifQ==</vt:lpwstr>
  </property>
</Properties>
</file>