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right"/>
        <w:rPr>
          <w:rFonts w:ascii="Times New Roman" w:hAnsi="Times New Roman"/>
          <w:color w:val="auto"/>
          <w:sz w:val="28"/>
          <w:szCs w:val="28"/>
        </w:rPr>
      </w:pPr>
      <w:r>
        <w:rPr>
          <w:rFonts w:ascii="Times New Roman" w:hAnsi="Times New Roman"/>
          <w:color w:val="auto"/>
          <w:sz w:val="28"/>
          <w:szCs w:val="28"/>
        </w:rPr>
        <w:t>编号：(X)XK13-001</w:t>
      </w:r>
    </w:p>
    <w:p>
      <w:pPr>
        <w:spacing w:line="360" w:lineRule="auto"/>
        <w:jc w:val="right"/>
        <w:rPr>
          <w:rFonts w:ascii="Times New Roman" w:hAnsi="Times New Roman"/>
          <w:b/>
          <w:color w:val="auto"/>
          <w:sz w:val="52"/>
          <w:szCs w:val="52"/>
        </w:rPr>
      </w:pPr>
    </w:p>
    <w:p>
      <w:pPr>
        <w:tabs>
          <w:tab w:val="left" w:pos="720"/>
        </w:tabs>
        <w:autoSpaceDE w:val="0"/>
        <w:autoSpaceDN w:val="0"/>
        <w:ind w:right="18"/>
        <w:jc w:val="left"/>
        <w:rPr>
          <w:rFonts w:ascii="Times New Roman" w:hAnsi="Times New Roman"/>
          <w:color w:val="auto"/>
          <w:sz w:val="28"/>
          <w:szCs w:val="28"/>
        </w:rPr>
      </w:pPr>
    </w:p>
    <w:p>
      <w:pPr>
        <w:pStyle w:val="12"/>
        <w:ind w:firstLine="560"/>
        <w:rPr>
          <w:rFonts w:ascii="Times New Roman" w:hAnsi="Times New Roman"/>
          <w:color w:val="auto"/>
          <w:sz w:val="28"/>
          <w:szCs w:val="28"/>
        </w:rPr>
      </w:pPr>
    </w:p>
    <w:p>
      <w:pPr>
        <w:pStyle w:val="12"/>
        <w:ind w:firstLine="560"/>
        <w:rPr>
          <w:rFonts w:ascii="Times New Roman" w:hAnsi="Times New Roman"/>
          <w:color w:val="auto"/>
          <w:sz w:val="28"/>
          <w:szCs w:val="28"/>
        </w:rPr>
      </w:pPr>
    </w:p>
    <w:p>
      <w:pPr>
        <w:pStyle w:val="12"/>
        <w:ind w:firstLine="560"/>
        <w:rPr>
          <w:rFonts w:ascii="Times New Roman" w:hAnsi="Times New Roman"/>
          <w:color w:val="auto"/>
          <w:sz w:val="28"/>
          <w:szCs w:val="28"/>
        </w:rPr>
      </w:pPr>
    </w:p>
    <w:p>
      <w:pPr>
        <w:widowControl w:val="0"/>
        <w:jc w:val="center"/>
        <w:rPr>
          <w:rFonts w:ascii="Times New Roman" w:hAnsi="Times New Roman"/>
          <w:b/>
          <w:color w:val="auto"/>
          <w:sz w:val="52"/>
          <w:szCs w:val="52"/>
        </w:rPr>
      </w:pPr>
      <w:r>
        <w:rPr>
          <w:rFonts w:ascii="Times New Roman" w:hAnsi="Times New Roman" w:eastAsia="方正小标宋简体"/>
          <w:color w:val="auto"/>
          <w:sz w:val="52"/>
          <w:szCs w:val="52"/>
        </w:rPr>
        <w:t>化肥产品生产许可证实施细则（一）</w:t>
      </w:r>
    </w:p>
    <w:p>
      <w:pPr>
        <w:widowControl w:val="0"/>
        <w:jc w:val="center"/>
        <w:rPr>
          <w:rFonts w:ascii="Times New Roman" w:hAnsi="Times New Roman"/>
          <w:color w:val="auto"/>
          <w:sz w:val="52"/>
          <w:szCs w:val="52"/>
        </w:rPr>
      </w:pPr>
      <w:r>
        <w:rPr>
          <w:rFonts w:ascii="Times New Roman" w:hAnsi="Times New Roman" w:eastAsia="方正小标宋简体"/>
          <w:color w:val="auto"/>
          <w:sz w:val="52"/>
          <w:szCs w:val="52"/>
        </w:rPr>
        <w:t>（复肥产品部分）</w:t>
      </w:r>
    </w:p>
    <w:p>
      <w:pPr>
        <w:widowControl w:val="0"/>
        <w:jc w:val="center"/>
        <w:rPr>
          <w:rFonts w:ascii="Times New Roman" w:hAnsi="Times New Roman" w:eastAsia="楷体_GB2312"/>
          <w:color w:val="auto"/>
          <w:sz w:val="44"/>
          <w:szCs w:val="44"/>
        </w:rPr>
      </w:pPr>
      <w:r>
        <w:rPr>
          <w:rFonts w:ascii="Times New Roman" w:hAnsi="Times New Roman" w:eastAsia="楷体_GB2312"/>
          <w:color w:val="auto"/>
          <w:sz w:val="44"/>
          <w:szCs w:val="44"/>
        </w:rPr>
        <w:t>（</w:t>
      </w:r>
      <w:r>
        <w:rPr>
          <w:rFonts w:hint="eastAsia" w:ascii="Times New Roman" w:hAnsi="Times New Roman" w:eastAsia="楷体_GB2312"/>
          <w:color w:val="auto"/>
          <w:sz w:val="44"/>
          <w:szCs w:val="44"/>
          <w:lang w:val="en-US" w:eastAsia="zh-CN"/>
        </w:rPr>
        <w:t>征求意见稿</w:t>
      </w:r>
      <w:bookmarkStart w:id="75" w:name="_GoBack"/>
      <w:bookmarkEnd w:id="75"/>
      <w:r>
        <w:rPr>
          <w:rFonts w:ascii="Times New Roman" w:hAnsi="Times New Roman" w:eastAsia="楷体_GB2312"/>
          <w:color w:val="auto"/>
          <w:sz w:val="44"/>
          <w:szCs w:val="44"/>
        </w:rPr>
        <w:t>）</w:t>
      </w:r>
    </w:p>
    <w:p>
      <w:pPr>
        <w:tabs>
          <w:tab w:val="left" w:pos="720"/>
        </w:tabs>
        <w:autoSpaceDE w:val="0"/>
        <w:autoSpaceDN w:val="0"/>
        <w:ind w:right="18"/>
        <w:jc w:val="left"/>
        <w:rPr>
          <w:rFonts w:ascii="Times New Roman" w:hAnsi="Times New Roman"/>
          <w:color w:val="auto"/>
          <w:sz w:val="28"/>
          <w:szCs w:val="28"/>
        </w:rPr>
      </w:pPr>
    </w:p>
    <w:p>
      <w:pPr>
        <w:tabs>
          <w:tab w:val="left" w:pos="720"/>
        </w:tabs>
        <w:autoSpaceDE w:val="0"/>
        <w:autoSpaceDN w:val="0"/>
        <w:ind w:left="352" w:right="18" w:hanging="180"/>
        <w:jc w:val="left"/>
        <w:rPr>
          <w:rFonts w:ascii="Times New Roman" w:hAnsi="Times New Roman"/>
          <w:color w:val="auto"/>
          <w:sz w:val="28"/>
          <w:szCs w:val="28"/>
        </w:rPr>
      </w:pPr>
    </w:p>
    <w:p>
      <w:pPr>
        <w:tabs>
          <w:tab w:val="left" w:pos="720"/>
        </w:tabs>
        <w:autoSpaceDE w:val="0"/>
        <w:autoSpaceDN w:val="0"/>
        <w:ind w:left="352" w:right="18" w:hanging="180"/>
        <w:jc w:val="left"/>
        <w:rPr>
          <w:rFonts w:ascii="Times New Roman" w:hAnsi="Times New Roman"/>
          <w:color w:val="auto"/>
          <w:sz w:val="28"/>
          <w:szCs w:val="28"/>
        </w:rPr>
      </w:pPr>
    </w:p>
    <w:p>
      <w:pPr>
        <w:tabs>
          <w:tab w:val="left" w:pos="720"/>
        </w:tabs>
        <w:autoSpaceDE w:val="0"/>
        <w:autoSpaceDN w:val="0"/>
        <w:ind w:left="352" w:right="18" w:hanging="180"/>
        <w:jc w:val="left"/>
        <w:rPr>
          <w:rFonts w:ascii="Times New Roman" w:hAnsi="Times New Roman"/>
          <w:color w:val="auto"/>
          <w:sz w:val="28"/>
          <w:szCs w:val="28"/>
        </w:rPr>
      </w:pPr>
    </w:p>
    <w:p>
      <w:pPr>
        <w:tabs>
          <w:tab w:val="left" w:pos="720"/>
        </w:tabs>
        <w:autoSpaceDE w:val="0"/>
        <w:autoSpaceDN w:val="0"/>
        <w:ind w:left="352" w:right="18" w:hanging="180"/>
        <w:jc w:val="left"/>
        <w:rPr>
          <w:rFonts w:ascii="Times New Roman" w:hAnsi="Times New Roman"/>
          <w:color w:val="auto"/>
          <w:sz w:val="28"/>
          <w:szCs w:val="28"/>
        </w:rPr>
      </w:pPr>
    </w:p>
    <w:p>
      <w:pPr>
        <w:pStyle w:val="12"/>
        <w:ind w:firstLine="560"/>
        <w:rPr>
          <w:rFonts w:ascii="Times New Roman" w:hAnsi="Times New Roman"/>
          <w:color w:val="auto"/>
          <w:sz w:val="28"/>
          <w:szCs w:val="28"/>
        </w:rPr>
      </w:pPr>
    </w:p>
    <w:p>
      <w:pPr>
        <w:pStyle w:val="12"/>
        <w:ind w:firstLine="560"/>
        <w:rPr>
          <w:rFonts w:ascii="Times New Roman" w:hAnsi="Times New Roman"/>
          <w:color w:val="auto"/>
          <w:sz w:val="28"/>
          <w:szCs w:val="28"/>
        </w:rPr>
      </w:pPr>
    </w:p>
    <w:p>
      <w:pPr>
        <w:pStyle w:val="12"/>
        <w:ind w:firstLine="560"/>
        <w:rPr>
          <w:rFonts w:ascii="Times New Roman" w:hAnsi="Times New Roman"/>
          <w:color w:val="auto"/>
          <w:sz w:val="28"/>
          <w:szCs w:val="28"/>
        </w:rPr>
      </w:pPr>
    </w:p>
    <w:p>
      <w:pPr>
        <w:pStyle w:val="12"/>
        <w:ind w:firstLine="560"/>
        <w:rPr>
          <w:rFonts w:ascii="Times New Roman" w:hAnsi="Times New Roman"/>
          <w:color w:val="auto"/>
          <w:sz w:val="28"/>
          <w:szCs w:val="28"/>
        </w:rPr>
      </w:pPr>
    </w:p>
    <w:p>
      <w:pPr>
        <w:pStyle w:val="12"/>
        <w:ind w:firstLine="560"/>
        <w:rPr>
          <w:rFonts w:ascii="Times New Roman" w:hAnsi="Times New Roman"/>
          <w:color w:val="auto"/>
          <w:sz w:val="28"/>
          <w:szCs w:val="28"/>
        </w:rPr>
      </w:pPr>
    </w:p>
    <w:p>
      <w:pPr>
        <w:pStyle w:val="12"/>
        <w:ind w:firstLine="560"/>
        <w:rPr>
          <w:rFonts w:ascii="Times New Roman" w:hAnsi="Times New Roman"/>
          <w:color w:val="auto"/>
          <w:sz w:val="28"/>
          <w:szCs w:val="28"/>
        </w:rPr>
      </w:pPr>
    </w:p>
    <w:p>
      <w:pPr>
        <w:pStyle w:val="12"/>
        <w:ind w:firstLine="560"/>
        <w:rPr>
          <w:rFonts w:ascii="Times New Roman" w:hAnsi="Times New Roman"/>
          <w:color w:val="auto"/>
          <w:sz w:val="28"/>
          <w:szCs w:val="28"/>
        </w:rPr>
      </w:pPr>
    </w:p>
    <w:p>
      <w:pPr>
        <w:pStyle w:val="12"/>
        <w:ind w:firstLine="560"/>
        <w:rPr>
          <w:rFonts w:ascii="Times New Roman" w:hAnsi="Times New Roman"/>
          <w:color w:val="auto"/>
          <w:sz w:val="28"/>
          <w:szCs w:val="28"/>
        </w:rPr>
      </w:pPr>
    </w:p>
    <w:p>
      <w:pPr>
        <w:pStyle w:val="12"/>
        <w:ind w:firstLine="560"/>
        <w:rPr>
          <w:rFonts w:ascii="Times New Roman" w:hAnsi="Times New Roman"/>
          <w:color w:val="auto"/>
          <w:sz w:val="28"/>
          <w:szCs w:val="28"/>
        </w:rPr>
      </w:pPr>
    </w:p>
    <w:p>
      <w:pPr>
        <w:pStyle w:val="12"/>
        <w:ind w:firstLine="560"/>
        <w:rPr>
          <w:rFonts w:ascii="Times New Roman" w:hAnsi="Times New Roman"/>
          <w:color w:val="auto"/>
          <w:sz w:val="28"/>
          <w:szCs w:val="28"/>
        </w:rPr>
      </w:pPr>
    </w:p>
    <w:p>
      <w:pPr>
        <w:pStyle w:val="12"/>
        <w:ind w:firstLine="560"/>
        <w:rPr>
          <w:rFonts w:ascii="Times New Roman" w:hAnsi="Times New Roman"/>
          <w:color w:val="auto"/>
          <w:sz w:val="28"/>
          <w:szCs w:val="28"/>
        </w:rPr>
      </w:pPr>
    </w:p>
    <w:p>
      <w:pPr>
        <w:pStyle w:val="12"/>
        <w:ind w:firstLine="560"/>
        <w:rPr>
          <w:rFonts w:ascii="Times New Roman" w:hAnsi="Times New Roman"/>
          <w:color w:val="auto"/>
          <w:sz w:val="28"/>
          <w:szCs w:val="28"/>
        </w:rPr>
      </w:pPr>
    </w:p>
    <w:p>
      <w:pPr>
        <w:pStyle w:val="12"/>
        <w:ind w:firstLine="560"/>
        <w:rPr>
          <w:rFonts w:ascii="Times New Roman" w:hAnsi="Times New Roman"/>
          <w:color w:val="auto"/>
          <w:sz w:val="28"/>
          <w:szCs w:val="28"/>
        </w:rPr>
      </w:pPr>
    </w:p>
    <w:p>
      <w:pPr>
        <w:pStyle w:val="12"/>
        <w:ind w:firstLine="560"/>
        <w:rPr>
          <w:rFonts w:ascii="Times New Roman" w:hAnsi="Times New Roman"/>
          <w:color w:val="auto"/>
          <w:sz w:val="28"/>
          <w:szCs w:val="28"/>
        </w:rPr>
      </w:pPr>
    </w:p>
    <w:p>
      <w:pPr>
        <w:pStyle w:val="12"/>
        <w:ind w:firstLine="560"/>
        <w:rPr>
          <w:rFonts w:ascii="Times New Roman" w:hAnsi="Times New Roman"/>
          <w:color w:val="auto"/>
          <w:sz w:val="28"/>
          <w:szCs w:val="28"/>
        </w:rPr>
      </w:pPr>
    </w:p>
    <w:p>
      <w:pPr>
        <w:pStyle w:val="12"/>
        <w:ind w:firstLine="560"/>
        <w:rPr>
          <w:rFonts w:ascii="Times New Roman" w:hAnsi="Times New Roman"/>
          <w:color w:val="auto"/>
          <w:sz w:val="28"/>
          <w:szCs w:val="28"/>
        </w:rPr>
      </w:pPr>
    </w:p>
    <w:p>
      <w:pPr>
        <w:tabs>
          <w:tab w:val="left" w:pos="720"/>
        </w:tabs>
        <w:autoSpaceDE w:val="0"/>
        <w:autoSpaceDN w:val="0"/>
        <w:ind w:left="352" w:right="18" w:hanging="180"/>
        <w:jc w:val="left"/>
        <w:rPr>
          <w:rFonts w:ascii="Times New Roman" w:hAnsi="Times New Roman"/>
          <w:color w:val="auto"/>
          <w:sz w:val="28"/>
          <w:szCs w:val="28"/>
        </w:rPr>
      </w:pPr>
    </w:p>
    <w:p>
      <w:pPr>
        <w:tabs>
          <w:tab w:val="left" w:pos="720"/>
        </w:tabs>
        <w:autoSpaceDE w:val="0"/>
        <w:autoSpaceDN w:val="0"/>
        <w:ind w:left="352" w:right="18" w:hanging="180"/>
        <w:jc w:val="left"/>
        <w:rPr>
          <w:rFonts w:ascii="Times New Roman" w:hAnsi="Times New Roman"/>
          <w:color w:val="auto"/>
          <w:sz w:val="28"/>
          <w:szCs w:val="28"/>
        </w:rPr>
      </w:pPr>
    </w:p>
    <w:p>
      <w:pPr>
        <w:tabs>
          <w:tab w:val="left" w:pos="720"/>
        </w:tabs>
        <w:autoSpaceDE w:val="0"/>
        <w:autoSpaceDN w:val="0"/>
        <w:rPr>
          <w:rFonts w:ascii="Times New Roman" w:hAnsi="Times New Roman" w:eastAsia="黑体"/>
          <w:bCs/>
          <w:color w:val="auto"/>
          <w:sz w:val="28"/>
          <w:szCs w:val="28"/>
        </w:rPr>
      </w:pPr>
      <w:r>
        <w:rPr>
          <w:rFonts w:ascii="Times New Roman" w:hAnsi="Times New Roman" w:eastAsia="黑体"/>
          <w:bCs/>
          <w:color w:val="auto"/>
          <w:sz w:val="28"/>
          <w:szCs w:val="28"/>
        </w:rPr>
        <w:t>202X-XX-XX公布                                 202X-XX-XX实施</w:t>
      </w:r>
    </w:p>
    <w:p>
      <w:pPr>
        <w:tabs>
          <w:tab w:val="left" w:pos="720"/>
        </w:tabs>
        <w:autoSpaceDE w:val="0"/>
        <w:autoSpaceDN w:val="0"/>
        <w:ind w:left="352" w:right="18" w:hanging="180"/>
        <w:rPr>
          <w:rFonts w:ascii="Times New Roman" w:hAnsi="Times New Roman"/>
          <w:color w:val="auto"/>
          <w:sz w:val="36"/>
        </w:rPr>
      </w:pPr>
      <w:r>
        <w:rPr>
          <w:rFonts w:ascii="Times New Roman" w:hAnsi="Times New Roman"/>
          <w:color w:val="auto"/>
          <w:sz w:val="36"/>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99060</wp:posOffset>
                </wp:positionV>
                <wp:extent cx="5760085" cy="0"/>
                <wp:effectExtent l="0" t="4445" r="0" b="5080"/>
                <wp:wrapNone/>
                <wp:docPr id="609183050" name="直接连接符 2"/>
                <wp:cNvGraphicFramePr/>
                <a:graphic xmlns:a="http://schemas.openxmlformats.org/drawingml/2006/main">
                  <a:graphicData uri="http://schemas.microsoft.com/office/word/2010/wordprocessingShape">
                    <wps:wsp>
                      <wps:cNvCnPr>
                        <a:cxnSpLocks noChangeShapeType="true"/>
                      </wps:cNvCnPr>
                      <wps:spPr bwMode="auto">
                        <a:xfrm>
                          <a:off x="0" y="0"/>
                          <a:ext cx="5760085" cy="0"/>
                        </a:xfrm>
                        <a:prstGeom prst="line">
                          <a:avLst/>
                        </a:prstGeom>
                        <a:noFill/>
                        <a:ln w="9525">
                          <a:solidFill>
                            <a:srgbClr val="000000"/>
                          </a:solidFill>
                          <a:round/>
                        </a:ln>
                        <a:effectLst/>
                      </wps:spPr>
                      <wps:bodyPr/>
                    </wps:wsp>
                  </a:graphicData>
                </a:graphic>
              </wp:anchor>
            </w:drawing>
          </mc:Choice>
          <mc:Fallback>
            <w:pict>
              <v:line id="直接连接符 2" o:spid="_x0000_s1026" o:spt="20" style="position:absolute;left:0pt;margin-top:7.8pt;height:0pt;width:453.55pt;mso-position-horizontal:center;z-index:251659264;mso-width-relative:page;mso-height-relative:page;" filled="f" stroked="t" coordsize="21600,21600" o:gfxdata="UEsFBgAAAAAAAAAAAAAAAAAAAAAAAFBLAwQKAAAAAACHTuJAAAAAAAAAAAAAAAAABAAAAGRycy9Q&#10;SwMEFAAAAAgAh07iQCYg18PTAAAABgEAAA8AAABkcnMvZG93bnJldi54bWxNj81OwzAQhO9IvIO1&#10;SFyq1k4RLYQ4PQC5caGAuG7jJYmI12ns/sDTs6gHOM7MaubbYnX0vdrTGLvAFrKZAUVcB9dxY+H1&#10;pZregIoJ2WEfmCx8UYRVeX5WYO7CgZ9pv06NkhKOOVpoUxpyrWPdksc4CwOxZB9h9JhEjo12Ix6k&#10;3Pd6bsxCe+xYFloc6L6l+nO98xZi9Ubb6ntST8z7VRNovn14ekRrLy8ycwcq0TH9HcMvvqBDKUyb&#10;sGMXVW9BHkniXi9ASXprlhmozcnQZaH/45c/UEsDBBQAAAAIAIdO4kBFouCf1wEAAHUDAAAOAAAA&#10;ZHJzL2Uyb0RvYy54bWytU8GO0zAQvSPxD5bvNGlRSjdquoeulssClXb5ANd2EgvHY9luk/4EP4DE&#10;DU4cufM3LJ/B2G3K7nJD5DCKPTNv5r0ZLy+HTpO9dF6Bqeh0klMiDQehTFPR93fXLxaU+MCMYBqM&#10;rOhBenq5ev5s2dtSzqAFLaQjCGJ82duKtiHYMss8b2XH/ASsNOiswXUs4NE1mXCsR/ROZ7M8n2c9&#10;OGEdcOk93l4dnXSV8Ota8vCurr0MRFcUewvJumS30WarJSsbx2yr+KkN9g9ddEwZLHqGumKBkZ1T&#10;f0F1ijvwUIcJhy6DulZcJg7IZpo/YXPbMisTFxTH27NM/v/B8rf7jSNKVHSeX0wXL/MCVTKsw1Hd&#10;f/r+8+OXXz8+o73/9pXMoli99SXmrM3GRbp8MLf2BvgHTwysW2YamZq+O1hECG4nY1L2KCsevMWq&#10;2/4NCAxjuwBJvKF2XURFWciQZnQ4z0gOgXC8LF7N83xRUMJHX8bKMdE6H15L6Ej8qahWJsrHSra/&#10;8SE2wsoxJF4buFZapxXQhvQVvShmRUrwoJWIzhjmXbNda0f2LC5R+hIr9DwMc7Az4lhEm5gn0/6d&#10;Ko+sjxJuQRw2bpQGZ5t6O+1hXJ6H5yTgn9ey+g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WAAAAZHJzL1BLAQIUABQAAAAIAIdO4kAmINfD&#10;0wAAAAYBAAAPAAAAAAAAAAEAIAAAADgAAABkcnMvZG93bnJldi54bWxQSwECFAAUAAAACACHTuJA&#10;RaLgn9cBAAB1AwAADgAAAAAAAAABACAAAAA4AQAAZHJzL2Uyb0RvYy54bWxQSwUGAAAAAAYABgBZ&#10;AQAAgQUAAAAA&#10;">
                <v:fill on="f" focussize="0,0"/>
                <v:stroke color="#000000" joinstyle="round"/>
                <v:imagedata o:title=""/>
                <o:lock v:ext="edit" aspectratio="f"/>
              </v:line>
            </w:pict>
          </mc:Fallback>
        </mc:AlternateContent>
      </w:r>
    </w:p>
    <w:p>
      <w:pPr>
        <w:tabs>
          <w:tab w:val="left" w:pos="720"/>
        </w:tabs>
        <w:autoSpaceDE w:val="0"/>
        <w:autoSpaceDN w:val="0"/>
        <w:ind w:left="352" w:right="18" w:hanging="180"/>
        <w:jc w:val="center"/>
        <w:rPr>
          <w:rFonts w:ascii="Times New Roman" w:hAnsi="Times New Roman" w:eastAsia="黑体"/>
          <w:bCs/>
          <w:color w:val="auto"/>
          <w:sz w:val="32"/>
          <w:szCs w:val="32"/>
        </w:rPr>
        <w:sectPr>
          <w:footerReference r:id="rId3" w:type="default"/>
          <w:pgSz w:w="11906" w:h="16838"/>
          <w:pgMar w:top="1418" w:right="1418" w:bottom="1418" w:left="1418" w:header="851" w:footer="992" w:gutter="0"/>
          <w:pgNumType w:start="1"/>
          <w:cols w:space="720" w:num="1"/>
          <w:docGrid w:linePitch="360" w:charSpace="6144"/>
        </w:sectPr>
      </w:pPr>
      <w:r>
        <w:rPr>
          <w:rFonts w:ascii="Times New Roman" w:hAnsi="Times New Roman" w:eastAsia="黑体"/>
          <w:bCs/>
          <w:color w:val="auto"/>
          <w:sz w:val="32"/>
        </w:rPr>
        <w:t>国家市场监督管理总局</w:t>
      </w:r>
    </w:p>
    <w:p>
      <w:pPr>
        <w:tabs>
          <w:tab w:val="left" w:pos="720"/>
        </w:tabs>
        <w:autoSpaceDE w:val="0"/>
        <w:autoSpaceDN w:val="0"/>
        <w:ind w:left="352" w:right="18" w:hanging="180"/>
        <w:jc w:val="center"/>
        <w:rPr>
          <w:rFonts w:ascii="Times New Roman" w:hAnsi="Times New Roman"/>
          <w:b/>
          <w:color w:val="auto"/>
          <w:sz w:val="32"/>
          <w:szCs w:val="32"/>
        </w:rPr>
      </w:pPr>
      <w:r>
        <w:rPr>
          <w:rFonts w:ascii="Times New Roman" w:hAnsi="Times New Roman"/>
          <w:b/>
          <w:color w:val="auto"/>
          <w:sz w:val="32"/>
          <w:szCs w:val="32"/>
        </w:rPr>
        <w:t>目录</w:t>
      </w:r>
    </w:p>
    <w:p>
      <w:pPr>
        <w:pStyle w:val="26"/>
        <w:tabs>
          <w:tab w:val="right" w:leader="dot" w:pos="9062"/>
        </w:tabs>
        <w:spacing w:line="288" w:lineRule="auto"/>
        <w:outlineLvl w:val="0"/>
        <w:rPr>
          <w:rStyle w:val="44"/>
          <w:rFonts w:ascii="Times New Roman" w:hAnsi="Times New Roman"/>
          <w:b w:val="0"/>
          <w:color w:val="auto"/>
          <w:sz w:val="24"/>
          <w:szCs w:val="24"/>
          <w:u w:val="none"/>
        </w:rPr>
      </w:pPr>
      <w:r>
        <w:rPr>
          <w:rStyle w:val="44"/>
          <w:rFonts w:ascii="Times New Roman" w:hAnsi="Times New Roman"/>
          <w:b w:val="0"/>
          <w:color w:val="auto"/>
          <w:sz w:val="24"/>
          <w:szCs w:val="24"/>
          <w:u w:val="none"/>
        </w:rPr>
        <w:t>第一章 总则</w:t>
      </w:r>
      <w:r>
        <w:rPr>
          <w:rStyle w:val="44"/>
          <w:rFonts w:ascii="Times New Roman" w:hAnsi="Times New Roman"/>
          <w:b w:val="0"/>
          <w:color w:val="auto"/>
          <w:sz w:val="24"/>
          <w:szCs w:val="24"/>
          <w:u w:val="none"/>
        </w:rPr>
        <w:tab/>
      </w:r>
      <w:r>
        <w:rPr>
          <w:rStyle w:val="44"/>
          <w:rFonts w:ascii="Times New Roman" w:hAnsi="Times New Roman"/>
          <w:b w:val="0"/>
          <w:color w:val="auto"/>
          <w:sz w:val="24"/>
          <w:szCs w:val="24"/>
          <w:u w:val="none"/>
        </w:rPr>
        <w:t>1</w:t>
      </w:r>
    </w:p>
    <w:p>
      <w:pPr>
        <w:pStyle w:val="26"/>
        <w:tabs>
          <w:tab w:val="right" w:leader="dot" w:pos="9062"/>
        </w:tabs>
        <w:spacing w:line="288" w:lineRule="auto"/>
        <w:outlineLvl w:val="0"/>
        <w:rPr>
          <w:rStyle w:val="44"/>
          <w:rFonts w:ascii="Times New Roman" w:hAnsi="Times New Roman"/>
          <w:b w:val="0"/>
          <w:color w:val="auto"/>
          <w:sz w:val="24"/>
          <w:szCs w:val="24"/>
          <w:u w:val="none"/>
        </w:rPr>
      </w:pPr>
      <w:r>
        <w:rPr>
          <w:rStyle w:val="44"/>
          <w:rFonts w:ascii="Times New Roman" w:hAnsi="Times New Roman"/>
          <w:b w:val="0"/>
          <w:color w:val="auto"/>
          <w:sz w:val="24"/>
          <w:szCs w:val="24"/>
          <w:u w:val="none"/>
        </w:rPr>
        <w:t>第二章 发证产品及标准</w:t>
      </w:r>
      <w:r>
        <w:rPr>
          <w:rStyle w:val="44"/>
          <w:rFonts w:ascii="Times New Roman" w:hAnsi="Times New Roman"/>
          <w:b w:val="0"/>
          <w:color w:val="auto"/>
          <w:sz w:val="24"/>
          <w:szCs w:val="24"/>
          <w:u w:val="none"/>
        </w:rPr>
        <w:tab/>
      </w:r>
      <w:r>
        <w:rPr>
          <w:rStyle w:val="44"/>
          <w:rFonts w:ascii="Times New Roman" w:hAnsi="Times New Roman"/>
          <w:b w:val="0"/>
          <w:color w:val="auto"/>
          <w:sz w:val="24"/>
          <w:szCs w:val="24"/>
          <w:u w:val="none"/>
        </w:rPr>
        <w:t>1</w:t>
      </w:r>
    </w:p>
    <w:p>
      <w:pPr>
        <w:pStyle w:val="26"/>
        <w:tabs>
          <w:tab w:val="right" w:leader="dot" w:pos="9062"/>
        </w:tabs>
        <w:spacing w:line="288" w:lineRule="auto"/>
        <w:outlineLvl w:val="0"/>
        <w:rPr>
          <w:rStyle w:val="44"/>
          <w:rFonts w:ascii="Times New Roman" w:hAnsi="Times New Roman"/>
          <w:b w:val="0"/>
          <w:color w:val="auto"/>
          <w:sz w:val="24"/>
          <w:szCs w:val="24"/>
          <w:u w:val="none"/>
        </w:rPr>
      </w:pPr>
      <w:r>
        <w:rPr>
          <w:rStyle w:val="44"/>
          <w:rFonts w:ascii="Times New Roman" w:hAnsi="Times New Roman"/>
          <w:b w:val="0"/>
          <w:color w:val="auto"/>
          <w:sz w:val="24"/>
          <w:szCs w:val="24"/>
          <w:u w:val="none"/>
        </w:rPr>
        <w:t>第三章 企业申请生产许可证的基本条件和资料</w:t>
      </w:r>
      <w:r>
        <w:rPr>
          <w:rStyle w:val="44"/>
          <w:rFonts w:ascii="Times New Roman" w:hAnsi="Times New Roman"/>
          <w:b w:val="0"/>
          <w:color w:val="auto"/>
          <w:sz w:val="24"/>
          <w:szCs w:val="24"/>
          <w:u w:val="none"/>
        </w:rPr>
        <w:tab/>
      </w:r>
      <w:r>
        <w:rPr>
          <w:rStyle w:val="44"/>
          <w:rFonts w:ascii="Times New Roman" w:hAnsi="Times New Roman"/>
          <w:b w:val="0"/>
          <w:color w:val="auto"/>
          <w:sz w:val="24"/>
          <w:szCs w:val="24"/>
          <w:u w:val="none"/>
        </w:rPr>
        <w:t>7</w:t>
      </w:r>
    </w:p>
    <w:p>
      <w:pPr>
        <w:pStyle w:val="26"/>
        <w:tabs>
          <w:tab w:val="right" w:leader="dot" w:pos="9062"/>
        </w:tabs>
        <w:spacing w:line="288" w:lineRule="auto"/>
        <w:outlineLvl w:val="0"/>
        <w:rPr>
          <w:rStyle w:val="44"/>
          <w:rFonts w:hint="eastAsia" w:ascii="Times New Roman" w:hAnsi="Times New Roman" w:eastAsia="宋体"/>
          <w:b w:val="0"/>
          <w:color w:val="auto"/>
          <w:sz w:val="24"/>
          <w:szCs w:val="24"/>
          <w:u w:val="none"/>
          <w:lang w:eastAsia="zh-CN"/>
        </w:rPr>
      </w:pPr>
      <w:r>
        <w:rPr>
          <w:rStyle w:val="44"/>
          <w:rFonts w:ascii="Times New Roman" w:hAnsi="Times New Roman"/>
          <w:b w:val="0"/>
          <w:color w:val="auto"/>
          <w:sz w:val="24"/>
          <w:szCs w:val="24"/>
          <w:u w:val="none"/>
        </w:rPr>
        <w:t>第四章 产品检验检测报告</w:t>
      </w:r>
      <w:r>
        <w:rPr>
          <w:rStyle w:val="44"/>
          <w:rFonts w:ascii="Times New Roman" w:hAnsi="Times New Roman"/>
          <w:b w:val="0"/>
          <w:color w:val="auto"/>
          <w:sz w:val="24"/>
          <w:szCs w:val="24"/>
          <w:u w:val="none"/>
        </w:rPr>
        <w:tab/>
      </w:r>
      <w:r>
        <w:rPr>
          <w:rStyle w:val="44"/>
          <w:rFonts w:ascii="Times New Roman" w:hAnsi="Times New Roman"/>
          <w:b w:val="0"/>
          <w:color w:val="auto"/>
          <w:sz w:val="24"/>
          <w:szCs w:val="24"/>
          <w:u w:val="none"/>
        </w:rPr>
        <w:t>2</w:t>
      </w:r>
      <w:r>
        <w:rPr>
          <w:rStyle w:val="44"/>
          <w:rFonts w:hint="eastAsia" w:ascii="Times New Roman" w:hAnsi="Times New Roman"/>
          <w:b w:val="0"/>
          <w:color w:val="auto"/>
          <w:sz w:val="24"/>
          <w:szCs w:val="24"/>
          <w:u w:val="none"/>
          <w:lang w:val="en-US" w:eastAsia="zh-CN"/>
        </w:rPr>
        <w:t>8</w:t>
      </w:r>
    </w:p>
    <w:p>
      <w:pPr>
        <w:pStyle w:val="26"/>
        <w:tabs>
          <w:tab w:val="right" w:leader="dot" w:pos="9062"/>
        </w:tabs>
        <w:spacing w:line="288" w:lineRule="auto"/>
        <w:outlineLvl w:val="0"/>
        <w:rPr>
          <w:rStyle w:val="44"/>
          <w:rFonts w:ascii="Times New Roman" w:hAnsi="Times New Roman"/>
          <w:b w:val="0"/>
          <w:color w:val="auto"/>
          <w:sz w:val="24"/>
          <w:szCs w:val="24"/>
          <w:u w:val="none"/>
        </w:rPr>
      </w:pPr>
      <w:r>
        <w:rPr>
          <w:rStyle w:val="44"/>
          <w:rFonts w:ascii="Times New Roman" w:hAnsi="Times New Roman"/>
          <w:b w:val="0"/>
          <w:color w:val="auto"/>
          <w:sz w:val="24"/>
          <w:szCs w:val="24"/>
          <w:u w:val="none"/>
        </w:rPr>
        <w:t>第五章 企业实地核查</w:t>
      </w:r>
      <w:r>
        <w:rPr>
          <w:rStyle w:val="44"/>
          <w:rFonts w:ascii="Times New Roman" w:hAnsi="Times New Roman"/>
          <w:b w:val="0"/>
          <w:color w:val="auto"/>
          <w:sz w:val="24"/>
          <w:szCs w:val="24"/>
          <w:u w:val="none"/>
        </w:rPr>
        <w:tab/>
      </w:r>
      <w:r>
        <w:rPr>
          <w:rStyle w:val="44"/>
          <w:rFonts w:ascii="Times New Roman" w:hAnsi="Times New Roman"/>
          <w:b w:val="0"/>
          <w:color w:val="auto"/>
          <w:sz w:val="24"/>
          <w:szCs w:val="24"/>
          <w:u w:val="none"/>
        </w:rPr>
        <w:t>29</w:t>
      </w:r>
    </w:p>
    <w:p>
      <w:pPr>
        <w:pStyle w:val="26"/>
        <w:tabs>
          <w:tab w:val="right" w:leader="dot" w:pos="9062"/>
        </w:tabs>
        <w:spacing w:line="288" w:lineRule="auto"/>
        <w:outlineLvl w:val="0"/>
        <w:rPr>
          <w:rStyle w:val="44"/>
          <w:rFonts w:ascii="Times New Roman" w:hAnsi="Times New Roman"/>
          <w:b w:val="0"/>
          <w:color w:val="auto"/>
          <w:sz w:val="24"/>
          <w:szCs w:val="24"/>
          <w:u w:val="none"/>
        </w:rPr>
      </w:pPr>
      <w:r>
        <w:rPr>
          <w:rStyle w:val="44"/>
          <w:rFonts w:ascii="Times New Roman" w:hAnsi="Times New Roman"/>
          <w:b w:val="0"/>
          <w:color w:val="auto"/>
          <w:sz w:val="24"/>
          <w:szCs w:val="24"/>
          <w:u w:val="none"/>
        </w:rPr>
        <w:t>第六章 证书许可范围</w:t>
      </w:r>
      <w:r>
        <w:rPr>
          <w:rStyle w:val="44"/>
          <w:rFonts w:ascii="Times New Roman" w:hAnsi="Times New Roman"/>
          <w:b w:val="0"/>
          <w:color w:val="auto"/>
          <w:sz w:val="24"/>
          <w:szCs w:val="24"/>
          <w:u w:val="none"/>
        </w:rPr>
        <w:tab/>
      </w:r>
      <w:r>
        <w:rPr>
          <w:rStyle w:val="44"/>
          <w:rFonts w:ascii="Times New Roman" w:hAnsi="Times New Roman"/>
          <w:b w:val="0"/>
          <w:color w:val="auto"/>
          <w:sz w:val="24"/>
          <w:szCs w:val="24"/>
          <w:u w:val="none"/>
        </w:rPr>
        <w:t>30</w:t>
      </w:r>
    </w:p>
    <w:p>
      <w:pPr>
        <w:pStyle w:val="26"/>
        <w:tabs>
          <w:tab w:val="right" w:leader="dot" w:pos="9062"/>
        </w:tabs>
        <w:spacing w:line="288" w:lineRule="auto"/>
        <w:outlineLvl w:val="0"/>
        <w:rPr>
          <w:rStyle w:val="44"/>
          <w:rFonts w:hint="eastAsia" w:ascii="Times New Roman" w:hAnsi="Times New Roman" w:eastAsia="宋体"/>
          <w:b w:val="0"/>
          <w:color w:val="auto"/>
          <w:sz w:val="24"/>
          <w:szCs w:val="24"/>
          <w:u w:val="none"/>
          <w:lang w:eastAsia="zh-CN"/>
        </w:rPr>
      </w:pPr>
      <w:r>
        <w:rPr>
          <w:rStyle w:val="44"/>
          <w:rFonts w:ascii="Times New Roman" w:hAnsi="Times New Roman"/>
          <w:b w:val="0"/>
          <w:color w:val="auto"/>
          <w:sz w:val="24"/>
          <w:szCs w:val="24"/>
          <w:u w:val="none"/>
        </w:rPr>
        <w:t>第七章 附则</w:t>
      </w:r>
      <w:r>
        <w:rPr>
          <w:rStyle w:val="44"/>
          <w:rFonts w:ascii="Times New Roman" w:hAnsi="Times New Roman"/>
          <w:b w:val="0"/>
          <w:color w:val="auto"/>
          <w:sz w:val="24"/>
          <w:szCs w:val="24"/>
          <w:u w:val="none"/>
        </w:rPr>
        <w:tab/>
      </w:r>
      <w:r>
        <w:rPr>
          <w:rStyle w:val="44"/>
          <w:rFonts w:ascii="Times New Roman" w:hAnsi="Times New Roman"/>
          <w:b w:val="0"/>
          <w:color w:val="auto"/>
          <w:sz w:val="24"/>
          <w:szCs w:val="24"/>
          <w:u w:val="none"/>
        </w:rPr>
        <w:t>3</w:t>
      </w:r>
      <w:r>
        <w:rPr>
          <w:rStyle w:val="44"/>
          <w:rFonts w:hint="eastAsia" w:ascii="Times New Roman" w:hAnsi="Times New Roman"/>
          <w:b w:val="0"/>
          <w:color w:val="auto"/>
          <w:sz w:val="24"/>
          <w:szCs w:val="24"/>
          <w:u w:val="none"/>
          <w:lang w:val="en-US" w:eastAsia="zh-CN"/>
        </w:rPr>
        <w:t>0</w:t>
      </w:r>
    </w:p>
    <w:p>
      <w:pPr>
        <w:pStyle w:val="26"/>
        <w:tabs>
          <w:tab w:val="right" w:leader="dot" w:pos="9062"/>
        </w:tabs>
        <w:spacing w:line="288" w:lineRule="auto"/>
        <w:outlineLvl w:val="0"/>
        <w:rPr>
          <w:rFonts w:ascii="Times New Roman" w:hAnsi="Times New Roman"/>
          <w:b w:val="0"/>
          <w:color w:val="auto"/>
          <w:sz w:val="24"/>
          <w:szCs w:val="24"/>
        </w:rPr>
      </w:pPr>
      <w:r>
        <w:rPr>
          <w:rStyle w:val="44"/>
          <w:rFonts w:ascii="Times New Roman" w:hAnsi="Times New Roman"/>
          <w:b w:val="0"/>
          <w:color w:val="auto"/>
          <w:sz w:val="24"/>
          <w:szCs w:val="24"/>
          <w:u w:val="none"/>
        </w:rPr>
        <w:t>附件1</w:t>
      </w:r>
      <w:r>
        <w:rPr>
          <w:rFonts w:ascii="Times New Roman" w:hAnsi="Times New Roman"/>
          <w:color w:val="auto"/>
        </w:rPr>
        <w:fldChar w:fldCharType="begin"/>
      </w:r>
      <w:r>
        <w:rPr>
          <w:rFonts w:ascii="Times New Roman" w:hAnsi="Times New Roman"/>
          <w:color w:val="auto"/>
        </w:rPr>
        <w:instrText xml:space="preserve"> HYPERLINK \l "_Toc162467092" \h </w:instrText>
      </w:r>
      <w:r>
        <w:rPr>
          <w:rFonts w:ascii="Times New Roman" w:hAnsi="Times New Roman"/>
          <w:color w:val="auto"/>
        </w:rPr>
        <w:fldChar w:fldCharType="separate"/>
      </w:r>
      <w:r>
        <w:rPr>
          <w:rStyle w:val="44"/>
          <w:rFonts w:ascii="Times New Roman" w:hAnsi="Times New Roman"/>
          <w:b w:val="0"/>
          <w:color w:val="auto"/>
          <w:sz w:val="24"/>
          <w:szCs w:val="24"/>
          <w:u w:val="none"/>
        </w:rPr>
        <w:t>检验检测项目及依据标准</w:t>
      </w:r>
      <w:r>
        <w:rPr>
          <w:rFonts w:ascii="Times New Roman" w:hAnsi="Times New Roman"/>
          <w:b w:val="0"/>
          <w:color w:val="auto"/>
          <w:sz w:val="24"/>
          <w:szCs w:val="24"/>
        </w:rPr>
        <w:tab/>
      </w:r>
      <w:r>
        <w:rPr>
          <w:rFonts w:ascii="Times New Roman" w:hAnsi="Times New Roman"/>
          <w:b w:val="0"/>
          <w:color w:val="auto"/>
          <w:sz w:val="24"/>
          <w:szCs w:val="24"/>
        </w:rPr>
        <w:fldChar w:fldCharType="end"/>
      </w:r>
      <w:r>
        <w:rPr>
          <w:rFonts w:ascii="Times New Roman" w:hAnsi="Times New Roman"/>
          <w:b w:val="0"/>
          <w:color w:val="auto"/>
          <w:sz w:val="24"/>
          <w:szCs w:val="24"/>
        </w:rPr>
        <w:t>32</w:t>
      </w:r>
    </w:p>
    <w:p>
      <w:pPr>
        <w:pStyle w:val="26"/>
        <w:tabs>
          <w:tab w:val="right" w:leader="dot" w:pos="9062"/>
        </w:tabs>
        <w:spacing w:line="288" w:lineRule="auto"/>
        <w:outlineLvl w:val="0"/>
        <w:rPr>
          <w:rFonts w:ascii="Times New Roman" w:hAnsi="Times New Roman"/>
          <w:b w:val="0"/>
          <w:color w:val="auto"/>
          <w:sz w:val="24"/>
          <w:szCs w:val="24"/>
        </w:rPr>
      </w:pPr>
      <w:r>
        <w:rPr>
          <w:rStyle w:val="44"/>
          <w:rFonts w:ascii="Times New Roman" w:hAnsi="Times New Roman"/>
          <w:b w:val="0"/>
          <w:color w:val="auto"/>
          <w:sz w:val="24"/>
          <w:szCs w:val="24"/>
          <w:u w:val="none"/>
        </w:rPr>
        <w:t>附件2</w:t>
      </w:r>
      <w:r>
        <w:rPr>
          <w:rFonts w:ascii="Times New Roman" w:hAnsi="Times New Roman"/>
          <w:color w:val="auto"/>
        </w:rPr>
        <w:fldChar w:fldCharType="begin"/>
      </w:r>
      <w:r>
        <w:rPr>
          <w:rFonts w:ascii="Times New Roman" w:hAnsi="Times New Roman"/>
          <w:color w:val="auto"/>
        </w:rPr>
        <w:instrText xml:space="preserve"> HYPERLINK \l "_Toc162467094" \h </w:instrText>
      </w:r>
      <w:r>
        <w:rPr>
          <w:rFonts w:ascii="Times New Roman" w:hAnsi="Times New Roman"/>
          <w:color w:val="auto"/>
        </w:rPr>
        <w:fldChar w:fldCharType="separate"/>
      </w:r>
      <w:r>
        <w:rPr>
          <w:rStyle w:val="44"/>
          <w:rFonts w:ascii="Times New Roman" w:hAnsi="Times New Roman"/>
          <w:b w:val="0"/>
          <w:color w:val="auto"/>
          <w:sz w:val="24"/>
          <w:szCs w:val="24"/>
          <w:u w:val="none"/>
        </w:rPr>
        <w:t>企业核查时需准备的书面材料清单</w:t>
      </w:r>
      <w:r>
        <w:rPr>
          <w:rFonts w:ascii="Times New Roman" w:hAnsi="Times New Roman"/>
          <w:b w:val="0"/>
          <w:color w:val="auto"/>
          <w:sz w:val="24"/>
          <w:szCs w:val="24"/>
        </w:rPr>
        <w:tab/>
      </w:r>
      <w:r>
        <w:rPr>
          <w:rFonts w:ascii="Times New Roman" w:hAnsi="Times New Roman"/>
          <w:b w:val="0"/>
          <w:color w:val="auto"/>
          <w:sz w:val="24"/>
          <w:szCs w:val="24"/>
        </w:rPr>
        <w:fldChar w:fldCharType="end"/>
      </w:r>
      <w:r>
        <w:rPr>
          <w:rFonts w:ascii="Times New Roman" w:hAnsi="Times New Roman"/>
          <w:b w:val="0"/>
          <w:color w:val="auto"/>
          <w:sz w:val="24"/>
          <w:szCs w:val="24"/>
        </w:rPr>
        <w:t>36</w:t>
      </w:r>
    </w:p>
    <w:p>
      <w:pPr>
        <w:pStyle w:val="26"/>
        <w:tabs>
          <w:tab w:val="right" w:leader="dot" w:pos="9062"/>
        </w:tabs>
        <w:spacing w:line="288" w:lineRule="auto"/>
        <w:outlineLvl w:val="0"/>
        <w:rPr>
          <w:rFonts w:ascii="Times New Roman" w:hAnsi="Times New Roman"/>
          <w:b w:val="0"/>
          <w:color w:val="auto"/>
          <w:sz w:val="24"/>
          <w:szCs w:val="24"/>
        </w:rPr>
      </w:pPr>
      <w:r>
        <w:rPr>
          <w:rFonts w:ascii="Times New Roman" w:hAnsi="Times New Roman"/>
          <w:color w:val="auto"/>
        </w:rPr>
        <w:fldChar w:fldCharType="begin"/>
      </w:r>
      <w:r>
        <w:rPr>
          <w:rFonts w:ascii="Times New Roman" w:hAnsi="Times New Roman"/>
          <w:color w:val="auto"/>
        </w:rPr>
        <w:instrText xml:space="preserve"> HYPERLINK \l "_Toc162467095" \h </w:instrText>
      </w:r>
      <w:r>
        <w:rPr>
          <w:rFonts w:ascii="Times New Roman" w:hAnsi="Times New Roman"/>
          <w:color w:val="auto"/>
        </w:rPr>
        <w:fldChar w:fldCharType="separate"/>
      </w:r>
      <w:r>
        <w:rPr>
          <w:rStyle w:val="44"/>
          <w:rFonts w:ascii="Times New Roman" w:hAnsi="Times New Roman"/>
          <w:b w:val="0"/>
          <w:color w:val="auto"/>
          <w:sz w:val="24"/>
          <w:szCs w:val="24"/>
          <w:u w:val="none"/>
        </w:rPr>
        <w:t>附件2-1</w:t>
      </w:r>
      <w:r>
        <w:rPr>
          <w:rFonts w:ascii="Times New Roman" w:hAnsi="Times New Roman"/>
          <w:b w:val="0"/>
          <w:color w:val="auto"/>
          <w:sz w:val="24"/>
          <w:szCs w:val="24"/>
        </w:rPr>
        <w:t>生产场所示意图</w:t>
      </w:r>
      <w:r>
        <w:rPr>
          <w:rFonts w:ascii="Times New Roman" w:hAnsi="Times New Roman"/>
          <w:b w:val="0"/>
          <w:color w:val="auto"/>
          <w:sz w:val="24"/>
          <w:szCs w:val="24"/>
        </w:rPr>
        <w:tab/>
      </w:r>
      <w:r>
        <w:rPr>
          <w:rFonts w:ascii="Times New Roman" w:hAnsi="Times New Roman"/>
          <w:b w:val="0"/>
          <w:color w:val="auto"/>
          <w:sz w:val="24"/>
          <w:szCs w:val="24"/>
        </w:rPr>
        <w:fldChar w:fldCharType="end"/>
      </w:r>
      <w:r>
        <w:rPr>
          <w:rFonts w:ascii="Times New Roman" w:hAnsi="Times New Roman"/>
          <w:b w:val="0"/>
          <w:color w:val="auto"/>
          <w:sz w:val="24"/>
          <w:szCs w:val="24"/>
        </w:rPr>
        <w:t>37</w:t>
      </w:r>
    </w:p>
    <w:p>
      <w:pPr>
        <w:pStyle w:val="26"/>
        <w:tabs>
          <w:tab w:val="right" w:leader="dot" w:pos="9062"/>
        </w:tabs>
        <w:spacing w:line="288" w:lineRule="auto"/>
        <w:outlineLvl w:val="0"/>
        <w:rPr>
          <w:rFonts w:ascii="Times New Roman" w:hAnsi="Times New Roman"/>
          <w:b w:val="0"/>
          <w:color w:val="auto"/>
          <w:sz w:val="24"/>
          <w:szCs w:val="24"/>
        </w:rPr>
      </w:pPr>
      <w:r>
        <w:rPr>
          <w:rFonts w:ascii="Times New Roman" w:hAnsi="Times New Roman"/>
          <w:color w:val="auto"/>
        </w:rPr>
        <w:fldChar w:fldCharType="begin"/>
      </w:r>
      <w:r>
        <w:rPr>
          <w:rFonts w:ascii="Times New Roman" w:hAnsi="Times New Roman"/>
          <w:color w:val="auto"/>
        </w:rPr>
        <w:instrText xml:space="preserve"> HYPERLINK \l "_Toc162467096" \h </w:instrText>
      </w:r>
      <w:r>
        <w:rPr>
          <w:rFonts w:ascii="Times New Roman" w:hAnsi="Times New Roman"/>
          <w:color w:val="auto"/>
        </w:rPr>
        <w:fldChar w:fldCharType="separate"/>
      </w:r>
      <w:r>
        <w:rPr>
          <w:rStyle w:val="44"/>
          <w:rFonts w:ascii="Times New Roman" w:hAnsi="Times New Roman"/>
          <w:b w:val="0"/>
          <w:color w:val="auto"/>
          <w:sz w:val="24"/>
          <w:szCs w:val="24"/>
          <w:u w:val="none"/>
        </w:rPr>
        <w:t>附件2-2</w:t>
      </w:r>
      <w:r>
        <w:rPr>
          <w:rFonts w:ascii="Times New Roman" w:hAnsi="Times New Roman"/>
          <w:b w:val="0"/>
          <w:color w:val="auto"/>
          <w:sz w:val="24"/>
          <w:szCs w:val="24"/>
        </w:rPr>
        <w:t>主要工艺流程图</w:t>
      </w:r>
      <w:r>
        <w:rPr>
          <w:rFonts w:ascii="Times New Roman" w:hAnsi="Times New Roman"/>
          <w:b w:val="0"/>
          <w:color w:val="auto"/>
          <w:sz w:val="24"/>
          <w:szCs w:val="24"/>
        </w:rPr>
        <w:tab/>
      </w:r>
      <w:r>
        <w:rPr>
          <w:rFonts w:ascii="Times New Roman" w:hAnsi="Times New Roman"/>
          <w:b w:val="0"/>
          <w:color w:val="auto"/>
          <w:sz w:val="24"/>
          <w:szCs w:val="24"/>
        </w:rPr>
        <w:fldChar w:fldCharType="end"/>
      </w:r>
      <w:r>
        <w:rPr>
          <w:rFonts w:ascii="Times New Roman" w:hAnsi="Times New Roman"/>
          <w:b w:val="0"/>
          <w:color w:val="auto"/>
          <w:sz w:val="24"/>
          <w:szCs w:val="24"/>
        </w:rPr>
        <w:t>38</w:t>
      </w:r>
    </w:p>
    <w:p>
      <w:pPr>
        <w:pStyle w:val="26"/>
        <w:tabs>
          <w:tab w:val="right" w:leader="dot" w:pos="9062"/>
        </w:tabs>
        <w:spacing w:line="288" w:lineRule="auto"/>
        <w:outlineLvl w:val="0"/>
        <w:rPr>
          <w:rFonts w:ascii="Times New Roman" w:hAnsi="Times New Roman"/>
          <w:b w:val="0"/>
          <w:color w:val="auto"/>
          <w:sz w:val="24"/>
          <w:szCs w:val="24"/>
        </w:rPr>
      </w:pPr>
      <w:r>
        <w:rPr>
          <w:rFonts w:ascii="Times New Roman" w:hAnsi="Times New Roman"/>
          <w:color w:val="auto"/>
        </w:rPr>
        <w:fldChar w:fldCharType="begin"/>
      </w:r>
      <w:r>
        <w:rPr>
          <w:rFonts w:ascii="Times New Roman" w:hAnsi="Times New Roman"/>
          <w:color w:val="auto"/>
        </w:rPr>
        <w:instrText xml:space="preserve"> HYPERLINK \l "_Toc162467098" \h </w:instrText>
      </w:r>
      <w:r>
        <w:rPr>
          <w:rFonts w:ascii="Times New Roman" w:hAnsi="Times New Roman"/>
          <w:color w:val="auto"/>
        </w:rPr>
        <w:fldChar w:fldCharType="separate"/>
      </w:r>
      <w:r>
        <w:rPr>
          <w:rStyle w:val="44"/>
          <w:rFonts w:ascii="Times New Roman" w:hAnsi="Times New Roman"/>
          <w:b w:val="0"/>
          <w:color w:val="auto"/>
          <w:sz w:val="24"/>
          <w:szCs w:val="24"/>
          <w:u w:val="none"/>
        </w:rPr>
        <w:t>附件2-3</w:t>
      </w:r>
      <w:r>
        <w:rPr>
          <w:rFonts w:ascii="Times New Roman" w:hAnsi="Times New Roman"/>
          <w:b w:val="0"/>
          <w:color w:val="auto"/>
          <w:sz w:val="24"/>
          <w:szCs w:val="24"/>
        </w:rPr>
        <w:t>主要生产设施和检验检测设施表</w:t>
      </w:r>
      <w:r>
        <w:rPr>
          <w:rFonts w:ascii="Times New Roman" w:hAnsi="Times New Roman"/>
          <w:b w:val="0"/>
          <w:color w:val="auto"/>
          <w:sz w:val="24"/>
          <w:szCs w:val="24"/>
        </w:rPr>
        <w:tab/>
      </w:r>
      <w:r>
        <w:rPr>
          <w:rFonts w:ascii="Times New Roman" w:hAnsi="Times New Roman"/>
          <w:b w:val="0"/>
          <w:color w:val="auto"/>
          <w:sz w:val="24"/>
          <w:szCs w:val="24"/>
        </w:rPr>
        <w:fldChar w:fldCharType="end"/>
      </w:r>
      <w:r>
        <w:rPr>
          <w:rFonts w:ascii="Times New Roman" w:hAnsi="Times New Roman"/>
          <w:b w:val="0"/>
          <w:color w:val="auto"/>
          <w:sz w:val="24"/>
          <w:szCs w:val="24"/>
        </w:rPr>
        <w:t>39</w:t>
      </w:r>
    </w:p>
    <w:p>
      <w:pPr>
        <w:pStyle w:val="26"/>
        <w:tabs>
          <w:tab w:val="right" w:leader="dot" w:pos="9062"/>
        </w:tabs>
        <w:spacing w:line="288" w:lineRule="auto"/>
        <w:outlineLvl w:val="0"/>
        <w:rPr>
          <w:rFonts w:ascii="Times New Roman" w:hAnsi="Times New Roman"/>
          <w:b w:val="0"/>
          <w:color w:val="auto"/>
          <w:sz w:val="24"/>
          <w:szCs w:val="24"/>
        </w:rPr>
      </w:pPr>
      <w:r>
        <w:rPr>
          <w:rFonts w:ascii="Times New Roman" w:hAnsi="Times New Roman"/>
          <w:color w:val="auto"/>
        </w:rPr>
        <w:fldChar w:fldCharType="begin"/>
      </w:r>
      <w:r>
        <w:rPr>
          <w:rFonts w:ascii="Times New Roman" w:hAnsi="Times New Roman"/>
          <w:color w:val="auto"/>
        </w:rPr>
        <w:instrText xml:space="preserve"> HYPERLINK \l "_Toc162467100" \h </w:instrText>
      </w:r>
      <w:r>
        <w:rPr>
          <w:rFonts w:ascii="Times New Roman" w:hAnsi="Times New Roman"/>
          <w:color w:val="auto"/>
        </w:rPr>
        <w:fldChar w:fldCharType="separate"/>
      </w:r>
      <w:r>
        <w:rPr>
          <w:rStyle w:val="44"/>
          <w:rFonts w:ascii="Times New Roman" w:hAnsi="Times New Roman"/>
          <w:b w:val="0"/>
          <w:color w:val="auto"/>
          <w:sz w:val="24"/>
          <w:szCs w:val="24"/>
          <w:u w:val="none"/>
        </w:rPr>
        <w:t>附件2-4</w:t>
      </w:r>
      <w:r>
        <w:rPr>
          <w:rFonts w:ascii="Times New Roman" w:hAnsi="Times New Roman"/>
          <w:b w:val="0"/>
          <w:color w:val="auto"/>
          <w:sz w:val="24"/>
          <w:szCs w:val="24"/>
        </w:rPr>
        <w:t>主要生产设备表</w:t>
      </w:r>
      <w:r>
        <w:rPr>
          <w:rFonts w:ascii="Times New Roman" w:hAnsi="Times New Roman"/>
          <w:b w:val="0"/>
          <w:color w:val="auto"/>
          <w:sz w:val="24"/>
          <w:szCs w:val="24"/>
        </w:rPr>
        <w:tab/>
      </w:r>
      <w:r>
        <w:rPr>
          <w:rFonts w:ascii="Times New Roman" w:hAnsi="Times New Roman"/>
          <w:b w:val="0"/>
          <w:color w:val="auto"/>
          <w:sz w:val="24"/>
          <w:szCs w:val="24"/>
        </w:rPr>
        <w:fldChar w:fldCharType="end"/>
      </w:r>
      <w:r>
        <w:rPr>
          <w:rFonts w:ascii="Times New Roman" w:hAnsi="Times New Roman"/>
          <w:b w:val="0"/>
          <w:color w:val="auto"/>
          <w:sz w:val="24"/>
          <w:szCs w:val="24"/>
        </w:rPr>
        <w:t>40</w:t>
      </w:r>
    </w:p>
    <w:p>
      <w:pPr>
        <w:pStyle w:val="26"/>
        <w:tabs>
          <w:tab w:val="right" w:leader="dot" w:pos="9062"/>
        </w:tabs>
        <w:spacing w:line="288" w:lineRule="auto"/>
        <w:outlineLvl w:val="0"/>
        <w:rPr>
          <w:rFonts w:ascii="Times New Roman" w:hAnsi="Times New Roman"/>
          <w:b w:val="0"/>
          <w:color w:val="auto"/>
          <w:sz w:val="24"/>
          <w:szCs w:val="24"/>
        </w:rPr>
      </w:pPr>
      <w:r>
        <w:rPr>
          <w:rFonts w:ascii="Times New Roman" w:hAnsi="Times New Roman"/>
          <w:color w:val="auto"/>
        </w:rPr>
        <w:fldChar w:fldCharType="begin"/>
      </w:r>
      <w:r>
        <w:rPr>
          <w:rFonts w:ascii="Times New Roman" w:hAnsi="Times New Roman"/>
          <w:color w:val="auto"/>
        </w:rPr>
        <w:instrText xml:space="preserve"> HYPERLINK \l "_Toc162467101" \h </w:instrText>
      </w:r>
      <w:r>
        <w:rPr>
          <w:rFonts w:ascii="Times New Roman" w:hAnsi="Times New Roman"/>
          <w:color w:val="auto"/>
        </w:rPr>
        <w:fldChar w:fldCharType="separate"/>
      </w:r>
      <w:r>
        <w:rPr>
          <w:rStyle w:val="44"/>
          <w:rFonts w:ascii="Times New Roman" w:hAnsi="Times New Roman"/>
          <w:b w:val="0"/>
          <w:color w:val="auto"/>
          <w:sz w:val="24"/>
          <w:szCs w:val="24"/>
          <w:u w:val="none"/>
        </w:rPr>
        <w:t>附件2-5</w:t>
      </w:r>
      <w:r>
        <w:rPr>
          <w:rFonts w:ascii="Times New Roman" w:hAnsi="Times New Roman"/>
          <w:b w:val="0"/>
          <w:color w:val="auto"/>
          <w:sz w:val="24"/>
          <w:szCs w:val="24"/>
        </w:rPr>
        <w:t>主要检验检测设备表</w:t>
      </w:r>
      <w:r>
        <w:rPr>
          <w:rFonts w:ascii="Times New Roman" w:hAnsi="Times New Roman"/>
          <w:b w:val="0"/>
          <w:color w:val="auto"/>
          <w:sz w:val="24"/>
          <w:szCs w:val="24"/>
        </w:rPr>
        <w:tab/>
      </w:r>
      <w:r>
        <w:rPr>
          <w:rFonts w:ascii="Times New Roman" w:hAnsi="Times New Roman"/>
          <w:b w:val="0"/>
          <w:color w:val="auto"/>
          <w:sz w:val="24"/>
          <w:szCs w:val="24"/>
        </w:rPr>
        <w:fldChar w:fldCharType="end"/>
      </w:r>
      <w:r>
        <w:rPr>
          <w:rFonts w:ascii="Times New Roman" w:hAnsi="Times New Roman"/>
          <w:b w:val="0"/>
          <w:color w:val="auto"/>
          <w:sz w:val="24"/>
          <w:szCs w:val="24"/>
        </w:rPr>
        <w:t>41</w:t>
      </w:r>
    </w:p>
    <w:p>
      <w:pPr>
        <w:pStyle w:val="26"/>
        <w:tabs>
          <w:tab w:val="right" w:leader="dot" w:pos="9062"/>
        </w:tabs>
        <w:spacing w:line="288" w:lineRule="auto"/>
        <w:outlineLvl w:val="0"/>
        <w:rPr>
          <w:rFonts w:ascii="Times New Roman" w:hAnsi="Times New Roman"/>
          <w:b w:val="0"/>
          <w:color w:val="auto"/>
          <w:sz w:val="24"/>
          <w:szCs w:val="24"/>
        </w:rPr>
      </w:pPr>
      <w:r>
        <w:rPr>
          <w:rFonts w:ascii="Times New Roman" w:hAnsi="Times New Roman"/>
          <w:color w:val="auto"/>
        </w:rPr>
        <w:fldChar w:fldCharType="begin"/>
      </w:r>
      <w:r>
        <w:rPr>
          <w:rFonts w:ascii="Times New Roman" w:hAnsi="Times New Roman"/>
          <w:color w:val="auto"/>
        </w:rPr>
        <w:instrText xml:space="preserve"> HYPERLINK \l "_Toc162467102" \h </w:instrText>
      </w:r>
      <w:r>
        <w:rPr>
          <w:rFonts w:ascii="Times New Roman" w:hAnsi="Times New Roman"/>
          <w:color w:val="auto"/>
        </w:rPr>
        <w:fldChar w:fldCharType="separate"/>
      </w:r>
      <w:r>
        <w:rPr>
          <w:rStyle w:val="44"/>
          <w:rFonts w:ascii="Times New Roman" w:hAnsi="Times New Roman"/>
          <w:b w:val="0"/>
          <w:color w:val="auto"/>
          <w:sz w:val="24"/>
          <w:szCs w:val="24"/>
          <w:u w:val="none"/>
        </w:rPr>
        <w:t>附件2-6</w:t>
      </w:r>
      <w:r>
        <w:rPr>
          <w:rFonts w:ascii="Times New Roman" w:hAnsi="Times New Roman"/>
          <w:b w:val="0"/>
          <w:color w:val="auto"/>
          <w:sz w:val="24"/>
          <w:szCs w:val="24"/>
        </w:rPr>
        <w:t>主要原材料明细表</w:t>
      </w:r>
      <w:r>
        <w:rPr>
          <w:rFonts w:ascii="Times New Roman" w:hAnsi="Times New Roman"/>
          <w:b w:val="0"/>
          <w:color w:val="auto"/>
          <w:sz w:val="24"/>
          <w:szCs w:val="24"/>
        </w:rPr>
        <w:tab/>
      </w:r>
      <w:r>
        <w:rPr>
          <w:rFonts w:ascii="Times New Roman" w:hAnsi="Times New Roman"/>
          <w:b w:val="0"/>
          <w:color w:val="auto"/>
          <w:sz w:val="24"/>
          <w:szCs w:val="24"/>
        </w:rPr>
        <w:fldChar w:fldCharType="end"/>
      </w:r>
      <w:r>
        <w:rPr>
          <w:rFonts w:ascii="Times New Roman" w:hAnsi="Times New Roman"/>
          <w:b w:val="0"/>
          <w:color w:val="auto"/>
          <w:sz w:val="24"/>
          <w:szCs w:val="24"/>
        </w:rPr>
        <w:t>42</w:t>
      </w:r>
    </w:p>
    <w:p>
      <w:pPr>
        <w:pStyle w:val="26"/>
        <w:tabs>
          <w:tab w:val="right" w:leader="dot" w:pos="9062"/>
        </w:tabs>
        <w:spacing w:line="288" w:lineRule="auto"/>
        <w:outlineLvl w:val="0"/>
        <w:rPr>
          <w:rFonts w:ascii="Times New Roman" w:hAnsi="Times New Roman"/>
          <w:b w:val="0"/>
          <w:color w:val="auto"/>
          <w:sz w:val="24"/>
          <w:szCs w:val="24"/>
        </w:rPr>
      </w:pPr>
      <w:r>
        <w:rPr>
          <w:rFonts w:ascii="Times New Roman" w:hAnsi="Times New Roman"/>
          <w:color w:val="auto"/>
        </w:rPr>
        <w:fldChar w:fldCharType="begin"/>
      </w:r>
      <w:r>
        <w:rPr>
          <w:rFonts w:ascii="Times New Roman" w:hAnsi="Times New Roman"/>
          <w:color w:val="auto"/>
        </w:rPr>
        <w:instrText xml:space="preserve"> HYPERLINK \l "_Toc162467103" \h </w:instrText>
      </w:r>
      <w:r>
        <w:rPr>
          <w:rFonts w:ascii="Times New Roman" w:hAnsi="Times New Roman"/>
          <w:color w:val="auto"/>
        </w:rPr>
        <w:fldChar w:fldCharType="separate"/>
      </w:r>
      <w:r>
        <w:rPr>
          <w:rStyle w:val="44"/>
          <w:rFonts w:ascii="Times New Roman" w:hAnsi="Times New Roman"/>
          <w:b w:val="0"/>
          <w:color w:val="auto"/>
          <w:sz w:val="24"/>
          <w:szCs w:val="24"/>
          <w:u w:val="none"/>
        </w:rPr>
        <w:t>附件2-7</w:t>
      </w:r>
      <w:r>
        <w:rPr>
          <w:rFonts w:ascii="Times New Roman" w:hAnsi="Times New Roman"/>
          <w:b w:val="0"/>
          <w:color w:val="auto"/>
          <w:sz w:val="24"/>
          <w:szCs w:val="24"/>
        </w:rPr>
        <w:t>关键岗位管理和专业技术人员表</w:t>
      </w:r>
      <w:r>
        <w:rPr>
          <w:rFonts w:ascii="Times New Roman" w:hAnsi="Times New Roman"/>
          <w:b w:val="0"/>
          <w:color w:val="auto"/>
          <w:sz w:val="24"/>
          <w:szCs w:val="24"/>
        </w:rPr>
        <w:tab/>
      </w:r>
      <w:r>
        <w:rPr>
          <w:rFonts w:ascii="Times New Roman" w:hAnsi="Times New Roman"/>
          <w:b w:val="0"/>
          <w:color w:val="auto"/>
          <w:sz w:val="24"/>
          <w:szCs w:val="24"/>
        </w:rPr>
        <w:fldChar w:fldCharType="end"/>
      </w:r>
      <w:r>
        <w:rPr>
          <w:rFonts w:ascii="Times New Roman" w:hAnsi="Times New Roman"/>
          <w:b w:val="0"/>
          <w:color w:val="auto"/>
          <w:sz w:val="24"/>
          <w:szCs w:val="24"/>
        </w:rPr>
        <w:t>43</w:t>
      </w:r>
    </w:p>
    <w:p>
      <w:pPr>
        <w:pStyle w:val="26"/>
        <w:tabs>
          <w:tab w:val="right" w:leader="dot" w:pos="9062"/>
        </w:tabs>
        <w:spacing w:line="288" w:lineRule="auto"/>
        <w:outlineLvl w:val="0"/>
        <w:rPr>
          <w:rFonts w:ascii="Times New Roman" w:hAnsi="Times New Roman"/>
          <w:b w:val="0"/>
          <w:color w:val="auto"/>
          <w:sz w:val="24"/>
          <w:szCs w:val="24"/>
        </w:rPr>
      </w:pPr>
      <w:r>
        <w:rPr>
          <w:rFonts w:ascii="Times New Roman" w:hAnsi="Times New Roman"/>
          <w:color w:val="auto"/>
        </w:rPr>
        <w:fldChar w:fldCharType="begin"/>
      </w:r>
      <w:r>
        <w:rPr>
          <w:rFonts w:ascii="Times New Roman" w:hAnsi="Times New Roman"/>
          <w:color w:val="auto"/>
        </w:rPr>
        <w:instrText xml:space="preserve"> HYPERLINK \l "_Toc162467105" \h </w:instrText>
      </w:r>
      <w:r>
        <w:rPr>
          <w:rFonts w:ascii="Times New Roman" w:hAnsi="Times New Roman"/>
          <w:color w:val="auto"/>
        </w:rPr>
        <w:fldChar w:fldCharType="separate"/>
      </w:r>
      <w:r>
        <w:rPr>
          <w:rStyle w:val="44"/>
          <w:rFonts w:ascii="Times New Roman" w:hAnsi="Times New Roman"/>
          <w:b w:val="0"/>
          <w:color w:val="auto"/>
          <w:sz w:val="24"/>
          <w:szCs w:val="24"/>
          <w:u w:val="none"/>
        </w:rPr>
        <w:t>附件2-8</w:t>
      </w:r>
      <w:r>
        <w:rPr>
          <w:rFonts w:ascii="Times New Roman" w:hAnsi="Times New Roman"/>
          <w:b w:val="0"/>
          <w:color w:val="auto"/>
          <w:sz w:val="24"/>
          <w:szCs w:val="24"/>
        </w:rPr>
        <w:t>技术文件和工艺文件清单</w:t>
      </w:r>
      <w:r>
        <w:rPr>
          <w:rFonts w:ascii="Times New Roman" w:hAnsi="Times New Roman"/>
          <w:b w:val="0"/>
          <w:color w:val="auto"/>
          <w:sz w:val="24"/>
          <w:szCs w:val="24"/>
        </w:rPr>
        <w:tab/>
      </w:r>
      <w:r>
        <w:rPr>
          <w:rFonts w:ascii="Times New Roman" w:hAnsi="Times New Roman"/>
          <w:b w:val="0"/>
          <w:color w:val="auto"/>
          <w:sz w:val="24"/>
          <w:szCs w:val="24"/>
        </w:rPr>
        <w:fldChar w:fldCharType="end"/>
      </w:r>
      <w:r>
        <w:rPr>
          <w:rFonts w:ascii="Times New Roman" w:hAnsi="Times New Roman"/>
          <w:b w:val="0"/>
          <w:color w:val="auto"/>
          <w:sz w:val="24"/>
          <w:szCs w:val="24"/>
        </w:rPr>
        <w:t>44</w:t>
      </w:r>
    </w:p>
    <w:p>
      <w:pPr>
        <w:pStyle w:val="26"/>
        <w:tabs>
          <w:tab w:val="right" w:leader="dot" w:pos="9062"/>
        </w:tabs>
        <w:spacing w:line="288" w:lineRule="auto"/>
        <w:outlineLvl w:val="0"/>
        <w:rPr>
          <w:rFonts w:ascii="Times New Roman" w:hAnsi="Times New Roman"/>
          <w:b w:val="0"/>
          <w:color w:val="auto"/>
          <w:sz w:val="24"/>
          <w:szCs w:val="24"/>
        </w:rPr>
      </w:pPr>
      <w:r>
        <w:rPr>
          <w:rFonts w:ascii="Times New Roman" w:hAnsi="Times New Roman"/>
          <w:color w:val="auto"/>
        </w:rPr>
        <w:fldChar w:fldCharType="begin"/>
      </w:r>
      <w:r>
        <w:rPr>
          <w:rFonts w:ascii="Times New Roman" w:hAnsi="Times New Roman"/>
          <w:color w:val="auto"/>
        </w:rPr>
        <w:instrText xml:space="preserve"> HYPERLINK \l "_Toc162467106" \h </w:instrText>
      </w:r>
      <w:r>
        <w:rPr>
          <w:rFonts w:ascii="Times New Roman" w:hAnsi="Times New Roman"/>
          <w:color w:val="auto"/>
        </w:rPr>
        <w:fldChar w:fldCharType="separate"/>
      </w:r>
      <w:r>
        <w:rPr>
          <w:rStyle w:val="44"/>
          <w:rFonts w:ascii="Times New Roman" w:hAnsi="Times New Roman"/>
          <w:b w:val="0"/>
          <w:color w:val="auto"/>
          <w:sz w:val="24"/>
          <w:szCs w:val="24"/>
          <w:u w:val="none"/>
        </w:rPr>
        <w:t>附件2-9</w:t>
      </w:r>
      <w:r>
        <w:rPr>
          <w:rFonts w:ascii="Times New Roman" w:hAnsi="Times New Roman"/>
          <w:b w:val="0"/>
          <w:color w:val="auto"/>
          <w:sz w:val="24"/>
          <w:szCs w:val="24"/>
        </w:rPr>
        <w:t>产品质量安全管理制度和产品质量安全追溯制度文件清单</w:t>
      </w:r>
      <w:r>
        <w:rPr>
          <w:rFonts w:ascii="Times New Roman" w:hAnsi="Times New Roman"/>
          <w:b w:val="0"/>
          <w:color w:val="auto"/>
          <w:sz w:val="24"/>
          <w:szCs w:val="24"/>
        </w:rPr>
        <w:tab/>
      </w:r>
      <w:r>
        <w:rPr>
          <w:rFonts w:ascii="Times New Roman" w:hAnsi="Times New Roman"/>
          <w:b w:val="0"/>
          <w:color w:val="auto"/>
          <w:sz w:val="24"/>
          <w:szCs w:val="24"/>
        </w:rPr>
        <w:fldChar w:fldCharType="end"/>
      </w:r>
      <w:r>
        <w:rPr>
          <w:rFonts w:ascii="Times New Roman" w:hAnsi="Times New Roman"/>
          <w:b w:val="0"/>
          <w:color w:val="auto"/>
          <w:sz w:val="24"/>
          <w:szCs w:val="24"/>
        </w:rPr>
        <w:t>45</w:t>
      </w:r>
    </w:p>
    <w:p>
      <w:pPr>
        <w:pStyle w:val="26"/>
        <w:tabs>
          <w:tab w:val="right" w:leader="dot" w:pos="9062"/>
        </w:tabs>
        <w:spacing w:line="288" w:lineRule="auto"/>
        <w:outlineLvl w:val="0"/>
        <w:rPr>
          <w:rFonts w:ascii="Times New Roman" w:hAnsi="Times New Roman"/>
          <w:b w:val="0"/>
          <w:color w:val="auto"/>
          <w:sz w:val="24"/>
          <w:szCs w:val="24"/>
        </w:rPr>
      </w:pPr>
      <w:r>
        <w:rPr>
          <w:rFonts w:ascii="Times New Roman" w:hAnsi="Times New Roman"/>
          <w:color w:val="auto"/>
        </w:rPr>
        <w:fldChar w:fldCharType="begin"/>
      </w:r>
      <w:r>
        <w:rPr>
          <w:rFonts w:ascii="Times New Roman" w:hAnsi="Times New Roman"/>
          <w:color w:val="auto"/>
        </w:rPr>
        <w:instrText xml:space="preserve"> HYPERLINK \l "_Toc162467108" \h </w:instrText>
      </w:r>
      <w:r>
        <w:rPr>
          <w:rFonts w:ascii="Times New Roman" w:hAnsi="Times New Roman"/>
          <w:color w:val="auto"/>
        </w:rPr>
        <w:fldChar w:fldCharType="separate"/>
      </w:r>
      <w:r>
        <w:rPr>
          <w:rStyle w:val="44"/>
          <w:rFonts w:ascii="Times New Roman" w:hAnsi="Times New Roman"/>
          <w:b w:val="0"/>
          <w:color w:val="auto"/>
          <w:sz w:val="24"/>
          <w:szCs w:val="24"/>
          <w:u w:val="none"/>
        </w:rPr>
        <w:t>附件2-10企业</w:t>
      </w:r>
      <w:r>
        <w:rPr>
          <w:rFonts w:ascii="Times New Roman" w:hAnsi="Times New Roman"/>
          <w:b w:val="0"/>
          <w:color w:val="auto"/>
          <w:sz w:val="24"/>
          <w:szCs w:val="24"/>
        </w:rPr>
        <w:t>执行的产品标准及相关标准清单</w:t>
      </w:r>
      <w:r>
        <w:rPr>
          <w:rFonts w:ascii="Times New Roman" w:hAnsi="Times New Roman"/>
          <w:b w:val="0"/>
          <w:color w:val="auto"/>
          <w:sz w:val="24"/>
          <w:szCs w:val="24"/>
        </w:rPr>
        <w:tab/>
      </w:r>
      <w:r>
        <w:rPr>
          <w:rFonts w:ascii="Times New Roman" w:hAnsi="Times New Roman"/>
          <w:b w:val="0"/>
          <w:color w:val="auto"/>
          <w:sz w:val="24"/>
          <w:szCs w:val="24"/>
        </w:rPr>
        <w:fldChar w:fldCharType="end"/>
      </w:r>
      <w:r>
        <w:rPr>
          <w:rFonts w:ascii="Times New Roman" w:hAnsi="Times New Roman"/>
          <w:b w:val="0"/>
          <w:color w:val="auto"/>
          <w:sz w:val="24"/>
          <w:szCs w:val="24"/>
        </w:rPr>
        <w:t>46</w:t>
      </w:r>
    </w:p>
    <w:p>
      <w:pPr>
        <w:pStyle w:val="26"/>
        <w:tabs>
          <w:tab w:val="right" w:leader="dot" w:pos="9062"/>
        </w:tabs>
        <w:spacing w:line="288" w:lineRule="auto"/>
        <w:outlineLvl w:val="0"/>
        <w:rPr>
          <w:rFonts w:ascii="Times New Roman" w:hAnsi="Times New Roman"/>
          <w:b w:val="0"/>
          <w:color w:val="auto"/>
          <w:sz w:val="24"/>
          <w:szCs w:val="24"/>
        </w:rPr>
      </w:pPr>
      <w:r>
        <w:rPr>
          <w:rFonts w:ascii="Times New Roman" w:hAnsi="Times New Roman"/>
          <w:color w:val="auto"/>
        </w:rPr>
        <w:fldChar w:fldCharType="begin"/>
      </w:r>
      <w:r>
        <w:rPr>
          <w:rFonts w:ascii="Times New Roman" w:hAnsi="Times New Roman"/>
          <w:color w:val="auto"/>
        </w:rPr>
        <w:instrText xml:space="preserve"> HYPERLINK \l "_Toc162467110" \h </w:instrText>
      </w:r>
      <w:r>
        <w:rPr>
          <w:rFonts w:ascii="Times New Roman" w:hAnsi="Times New Roman"/>
          <w:color w:val="auto"/>
        </w:rPr>
        <w:fldChar w:fldCharType="separate"/>
      </w:r>
      <w:r>
        <w:rPr>
          <w:rStyle w:val="44"/>
          <w:rFonts w:ascii="Times New Roman" w:hAnsi="Times New Roman"/>
          <w:b w:val="0"/>
          <w:color w:val="auto"/>
          <w:sz w:val="24"/>
          <w:szCs w:val="24"/>
          <w:u w:val="none"/>
        </w:rPr>
        <w:t>附件3复肥产品生产许可证企业实地核查办法</w:t>
      </w:r>
      <w:r>
        <w:rPr>
          <w:rFonts w:ascii="Times New Roman" w:hAnsi="Times New Roman"/>
          <w:b w:val="0"/>
          <w:color w:val="auto"/>
          <w:sz w:val="24"/>
          <w:szCs w:val="24"/>
        </w:rPr>
        <w:tab/>
      </w:r>
      <w:r>
        <w:rPr>
          <w:rFonts w:ascii="Times New Roman" w:hAnsi="Times New Roman"/>
          <w:b w:val="0"/>
          <w:color w:val="auto"/>
          <w:sz w:val="24"/>
          <w:szCs w:val="24"/>
        </w:rPr>
        <w:fldChar w:fldCharType="end"/>
      </w:r>
      <w:r>
        <w:rPr>
          <w:rFonts w:ascii="Times New Roman" w:hAnsi="Times New Roman"/>
          <w:b w:val="0"/>
          <w:color w:val="auto"/>
          <w:sz w:val="24"/>
          <w:szCs w:val="24"/>
        </w:rPr>
        <w:t>47</w:t>
      </w:r>
    </w:p>
    <w:p>
      <w:pPr>
        <w:pStyle w:val="26"/>
        <w:tabs>
          <w:tab w:val="right" w:leader="dot" w:pos="9062"/>
        </w:tabs>
        <w:spacing w:line="288" w:lineRule="auto"/>
        <w:outlineLvl w:val="0"/>
        <w:rPr>
          <w:rFonts w:ascii="Times New Roman" w:hAnsi="Times New Roman"/>
          <w:b w:val="0"/>
          <w:color w:val="auto"/>
          <w:sz w:val="24"/>
          <w:szCs w:val="24"/>
        </w:rPr>
      </w:pPr>
      <w:r>
        <w:rPr>
          <w:rFonts w:ascii="Times New Roman" w:hAnsi="Times New Roman"/>
          <w:color w:val="auto"/>
        </w:rPr>
        <w:fldChar w:fldCharType="begin"/>
      </w:r>
      <w:r>
        <w:rPr>
          <w:rFonts w:ascii="Times New Roman" w:hAnsi="Times New Roman"/>
          <w:color w:val="auto"/>
        </w:rPr>
        <w:instrText xml:space="preserve"> HYPERLINK \l "_Toc162467113" \h </w:instrText>
      </w:r>
      <w:r>
        <w:rPr>
          <w:rFonts w:ascii="Times New Roman" w:hAnsi="Times New Roman"/>
          <w:color w:val="auto"/>
        </w:rPr>
        <w:fldChar w:fldCharType="separate"/>
      </w:r>
      <w:r>
        <w:rPr>
          <w:rStyle w:val="44"/>
          <w:rFonts w:ascii="Times New Roman" w:hAnsi="Times New Roman"/>
          <w:b w:val="0"/>
          <w:color w:val="auto"/>
          <w:sz w:val="24"/>
          <w:szCs w:val="24"/>
          <w:u w:val="none"/>
        </w:rPr>
        <w:t>附件4企业实地核查不符合和建议改进条款汇总表</w:t>
      </w:r>
      <w:r>
        <w:rPr>
          <w:rStyle w:val="44"/>
          <w:rFonts w:ascii="Times New Roman" w:hAnsi="Times New Roman"/>
          <w:b w:val="0"/>
          <w:color w:val="auto"/>
          <w:sz w:val="24"/>
          <w:szCs w:val="24"/>
          <w:u w:val="none"/>
        </w:rPr>
        <w:tab/>
      </w:r>
      <w:r>
        <w:rPr>
          <w:rStyle w:val="44"/>
          <w:rFonts w:ascii="Times New Roman" w:hAnsi="Times New Roman"/>
          <w:b w:val="0"/>
          <w:color w:val="auto"/>
          <w:sz w:val="24"/>
          <w:szCs w:val="24"/>
          <w:u w:val="none"/>
        </w:rPr>
        <w:fldChar w:fldCharType="end"/>
      </w:r>
      <w:r>
        <w:rPr>
          <w:rStyle w:val="44"/>
          <w:rFonts w:ascii="Times New Roman" w:hAnsi="Times New Roman"/>
          <w:b w:val="0"/>
          <w:color w:val="auto"/>
          <w:sz w:val="24"/>
          <w:szCs w:val="24"/>
          <w:u w:val="none"/>
        </w:rPr>
        <w:t>54</w:t>
      </w:r>
    </w:p>
    <w:p>
      <w:pPr>
        <w:pStyle w:val="26"/>
        <w:tabs>
          <w:tab w:val="right" w:leader="dot" w:pos="9062"/>
        </w:tabs>
        <w:spacing w:line="288" w:lineRule="auto"/>
        <w:outlineLvl w:val="0"/>
        <w:rPr>
          <w:rFonts w:ascii="Times New Roman" w:hAnsi="Times New Roman"/>
          <w:b w:val="0"/>
          <w:color w:val="auto"/>
          <w:sz w:val="24"/>
          <w:szCs w:val="24"/>
        </w:rPr>
      </w:pPr>
      <w:r>
        <w:rPr>
          <w:rFonts w:ascii="Times New Roman" w:hAnsi="Times New Roman"/>
          <w:color w:val="auto"/>
        </w:rPr>
        <w:fldChar w:fldCharType="begin"/>
      </w:r>
      <w:r>
        <w:rPr>
          <w:rFonts w:ascii="Times New Roman" w:hAnsi="Times New Roman"/>
          <w:color w:val="auto"/>
        </w:rPr>
        <w:instrText xml:space="preserve"> HYPERLINK \l "_Toc162467114" \h </w:instrText>
      </w:r>
      <w:r>
        <w:rPr>
          <w:rFonts w:ascii="Times New Roman" w:hAnsi="Times New Roman"/>
          <w:color w:val="auto"/>
        </w:rPr>
        <w:fldChar w:fldCharType="separate"/>
      </w:r>
      <w:r>
        <w:rPr>
          <w:rStyle w:val="42"/>
          <w:rFonts w:ascii="Times New Roman" w:hAnsi="Times New Roman"/>
          <w:b w:val="0"/>
          <w:color w:val="auto"/>
          <w:sz w:val="24"/>
          <w:szCs w:val="24"/>
          <w:u w:val="none"/>
        </w:rPr>
        <w:t>附件5生产许可证企业实地核查报告</w:t>
      </w:r>
      <w:r>
        <w:rPr>
          <w:rFonts w:ascii="Times New Roman" w:hAnsi="Times New Roman"/>
          <w:b w:val="0"/>
          <w:color w:val="auto"/>
          <w:sz w:val="24"/>
          <w:szCs w:val="24"/>
        </w:rPr>
        <w:tab/>
      </w:r>
      <w:r>
        <w:rPr>
          <w:rFonts w:ascii="Times New Roman" w:hAnsi="Times New Roman"/>
          <w:b w:val="0"/>
          <w:color w:val="auto"/>
          <w:sz w:val="24"/>
          <w:szCs w:val="24"/>
        </w:rPr>
        <w:fldChar w:fldCharType="end"/>
      </w:r>
      <w:r>
        <w:rPr>
          <w:rFonts w:ascii="Times New Roman" w:hAnsi="Times New Roman"/>
          <w:b w:val="0"/>
          <w:color w:val="auto"/>
          <w:sz w:val="24"/>
          <w:szCs w:val="24"/>
        </w:rPr>
        <w:t>55</w:t>
      </w:r>
    </w:p>
    <w:p>
      <w:pPr>
        <w:pStyle w:val="26"/>
        <w:tabs>
          <w:tab w:val="right" w:leader="dot" w:pos="9062"/>
        </w:tabs>
        <w:spacing w:line="288" w:lineRule="auto"/>
        <w:outlineLvl w:val="0"/>
        <w:rPr>
          <w:rStyle w:val="42"/>
          <w:rFonts w:ascii="Times New Roman" w:hAnsi="Times New Roman"/>
          <w:color w:val="auto"/>
          <w:sz w:val="24"/>
          <w:szCs w:val="24"/>
          <w:u w:val="none"/>
        </w:rPr>
        <w:sectPr>
          <w:footerReference r:id="rId4" w:type="default"/>
          <w:pgSz w:w="11906" w:h="16838"/>
          <w:pgMar w:top="1418" w:right="1418" w:bottom="1418" w:left="1418" w:header="851" w:footer="992" w:gutter="0"/>
          <w:pgNumType w:start="1"/>
          <w:cols w:space="720" w:num="1"/>
          <w:docGrid w:linePitch="360" w:charSpace="6144"/>
        </w:sectPr>
      </w:pPr>
      <w:r>
        <w:rPr>
          <w:rStyle w:val="42"/>
          <w:rFonts w:ascii="Times New Roman" w:hAnsi="Times New Roman"/>
          <w:b w:val="0"/>
          <w:color w:val="auto"/>
          <w:sz w:val="24"/>
          <w:szCs w:val="24"/>
          <w:u w:val="none"/>
        </w:rPr>
        <w:t>附件6本细则与上一版细则主要内容对比</w:t>
      </w:r>
      <w:r>
        <w:rPr>
          <w:rStyle w:val="42"/>
          <w:rFonts w:ascii="Times New Roman" w:hAnsi="Times New Roman"/>
          <w:b w:val="0"/>
          <w:color w:val="auto"/>
          <w:sz w:val="24"/>
          <w:szCs w:val="24"/>
          <w:u w:val="none"/>
        </w:rPr>
        <w:tab/>
      </w:r>
      <w:r>
        <w:rPr>
          <w:rStyle w:val="42"/>
          <w:rFonts w:ascii="Times New Roman" w:hAnsi="Times New Roman"/>
          <w:b w:val="0"/>
          <w:color w:val="auto"/>
          <w:sz w:val="24"/>
          <w:szCs w:val="24"/>
          <w:u w:val="none"/>
        </w:rPr>
        <w:t>56</w:t>
      </w:r>
    </w:p>
    <w:p>
      <w:pPr>
        <w:jc w:val="center"/>
        <w:rPr>
          <w:rFonts w:ascii="Times New Roman" w:hAnsi="Times New Roman"/>
          <w:b/>
          <w:color w:val="auto"/>
          <w:sz w:val="44"/>
          <w:szCs w:val="44"/>
        </w:rPr>
      </w:pPr>
      <w:r>
        <w:rPr>
          <w:rFonts w:ascii="Times New Roman" w:hAnsi="Times New Roman"/>
          <w:b/>
          <w:color w:val="auto"/>
          <w:sz w:val="44"/>
          <w:szCs w:val="44"/>
        </w:rPr>
        <w:t>化肥产品生产许可证实施细则（一）</w:t>
      </w:r>
    </w:p>
    <w:p>
      <w:pPr>
        <w:jc w:val="center"/>
        <w:rPr>
          <w:rFonts w:ascii="Times New Roman" w:hAnsi="Times New Roman"/>
          <w:b/>
          <w:color w:val="auto"/>
          <w:sz w:val="44"/>
          <w:szCs w:val="44"/>
        </w:rPr>
      </w:pPr>
      <w:r>
        <w:rPr>
          <w:rFonts w:ascii="Times New Roman" w:hAnsi="Times New Roman"/>
          <w:b/>
          <w:color w:val="auto"/>
          <w:sz w:val="44"/>
          <w:szCs w:val="44"/>
        </w:rPr>
        <w:t>（</w:t>
      </w:r>
      <w:r>
        <w:rPr>
          <w:rFonts w:ascii="Times New Roman" w:hAnsi="Times New Roman"/>
          <w:b/>
          <w:color w:val="auto"/>
          <w:sz w:val="44"/>
        </w:rPr>
        <w:t>复肥产品部分</w:t>
      </w:r>
      <w:r>
        <w:rPr>
          <w:rFonts w:ascii="Times New Roman" w:hAnsi="Times New Roman"/>
          <w:b/>
          <w:color w:val="auto"/>
          <w:sz w:val="44"/>
          <w:szCs w:val="44"/>
        </w:rPr>
        <w:t>）</w:t>
      </w:r>
    </w:p>
    <w:p>
      <w:pPr>
        <w:tabs>
          <w:tab w:val="left" w:pos="8788"/>
        </w:tabs>
        <w:spacing w:line="240" w:lineRule="exact"/>
        <w:outlineLvl w:val="0"/>
        <w:rPr>
          <w:rFonts w:ascii="Times New Roman" w:hAnsi="Times New Roman"/>
          <w:b/>
          <w:color w:val="auto"/>
          <w:sz w:val="36"/>
          <w:szCs w:val="36"/>
        </w:rPr>
      </w:pPr>
    </w:p>
    <w:p>
      <w:pPr>
        <w:pStyle w:val="56"/>
        <w:spacing w:line="360" w:lineRule="auto"/>
        <w:ind w:firstLine="0"/>
        <w:jc w:val="center"/>
        <w:outlineLvl w:val="1"/>
        <w:rPr>
          <w:rFonts w:ascii="Times New Roman" w:hAnsi="Times New Roman" w:eastAsia="宋体"/>
          <w:b/>
          <w:color w:val="auto"/>
          <w:sz w:val="28"/>
          <w:szCs w:val="28"/>
        </w:rPr>
      </w:pPr>
      <w:bookmarkStart w:id="0" w:name="_Toc507721775"/>
      <w:bookmarkStart w:id="1" w:name="_Toc178002552"/>
      <w:bookmarkStart w:id="2" w:name="_Toc178002833"/>
      <w:r>
        <w:rPr>
          <w:rFonts w:ascii="Times New Roman" w:hAnsi="Times New Roman" w:eastAsia="宋体"/>
          <w:b/>
          <w:color w:val="auto"/>
          <w:sz w:val="28"/>
          <w:szCs w:val="28"/>
        </w:rPr>
        <w:t>第一章 总则</w:t>
      </w:r>
      <w:bookmarkEnd w:id="0"/>
      <w:bookmarkEnd w:id="1"/>
      <w:bookmarkEnd w:id="2"/>
    </w:p>
    <w:p>
      <w:pPr>
        <w:snapToGrid w:val="0"/>
        <w:spacing w:line="360" w:lineRule="auto"/>
        <w:ind w:firstLine="420" w:firstLineChars="200"/>
        <w:rPr>
          <w:rFonts w:ascii="Times New Roman" w:hAnsi="Times New Roman"/>
          <w:color w:val="auto"/>
        </w:rPr>
      </w:pPr>
      <w:r>
        <w:rPr>
          <w:rFonts w:ascii="Times New Roman" w:hAnsi="Times New Roman"/>
          <w:color w:val="auto"/>
        </w:rPr>
        <w:t>第一条 依据《中华人民共和国行政许可法》《中华人民共和国工业产品生产许可证管理条例》《中华人民共和国工业产品生产许可证管理条例实施办法》《工业产品生产单位落实质量安全主体责任监督管理规定》，制定本工业产品生产许可证实施细则（以下简称细则）。</w:t>
      </w:r>
    </w:p>
    <w:p>
      <w:pPr>
        <w:numPr>
          <w:ilvl w:val="0"/>
          <w:numId w:val="1"/>
        </w:numPr>
        <w:snapToGrid w:val="0"/>
        <w:spacing w:line="360" w:lineRule="auto"/>
        <w:ind w:firstLine="420" w:firstLineChars="200"/>
        <w:rPr>
          <w:rFonts w:ascii="Times New Roman" w:hAnsi="Times New Roman"/>
          <w:color w:val="auto"/>
        </w:rPr>
      </w:pPr>
      <w:r>
        <w:rPr>
          <w:rFonts w:ascii="Times New Roman" w:hAnsi="Times New Roman"/>
          <w:color w:val="auto"/>
        </w:rPr>
        <w:t>本细则适用于复肥产品生产许可证核发等工作，应与通则一并使用。</w:t>
      </w:r>
    </w:p>
    <w:p>
      <w:pPr>
        <w:rPr>
          <w:rFonts w:ascii="Times New Roman" w:hAnsi="Times New Roman"/>
          <w:color w:val="auto"/>
        </w:rPr>
      </w:pPr>
      <w:bookmarkStart w:id="3" w:name="_Toc507721776"/>
      <w:r>
        <w:rPr>
          <w:rFonts w:ascii="Times New Roman" w:hAnsi="Times New Roman"/>
          <w:color w:val="auto"/>
        </w:rPr>
        <w:tab/>
      </w:r>
      <w:r>
        <w:rPr>
          <w:rFonts w:ascii="Times New Roman" w:hAnsi="Times New Roman"/>
          <w:color w:val="auto"/>
        </w:rPr>
        <w:tab/>
      </w:r>
      <w:r>
        <w:rPr>
          <w:rFonts w:ascii="Times New Roman" w:hAnsi="Times New Roman"/>
          <w:color w:val="auto"/>
        </w:rPr>
        <w:t xml:space="preserve">    第三条</w:t>
      </w:r>
      <w:bookmarkEnd w:id="3"/>
      <w:r>
        <w:rPr>
          <w:rFonts w:ascii="Times New Roman" w:hAnsi="Times New Roman"/>
          <w:color w:val="auto"/>
        </w:rPr>
        <w:t xml:space="preserve"> 复肥产品由省级工业产品生产许可证主管部门审批发证。</w:t>
      </w:r>
    </w:p>
    <w:p>
      <w:pPr>
        <w:pStyle w:val="56"/>
        <w:spacing w:line="360" w:lineRule="auto"/>
        <w:ind w:left="422" w:firstLine="0"/>
        <w:jc w:val="center"/>
        <w:outlineLvl w:val="1"/>
        <w:rPr>
          <w:rFonts w:ascii="Times New Roman" w:hAnsi="Times New Roman" w:eastAsia="宋体"/>
          <w:b/>
          <w:color w:val="auto"/>
          <w:sz w:val="28"/>
          <w:szCs w:val="28"/>
        </w:rPr>
      </w:pPr>
      <w:bookmarkStart w:id="4" w:name="_Toc507721777"/>
      <w:bookmarkStart w:id="5" w:name="_Toc178002553"/>
      <w:bookmarkStart w:id="6" w:name="_Toc178002834"/>
    </w:p>
    <w:p>
      <w:pPr>
        <w:pStyle w:val="56"/>
        <w:spacing w:line="360" w:lineRule="auto"/>
        <w:ind w:left="422" w:firstLine="0"/>
        <w:jc w:val="center"/>
        <w:outlineLvl w:val="1"/>
        <w:rPr>
          <w:rFonts w:ascii="Times New Roman" w:hAnsi="Times New Roman" w:eastAsia="宋体"/>
          <w:b/>
          <w:color w:val="auto"/>
          <w:sz w:val="28"/>
          <w:szCs w:val="28"/>
        </w:rPr>
      </w:pPr>
      <w:r>
        <w:rPr>
          <w:rFonts w:ascii="Times New Roman" w:hAnsi="Times New Roman" w:eastAsia="宋体"/>
          <w:b/>
          <w:color w:val="auto"/>
          <w:sz w:val="28"/>
          <w:szCs w:val="28"/>
        </w:rPr>
        <w:t>第二章</w:t>
      </w:r>
      <w:bookmarkEnd w:id="4"/>
      <w:r>
        <w:rPr>
          <w:rFonts w:ascii="Times New Roman" w:hAnsi="Times New Roman" w:eastAsia="宋体"/>
          <w:b/>
          <w:color w:val="auto"/>
          <w:sz w:val="28"/>
          <w:szCs w:val="28"/>
        </w:rPr>
        <w:t xml:space="preserve"> 发证产品及标准</w:t>
      </w:r>
      <w:bookmarkEnd w:id="5"/>
      <w:bookmarkEnd w:id="6"/>
    </w:p>
    <w:p>
      <w:pPr>
        <w:snapToGrid w:val="0"/>
        <w:spacing w:line="360" w:lineRule="auto"/>
        <w:ind w:firstLine="420" w:firstLineChars="200"/>
        <w:rPr>
          <w:rFonts w:ascii="Times New Roman" w:hAnsi="Times New Roman"/>
          <w:color w:val="auto"/>
        </w:rPr>
      </w:pPr>
      <w:r>
        <w:rPr>
          <w:rFonts w:ascii="Times New Roman" w:hAnsi="Times New Roman"/>
          <w:color w:val="auto"/>
        </w:rPr>
        <w:t>第四条 本细则规定了发证产品定义、范围及单元划分。</w:t>
      </w:r>
    </w:p>
    <w:p>
      <w:pPr>
        <w:snapToGrid w:val="0"/>
        <w:spacing w:line="360" w:lineRule="auto"/>
        <w:ind w:firstLine="420" w:firstLineChars="200"/>
        <w:rPr>
          <w:rFonts w:ascii="Times New Roman" w:hAnsi="Times New Roman"/>
          <w:color w:val="auto"/>
        </w:rPr>
      </w:pPr>
      <w:r>
        <w:rPr>
          <w:rFonts w:ascii="Times New Roman" w:hAnsi="Times New Roman"/>
          <w:color w:val="auto"/>
        </w:rPr>
        <w:t>（一）定义</w:t>
      </w:r>
    </w:p>
    <w:p>
      <w:pPr>
        <w:snapToGrid w:val="0"/>
        <w:spacing w:line="360" w:lineRule="auto"/>
        <w:ind w:firstLine="420" w:firstLineChars="200"/>
        <w:rPr>
          <w:rFonts w:ascii="Times New Roman" w:hAnsi="Times New Roman"/>
          <w:color w:val="auto"/>
        </w:rPr>
      </w:pPr>
      <w:r>
        <w:rPr>
          <w:rFonts w:ascii="Times New Roman" w:hAnsi="Times New Roman"/>
          <w:color w:val="auto"/>
        </w:rPr>
        <w:t>复合肥料：氮、磷、钾三种养分中，至少有两种养分标明量的由化学方法和（或）物理方法制成的肥料。</w:t>
      </w:r>
    </w:p>
    <w:p>
      <w:pPr>
        <w:snapToGrid w:val="0"/>
        <w:spacing w:line="360" w:lineRule="auto"/>
        <w:ind w:firstLine="420" w:firstLineChars="200"/>
        <w:rPr>
          <w:rFonts w:ascii="Times New Roman" w:hAnsi="Times New Roman"/>
          <w:color w:val="auto"/>
        </w:rPr>
      </w:pPr>
      <w:r>
        <w:rPr>
          <w:rFonts w:ascii="Times New Roman" w:hAnsi="Times New Roman"/>
          <w:color w:val="auto"/>
        </w:rPr>
        <w:t>掺混肥料（BB肥）：氮、磷、钾三种养分中，至少有两种养分标明量的由干混方法制成的颗粒状肥料。</w:t>
      </w:r>
    </w:p>
    <w:p>
      <w:pPr>
        <w:snapToGrid w:val="0"/>
        <w:spacing w:line="360" w:lineRule="auto"/>
        <w:ind w:firstLine="420" w:firstLineChars="200"/>
        <w:rPr>
          <w:rFonts w:ascii="Times New Roman" w:hAnsi="Times New Roman"/>
          <w:color w:val="auto"/>
        </w:rPr>
      </w:pPr>
      <w:r>
        <w:rPr>
          <w:rFonts w:ascii="Times New Roman" w:hAnsi="Times New Roman"/>
          <w:color w:val="auto"/>
        </w:rPr>
        <w:t>有机无机复混肥料：含有一定量有机肥料的复混肥料。</w:t>
      </w:r>
    </w:p>
    <w:p>
      <w:pPr>
        <w:snapToGrid w:val="0"/>
        <w:spacing w:line="360" w:lineRule="auto"/>
        <w:ind w:firstLine="420" w:firstLineChars="200"/>
        <w:rPr>
          <w:rFonts w:ascii="Times New Roman" w:hAnsi="Times New Roman"/>
          <w:color w:val="auto"/>
        </w:rPr>
      </w:pPr>
      <w:r>
        <w:rPr>
          <w:rFonts w:ascii="Times New Roman" w:hAnsi="Times New Roman"/>
          <w:color w:val="auto"/>
        </w:rPr>
        <w:t>有机无机掺混肥料：含有一定量有机肥料的掺混肥料。</w:t>
      </w:r>
    </w:p>
    <w:p>
      <w:pPr>
        <w:snapToGrid w:val="0"/>
        <w:spacing w:line="360" w:lineRule="auto"/>
        <w:ind w:firstLine="420" w:firstLineChars="200"/>
        <w:rPr>
          <w:rFonts w:ascii="Times New Roman" w:hAnsi="Times New Roman"/>
          <w:color w:val="auto"/>
        </w:rPr>
      </w:pPr>
      <w:r>
        <w:rPr>
          <w:rFonts w:ascii="Times New Roman" w:hAnsi="Times New Roman"/>
          <w:color w:val="auto"/>
        </w:rPr>
        <w:t>（二）范围</w:t>
      </w:r>
    </w:p>
    <w:p>
      <w:pPr>
        <w:snapToGrid w:val="0"/>
        <w:spacing w:line="360" w:lineRule="auto"/>
        <w:ind w:firstLine="420" w:firstLineChars="200"/>
        <w:rPr>
          <w:rFonts w:ascii="Times New Roman" w:hAnsi="Times New Roman"/>
          <w:color w:val="auto"/>
        </w:rPr>
      </w:pPr>
      <w:r>
        <w:rPr>
          <w:rFonts w:ascii="Times New Roman" w:hAnsi="Times New Roman"/>
          <w:color w:val="auto"/>
        </w:rPr>
        <w:t>按团体标准、企业标准等生产，或按照国际标准、国外标准生产并在国内销售的复肥产品，属于本细则列出的相关国家标准、行业标准的范畴或适用范围的，企业应按相应的国家标准、行业标准申请取证，企业获证后生产的产品应当满足相应国家标准、行业标准要求。</w:t>
      </w:r>
    </w:p>
    <w:p>
      <w:pPr>
        <w:snapToGrid w:val="0"/>
        <w:spacing w:line="360" w:lineRule="auto"/>
        <w:ind w:firstLine="420" w:firstLineChars="200"/>
        <w:rPr>
          <w:rFonts w:ascii="Times New Roman" w:hAnsi="Times New Roman"/>
          <w:color w:val="auto"/>
        </w:rPr>
      </w:pPr>
      <w:r>
        <w:rPr>
          <w:rFonts w:ascii="Times New Roman" w:hAnsi="Times New Roman"/>
          <w:color w:val="auto"/>
        </w:rPr>
        <w:t>年配肥服务能力在2万吨以下或每小时2.8吨以下的基层小型智能化配肥服务网点，以农民购买的原料肥为基础肥料，按照农民施肥配方进行智能化掺混，掺混后不进入市场流通，不纳入发证范围。</w:t>
      </w:r>
    </w:p>
    <w:p>
      <w:pPr>
        <w:snapToGrid w:val="0"/>
        <w:spacing w:line="360" w:lineRule="auto"/>
        <w:ind w:firstLine="420" w:firstLineChars="200"/>
        <w:rPr>
          <w:rFonts w:ascii="Times New Roman" w:hAnsi="Times New Roman"/>
          <w:color w:val="auto"/>
        </w:rPr>
      </w:pPr>
      <w:r>
        <w:rPr>
          <w:rFonts w:ascii="Times New Roman" w:hAnsi="Times New Roman"/>
          <w:color w:val="auto"/>
        </w:rPr>
        <w:t>（三）单元划分</w:t>
      </w:r>
    </w:p>
    <w:p>
      <w:pPr>
        <w:snapToGrid w:val="0"/>
        <w:spacing w:line="360" w:lineRule="auto"/>
        <w:ind w:firstLine="420" w:firstLineChars="200"/>
        <w:rPr>
          <w:rFonts w:ascii="Times New Roman" w:hAnsi="Times New Roman"/>
          <w:color w:val="auto"/>
        </w:rPr>
      </w:pPr>
      <w:r>
        <w:rPr>
          <w:rFonts w:ascii="Times New Roman" w:hAnsi="Times New Roman"/>
          <w:color w:val="auto"/>
        </w:rPr>
        <w:t>本细则规定的复肥产品划分为复合肥料、掺混肥料、有机无机复混肥料、有机无机掺混肥料4个产品单元，产品单元及复肥种类见表1。</w:t>
      </w:r>
    </w:p>
    <w:p>
      <w:pPr>
        <w:snapToGrid w:val="0"/>
        <w:spacing w:before="120" w:beforeLines="50" w:line="360" w:lineRule="auto"/>
        <w:jc w:val="center"/>
        <w:rPr>
          <w:rFonts w:ascii="Times New Roman" w:hAnsi="Times New Roman"/>
          <w:b/>
          <w:color w:val="auto"/>
        </w:rPr>
      </w:pPr>
      <w:r>
        <w:rPr>
          <w:rFonts w:ascii="Times New Roman" w:hAnsi="Times New Roman"/>
          <w:b/>
          <w:color w:val="auto"/>
        </w:rPr>
        <w:t>表1复肥产品单元及复肥种类</w:t>
      </w:r>
    </w:p>
    <w:tbl>
      <w:tblPr>
        <w:tblStyle w:val="37"/>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851"/>
        <w:gridCol w:w="1134"/>
        <w:gridCol w:w="69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blHeader/>
          <w:jc w:val="center"/>
        </w:trPr>
        <w:tc>
          <w:tcPr>
            <w:tcW w:w="851" w:type="dxa"/>
            <w:vAlign w:val="center"/>
          </w:tcPr>
          <w:p>
            <w:pPr>
              <w:adjustRightInd w:val="0"/>
              <w:snapToGrid w:val="0"/>
              <w:jc w:val="center"/>
              <w:rPr>
                <w:rFonts w:ascii="Times New Roman" w:hAnsi="Times New Roman"/>
                <w:b/>
                <w:color w:val="auto"/>
              </w:rPr>
            </w:pPr>
            <w:bookmarkStart w:id="7" w:name="_Hlk167792379"/>
            <w:bookmarkStart w:id="8" w:name="_Hlk167712533"/>
            <w:r>
              <w:rPr>
                <w:rFonts w:ascii="Times New Roman" w:hAnsi="Times New Roman"/>
                <w:b/>
                <w:color w:val="auto"/>
              </w:rPr>
              <w:t>序号</w:t>
            </w:r>
          </w:p>
        </w:tc>
        <w:tc>
          <w:tcPr>
            <w:tcW w:w="1134" w:type="dxa"/>
            <w:vAlign w:val="center"/>
          </w:tcPr>
          <w:p>
            <w:pPr>
              <w:adjustRightInd w:val="0"/>
              <w:snapToGrid w:val="0"/>
              <w:jc w:val="center"/>
              <w:rPr>
                <w:rFonts w:ascii="Times New Roman" w:hAnsi="Times New Roman"/>
                <w:b/>
                <w:color w:val="auto"/>
              </w:rPr>
            </w:pPr>
            <w:r>
              <w:rPr>
                <w:rFonts w:ascii="Times New Roman" w:hAnsi="Times New Roman"/>
                <w:b/>
                <w:color w:val="auto"/>
              </w:rPr>
              <w:t>产品单元</w:t>
            </w:r>
          </w:p>
        </w:tc>
        <w:tc>
          <w:tcPr>
            <w:tcW w:w="6941" w:type="dxa"/>
            <w:vAlign w:val="center"/>
          </w:tcPr>
          <w:p>
            <w:pPr>
              <w:adjustRightInd w:val="0"/>
              <w:snapToGrid w:val="0"/>
              <w:jc w:val="center"/>
              <w:rPr>
                <w:rFonts w:ascii="Times New Roman" w:hAnsi="Times New Roman"/>
                <w:b/>
                <w:color w:val="auto"/>
              </w:rPr>
            </w:pPr>
            <w:r>
              <w:rPr>
                <w:rFonts w:ascii="Times New Roman" w:hAnsi="Times New Roman"/>
                <w:b/>
                <w:color w:val="auto"/>
              </w:rPr>
              <w:t>复肥种类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blHeader/>
          <w:jc w:val="center"/>
        </w:trPr>
        <w:tc>
          <w:tcPr>
            <w:tcW w:w="851" w:type="dxa"/>
            <w:vAlign w:val="center"/>
          </w:tcPr>
          <w:p>
            <w:pPr>
              <w:adjustRightInd w:val="0"/>
              <w:snapToGrid w:val="0"/>
              <w:jc w:val="center"/>
              <w:rPr>
                <w:rFonts w:ascii="Times New Roman" w:hAnsi="Times New Roman"/>
                <w:color w:val="auto"/>
              </w:rPr>
            </w:pPr>
            <w:r>
              <w:rPr>
                <w:rFonts w:ascii="Times New Roman" w:hAnsi="Times New Roman"/>
                <w:color w:val="auto"/>
              </w:rPr>
              <w:t>1</w:t>
            </w:r>
          </w:p>
        </w:tc>
        <w:tc>
          <w:tcPr>
            <w:tcW w:w="1134" w:type="dxa"/>
            <w:vAlign w:val="center"/>
          </w:tcPr>
          <w:p>
            <w:pPr>
              <w:adjustRightInd w:val="0"/>
              <w:snapToGrid w:val="0"/>
              <w:jc w:val="center"/>
              <w:rPr>
                <w:rFonts w:ascii="Times New Roman" w:hAnsi="Times New Roman"/>
                <w:bCs/>
                <w:color w:val="auto"/>
              </w:rPr>
            </w:pPr>
            <w:r>
              <w:rPr>
                <w:rFonts w:ascii="Times New Roman" w:hAnsi="Times New Roman"/>
                <w:bCs/>
                <w:color w:val="auto"/>
              </w:rPr>
              <w:t>复合</w:t>
            </w:r>
          </w:p>
          <w:p>
            <w:pPr>
              <w:adjustRightInd w:val="0"/>
              <w:snapToGrid w:val="0"/>
              <w:jc w:val="center"/>
              <w:rPr>
                <w:rFonts w:ascii="Times New Roman" w:hAnsi="Times New Roman"/>
                <w:color w:val="auto"/>
              </w:rPr>
            </w:pPr>
            <w:r>
              <w:rPr>
                <w:rFonts w:ascii="Times New Roman" w:hAnsi="Times New Roman"/>
                <w:bCs/>
                <w:color w:val="auto"/>
              </w:rPr>
              <w:t>肥料</w:t>
            </w:r>
          </w:p>
        </w:tc>
        <w:tc>
          <w:tcPr>
            <w:tcW w:w="6941" w:type="dxa"/>
            <w:vAlign w:val="center"/>
          </w:tcPr>
          <w:p>
            <w:pPr>
              <w:adjustRightInd w:val="0"/>
              <w:snapToGrid w:val="0"/>
              <w:jc w:val="left"/>
              <w:rPr>
                <w:rFonts w:ascii="Times New Roman" w:hAnsi="Times New Roman"/>
                <w:color w:val="auto"/>
              </w:rPr>
            </w:pPr>
            <w:r>
              <w:rPr>
                <w:rFonts w:ascii="Times New Roman" w:hAnsi="Times New Roman"/>
                <w:bCs/>
                <w:color w:val="auto"/>
              </w:rPr>
              <w:t>复合肥料、硝基复合肥料、缓释复合肥料、控释复合肥料、硫包衣缓释复合肥料、脲醛缓释复合肥料、稳定性复合肥料、无机包裹型复合肥料、腐植酸复合肥料、海藻酸复合肥料、含硫酸脲复合肥料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blHeader/>
          <w:jc w:val="center"/>
        </w:trPr>
        <w:tc>
          <w:tcPr>
            <w:tcW w:w="851" w:type="dxa"/>
            <w:vAlign w:val="center"/>
          </w:tcPr>
          <w:p>
            <w:pPr>
              <w:adjustRightInd w:val="0"/>
              <w:snapToGrid w:val="0"/>
              <w:jc w:val="center"/>
              <w:rPr>
                <w:rFonts w:ascii="Times New Roman" w:hAnsi="Times New Roman"/>
                <w:color w:val="auto"/>
              </w:rPr>
            </w:pPr>
            <w:r>
              <w:rPr>
                <w:rFonts w:ascii="Times New Roman" w:hAnsi="Times New Roman"/>
                <w:color w:val="auto"/>
              </w:rPr>
              <w:t>2</w:t>
            </w:r>
          </w:p>
        </w:tc>
        <w:tc>
          <w:tcPr>
            <w:tcW w:w="1134" w:type="dxa"/>
            <w:vAlign w:val="center"/>
          </w:tcPr>
          <w:p>
            <w:pPr>
              <w:adjustRightInd w:val="0"/>
              <w:snapToGrid w:val="0"/>
              <w:jc w:val="center"/>
              <w:rPr>
                <w:rFonts w:ascii="Times New Roman" w:hAnsi="Times New Roman"/>
                <w:bCs/>
                <w:color w:val="auto"/>
              </w:rPr>
            </w:pPr>
            <w:r>
              <w:rPr>
                <w:rFonts w:ascii="Times New Roman" w:hAnsi="Times New Roman"/>
                <w:bCs/>
                <w:color w:val="auto"/>
              </w:rPr>
              <w:t>掺混</w:t>
            </w:r>
          </w:p>
          <w:p>
            <w:pPr>
              <w:adjustRightInd w:val="0"/>
              <w:snapToGrid w:val="0"/>
              <w:jc w:val="center"/>
              <w:rPr>
                <w:rFonts w:ascii="Times New Roman" w:hAnsi="Times New Roman"/>
                <w:color w:val="auto"/>
              </w:rPr>
            </w:pPr>
            <w:r>
              <w:rPr>
                <w:rFonts w:ascii="Times New Roman" w:hAnsi="Times New Roman"/>
                <w:bCs/>
                <w:color w:val="auto"/>
              </w:rPr>
              <w:t>肥料</w:t>
            </w:r>
          </w:p>
        </w:tc>
        <w:tc>
          <w:tcPr>
            <w:tcW w:w="6941" w:type="dxa"/>
            <w:vAlign w:val="center"/>
          </w:tcPr>
          <w:p>
            <w:pPr>
              <w:adjustRightInd w:val="0"/>
              <w:snapToGrid w:val="0"/>
              <w:jc w:val="left"/>
              <w:rPr>
                <w:rFonts w:ascii="Times New Roman" w:hAnsi="Times New Roman"/>
                <w:color w:val="auto"/>
              </w:rPr>
            </w:pPr>
            <w:r>
              <w:rPr>
                <w:rFonts w:ascii="Times New Roman" w:hAnsi="Times New Roman"/>
                <w:bCs/>
                <w:color w:val="auto"/>
              </w:rPr>
              <w:t>掺混肥料、缓释掺混肥料、控释掺混肥料、硫包衣缓释掺混肥料、脲醛缓释掺混肥料、稳定性掺混肥料、无机包裹型掺混肥料、含部分海藻酸包膜尿素的掺混肥料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jc w:val="center"/>
        </w:trPr>
        <w:tc>
          <w:tcPr>
            <w:tcW w:w="851" w:type="dxa"/>
            <w:vAlign w:val="center"/>
          </w:tcPr>
          <w:p>
            <w:pPr>
              <w:adjustRightInd w:val="0"/>
              <w:snapToGrid w:val="0"/>
              <w:jc w:val="center"/>
              <w:rPr>
                <w:rFonts w:ascii="Times New Roman" w:hAnsi="Times New Roman"/>
                <w:color w:val="auto"/>
              </w:rPr>
            </w:pPr>
            <w:r>
              <w:rPr>
                <w:rFonts w:ascii="Times New Roman" w:hAnsi="Times New Roman"/>
                <w:color w:val="auto"/>
              </w:rPr>
              <w:t>3</w:t>
            </w:r>
          </w:p>
        </w:tc>
        <w:tc>
          <w:tcPr>
            <w:tcW w:w="1134" w:type="dxa"/>
            <w:vAlign w:val="center"/>
          </w:tcPr>
          <w:p>
            <w:pPr>
              <w:adjustRightInd w:val="0"/>
              <w:snapToGrid w:val="0"/>
              <w:jc w:val="center"/>
              <w:rPr>
                <w:rFonts w:ascii="Times New Roman" w:hAnsi="Times New Roman"/>
                <w:color w:val="auto"/>
              </w:rPr>
            </w:pPr>
            <w:r>
              <w:rPr>
                <w:rFonts w:ascii="Times New Roman" w:hAnsi="Times New Roman"/>
                <w:bCs/>
                <w:color w:val="auto"/>
              </w:rPr>
              <w:t>有机无机复混肥料</w:t>
            </w:r>
          </w:p>
        </w:tc>
        <w:tc>
          <w:tcPr>
            <w:tcW w:w="6941" w:type="dxa"/>
            <w:vAlign w:val="center"/>
          </w:tcPr>
          <w:p>
            <w:pPr>
              <w:adjustRightInd w:val="0"/>
              <w:snapToGrid w:val="0"/>
              <w:jc w:val="left"/>
              <w:rPr>
                <w:rFonts w:ascii="Times New Roman" w:hAnsi="Times New Roman"/>
                <w:color w:val="auto"/>
              </w:rPr>
            </w:pPr>
            <w:r>
              <w:rPr>
                <w:rFonts w:ascii="Times New Roman" w:hAnsi="Times New Roman"/>
                <w:color w:val="auto"/>
              </w:rPr>
              <w:t>有</w:t>
            </w:r>
            <w:r>
              <w:rPr>
                <w:rFonts w:ascii="Times New Roman" w:hAnsi="Times New Roman"/>
                <w:bCs/>
                <w:color w:val="auto"/>
              </w:rPr>
              <w:t>机无机复混肥料、</w:t>
            </w:r>
            <w:r>
              <w:rPr>
                <w:rFonts w:ascii="Times New Roman" w:hAnsi="Times New Roman"/>
                <w:color w:val="auto"/>
              </w:rPr>
              <w:t>腐植酸有机无机复混肥料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blHeader/>
          <w:jc w:val="center"/>
        </w:trPr>
        <w:tc>
          <w:tcPr>
            <w:tcW w:w="851" w:type="dxa"/>
            <w:vAlign w:val="center"/>
          </w:tcPr>
          <w:p>
            <w:pPr>
              <w:adjustRightInd w:val="0"/>
              <w:snapToGrid w:val="0"/>
              <w:jc w:val="center"/>
              <w:rPr>
                <w:rFonts w:ascii="Times New Roman" w:hAnsi="Times New Roman"/>
                <w:color w:val="auto"/>
              </w:rPr>
            </w:pPr>
            <w:r>
              <w:rPr>
                <w:rFonts w:ascii="Times New Roman" w:hAnsi="Times New Roman"/>
                <w:color w:val="auto"/>
              </w:rPr>
              <w:t>4</w:t>
            </w:r>
          </w:p>
        </w:tc>
        <w:tc>
          <w:tcPr>
            <w:tcW w:w="1134" w:type="dxa"/>
            <w:vAlign w:val="center"/>
          </w:tcPr>
          <w:p>
            <w:pPr>
              <w:adjustRightInd w:val="0"/>
              <w:snapToGrid w:val="0"/>
              <w:jc w:val="center"/>
              <w:rPr>
                <w:rFonts w:ascii="Times New Roman" w:hAnsi="Times New Roman"/>
                <w:bCs/>
                <w:color w:val="auto"/>
              </w:rPr>
            </w:pPr>
            <w:r>
              <w:rPr>
                <w:rFonts w:ascii="Times New Roman" w:hAnsi="Times New Roman"/>
                <w:bCs/>
                <w:color w:val="auto"/>
              </w:rPr>
              <w:t>有机无机掺混肥料</w:t>
            </w:r>
          </w:p>
        </w:tc>
        <w:tc>
          <w:tcPr>
            <w:tcW w:w="6941" w:type="dxa"/>
            <w:vAlign w:val="center"/>
          </w:tcPr>
          <w:p>
            <w:pPr>
              <w:adjustRightInd w:val="0"/>
              <w:snapToGrid w:val="0"/>
              <w:jc w:val="left"/>
              <w:rPr>
                <w:rFonts w:ascii="Times New Roman" w:hAnsi="Times New Roman"/>
                <w:color w:val="auto"/>
              </w:rPr>
            </w:pPr>
            <w:r>
              <w:rPr>
                <w:rFonts w:ascii="Times New Roman" w:hAnsi="Times New Roman"/>
                <w:color w:val="auto"/>
              </w:rPr>
              <w:t>有机无机掺混肥料</w:t>
            </w:r>
          </w:p>
        </w:tc>
      </w:tr>
    </w:tbl>
    <w:p>
      <w:pPr>
        <w:pStyle w:val="54"/>
        <w:widowControl w:val="0"/>
        <w:adjustRightInd/>
        <w:spacing w:before="120" w:beforeLines="50" w:after="240" w:afterLines="100" w:line="360" w:lineRule="auto"/>
        <w:rPr>
          <w:rFonts w:ascii="Times New Roman" w:hAnsi="Times New Roman"/>
          <w:iCs/>
          <w:color w:val="auto"/>
          <w:sz w:val="18"/>
          <w:szCs w:val="18"/>
        </w:rPr>
      </w:pPr>
      <w:r>
        <w:rPr>
          <w:rFonts w:ascii="Times New Roman" w:hAnsi="Times New Roman"/>
          <w:iCs/>
          <w:color w:val="auto"/>
          <w:sz w:val="18"/>
          <w:szCs w:val="18"/>
        </w:rPr>
        <w:t>注：自本细则发布实施之日起，未获得上述产品生产许可证的企业，不得生产该产品，销售单位不得销售无生产许可证的产品，违者将按有关规定予以处罚。因产品标准变化和细则调整，已公告查处的产品（产品单元划分、具体名称等情况发生变化对照关系见附件6），查处时间仍以原公告时间为准。</w:t>
      </w:r>
    </w:p>
    <w:bookmarkEnd w:id="7"/>
    <w:bookmarkEnd w:id="8"/>
    <w:p>
      <w:pPr>
        <w:snapToGrid w:val="0"/>
        <w:spacing w:line="360" w:lineRule="auto"/>
        <w:ind w:firstLine="420" w:firstLineChars="200"/>
        <w:rPr>
          <w:rFonts w:ascii="Times New Roman" w:hAnsi="Times New Roman"/>
          <w:color w:val="auto"/>
        </w:rPr>
      </w:pPr>
      <w:r>
        <w:rPr>
          <w:rFonts w:ascii="Times New Roman" w:hAnsi="Times New Roman"/>
          <w:color w:val="auto"/>
        </w:rPr>
        <w:t>第五条 本细则的发证产品应执行的产品标准和相关标准见表2。</w:t>
      </w:r>
    </w:p>
    <w:p>
      <w:pPr>
        <w:snapToGrid w:val="0"/>
        <w:spacing w:line="360" w:lineRule="auto"/>
        <w:ind w:firstLine="420" w:firstLineChars="200"/>
        <w:jc w:val="left"/>
        <w:rPr>
          <w:rFonts w:ascii="Times New Roman" w:hAnsi="Times New Roman"/>
          <w:color w:val="auto"/>
        </w:rPr>
      </w:pPr>
      <w:r>
        <w:rPr>
          <w:rFonts w:ascii="Times New Roman" w:hAnsi="Times New Roman"/>
          <w:color w:val="auto"/>
        </w:rPr>
        <w:t>本细则在实施过程中，产品的国家标准、行业标准一经修订，企业应当自标准实施之日起按新标准组织生产，生产许可证企业实地核查和产品检验</w:t>
      </w:r>
      <w:r>
        <w:rPr>
          <w:rFonts w:hint="eastAsia" w:ascii="Times New Roman" w:hAnsi="Times New Roman"/>
          <w:color w:val="auto"/>
          <w:lang w:val="en-US" w:eastAsia="zh-CN"/>
        </w:rPr>
        <w:t>检测</w:t>
      </w:r>
      <w:r>
        <w:rPr>
          <w:rFonts w:ascii="Times New Roman" w:hAnsi="Times New Roman"/>
          <w:color w:val="auto"/>
        </w:rPr>
        <w:t>应按照新标准要求进行。</w:t>
      </w:r>
    </w:p>
    <w:p>
      <w:pPr>
        <w:snapToGrid w:val="0"/>
        <w:spacing w:before="240" w:beforeLines="100"/>
        <w:jc w:val="center"/>
        <w:rPr>
          <w:rFonts w:ascii="Times New Roman" w:hAnsi="Times New Roman"/>
          <w:b/>
          <w:color w:val="auto"/>
        </w:rPr>
      </w:pPr>
      <w:r>
        <w:rPr>
          <w:rFonts w:ascii="Times New Roman" w:hAnsi="Times New Roman"/>
          <w:b/>
          <w:color w:val="auto"/>
        </w:rPr>
        <w:t>表2 复肥产品执行标准和相关标准</w:t>
      </w:r>
    </w:p>
    <w:tbl>
      <w:tblPr>
        <w:tblStyle w:val="37"/>
        <w:tblW w:w="91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562"/>
        <w:gridCol w:w="1281"/>
        <w:gridCol w:w="2405"/>
        <w:gridCol w:w="48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blHeader/>
          <w:jc w:val="center"/>
        </w:trPr>
        <w:tc>
          <w:tcPr>
            <w:tcW w:w="562" w:type="dxa"/>
            <w:vAlign w:val="center"/>
          </w:tcPr>
          <w:p>
            <w:pPr>
              <w:adjustRightInd w:val="0"/>
              <w:snapToGrid w:val="0"/>
              <w:jc w:val="center"/>
              <w:rPr>
                <w:rFonts w:ascii="Times New Roman" w:hAnsi="Times New Roman"/>
                <w:b/>
                <w:color w:val="auto"/>
              </w:rPr>
            </w:pPr>
            <w:r>
              <w:rPr>
                <w:rFonts w:ascii="Times New Roman" w:hAnsi="Times New Roman"/>
                <w:b/>
                <w:color w:val="auto"/>
              </w:rPr>
              <w:t>序号</w:t>
            </w:r>
          </w:p>
        </w:tc>
        <w:tc>
          <w:tcPr>
            <w:tcW w:w="1281" w:type="dxa"/>
            <w:vAlign w:val="center"/>
          </w:tcPr>
          <w:p>
            <w:pPr>
              <w:adjustRightInd w:val="0"/>
              <w:snapToGrid w:val="0"/>
              <w:jc w:val="center"/>
              <w:rPr>
                <w:rFonts w:ascii="Times New Roman" w:hAnsi="Times New Roman"/>
                <w:b/>
                <w:color w:val="auto"/>
              </w:rPr>
            </w:pPr>
            <w:r>
              <w:rPr>
                <w:rFonts w:ascii="Times New Roman" w:hAnsi="Times New Roman"/>
                <w:b/>
                <w:color w:val="auto"/>
              </w:rPr>
              <w:t>产品单元</w:t>
            </w:r>
          </w:p>
        </w:tc>
        <w:tc>
          <w:tcPr>
            <w:tcW w:w="2405" w:type="dxa"/>
            <w:vAlign w:val="center"/>
          </w:tcPr>
          <w:p>
            <w:pPr>
              <w:adjustRightInd w:val="0"/>
              <w:snapToGrid w:val="0"/>
              <w:jc w:val="center"/>
              <w:rPr>
                <w:rFonts w:ascii="Times New Roman" w:hAnsi="Times New Roman"/>
                <w:b/>
                <w:color w:val="auto"/>
              </w:rPr>
            </w:pPr>
            <w:r>
              <w:rPr>
                <w:rFonts w:ascii="Times New Roman" w:hAnsi="Times New Roman"/>
                <w:b/>
                <w:color w:val="auto"/>
              </w:rPr>
              <w:t>复肥种类及标准</w:t>
            </w:r>
          </w:p>
        </w:tc>
        <w:tc>
          <w:tcPr>
            <w:tcW w:w="4874" w:type="dxa"/>
            <w:vAlign w:val="center"/>
          </w:tcPr>
          <w:p>
            <w:pPr>
              <w:adjustRightInd w:val="0"/>
              <w:snapToGrid w:val="0"/>
              <w:jc w:val="center"/>
              <w:rPr>
                <w:rFonts w:ascii="Times New Roman" w:hAnsi="Times New Roman"/>
                <w:b/>
                <w:color w:val="auto"/>
              </w:rPr>
            </w:pPr>
            <w:r>
              <w:rPr>
                <w:rFonts w:ascii="Times New Roman" w:hAnsi="Times New Roman"/>
                <w:b/>
                <w:color w:val="auto"/>
              </w:rPr>
              <w:t>相关标准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2" w:type="dxa"/>
            <w:vAlign w:val="center"/>
          </w:tcPr>
          <w:p>
            <w:pPr>
              <w:adjustRightInd w:val="0"/>
              <w:snapToGrid w:val="0"/>
              <w:jc w:val="center"/>
              <w:rPr>
                <w:rFonts w:ascii="Times New Roman" w:hAnsi="Times New Roman"/>
                <w:color w:val="auto"/>
              </w:rPr>
            </w:pPr>
            <w:r>
              <w:rPr>
                <w:rFonts w:ascii="Times New Roman" w:hAnsi="Times New Roman"/>
                <w:color w:val="auto"/>
              </w:rPr>
              <w:t>1</w:t>
            </w:r>
          </w:p>
        </w:tc>
        <w:tc>
          <w:tcPr>
            <w:tcW w:w="1281" w:type="dxa"/>
            <w:vAlign w:val="center"/>
          </w:tcPr>
          <w:p>
            <w:pPr>
              <w:adjustRightInd w:val="0"/>
              <w:snapToGrid w:val="0"/>
              <w:jc w:val="center"/>
              <w:rPr>
                <w:rFonts w:ascii="Times New Roman" w:hAnsi="Times New Roman"/>
                <w:color w:val="auto"/>
              </w:rPr>
            </w:pPr>
            <w:r>
              <w:rPr>
                <w:rFonts w:ascii="Times New Roman" w:hAnsi="Times New Roman"/>
                <w:bCs/>
                <w:color w:val="auto"/>
              </w:rPr>
              <w:t>复合肥料</w:t>
            </w:r>
          </w:p>
        </w:tc>
        <w:tc>
          <w:tcPr>
            <w:tcW w:w="2405" w:type="dxa"/>
            <w:vAlign w:val="center"/>
          </w:tcPr>
          <w:p>
            <w:pPr>
              <w:adjustRightInd w:val="0"/>
              <w:snapToGrid w:val="0"/>
              <w:rPr>
                <w:rFonts w:ascii="Times New Roman" w:hAnsi="Times New Roman"/>
                <w:bCs/>
                <w:color w:val="auto"/>
              </w:rPr>
            </w:pPr>
            <w:r>
              <w:rPr>
                <w:rFonts w:ascii="Times New Roman" w:hAnsi="Times New Roman"/>
                <w:bCs/>
                <w:color w:val="auto"/>
              </w:rPr>
              <w:t>GB/T 15063—2020 复合肥料</w:t>
            </w:r>
          </w:p>
          <w:p>
            <w:pPr>
              <w:adjustRightInd w:val="0"/>
              <w:snapToGrid w:val="0"/>
              <w:rPr>
                <w:rFonts w:ascii="Times New Roman" w:hAnsi="Times New Roman"/>
                <w:bCs/>
                <w:color w:val="auto"/>
              </w:rPr>
            </w:pPr>
            <w:r>
              <w:rPr>
                <w:rFonts w:ascii="Times New Roman" w:hAnsi="Times New Roman"/>
                <w:bCs/>
                <w:color w:val="auto"/>
              </w:rPr>
              <w:t>HG/T 4851—2016 硝基复合肥料</w:t>
            </w:r>
          </w:p>
          <w:p>
            <w:pPr>
              <w:adjustRightInd w:val="0"/>
              <w:snapToGrid w:val="0"/>
              <w:rPr>
                <w:rFonts w:ascii="Times New Roman" w:hAnsi="Times New Roman"/>
                <w:bCs/>
                <w:color w:val="auto"/>
              </w:rPr>
            </w:pPr>
            <w:r>
              <w:rPr>
                <w:rFonts w:ascii="Times New Roman" w:hAnsi="Times New Roman"/>
                <w:bCs/>
                <w:color w:val="auto"/>
              </w:rPr>
              <w:t>GB/T 23348—2009 缓释肥料</w:t>
            </w:r>
          </w:p>
          <w:p>
            <w:pPr>
              <w:adjustRightInd w:val="0"/>
              <w:snapToGrid w:val="0"/>
              <w:rPr>
                <w:rFonts w:ascii="Times New Roman" w:hAnsi="Times New Roman"/>
                <w:bCs/>
                <w:color w:val="auto"/>
              </w:rPr>
            </w:pPr>
            <w:r>
              <w:rPr>
                <w:rFonts w:ascii="Times New Roman" w:hAnsi="Times New Roman"/>
                <w:bCs/>
                <w:color w:val="auto"/>
              </w:rPr>
              <w:t>HG/T 4215—2011 控释肥料</w:t>
            </w:r>
          </w:p>
          <w:p>
            <w:pPr>
              <w:adjustRightInd w:val="0"/>
              <w:snapToGrid w:val="0"/>
              <w:rPr>
                <w:rFonts w:ascii="Times New Roman" w:hAnsi="Times New Roman"/>
                <w:bCs/>
                <w:color w:val="auto"/>
              </w:rPr>
            </w:pPr>
            <w:r>
              <w:rPr>
                <w:rFonts w:ascii="Times New Roman" w:hAnsi="Times New Roman"/>
                <w:bCs/>
                <w:color w:val="auto"/>
              </w:rPr>
              <w:t>GB/T 29401—2020 硫包衣尿素</w:t>
            </w:r>
          </w:p>
          <w:p>
            <w:pPr>
              <w:adjustRightInd w:val="0"/>
              <w:snapToGrid w:val="0"/>
              <w:rPr>
                <w:rFonts w:ascii="Times New Roman" w:hAnsi="Times New Roman"/>
                <w:bCs/>
                <w:color w:val="auto"/>
              </w:rPr>
            </w:pPr>
            <w:r>
              <w:rPr>
                <w:rFonts w:ascii="Times New Roman" w:hAnsi="Times New Roman"/>
                <w:bCs/>
                <w:color w:val="auto"/>
              </w:rPr>
              <w:t>GB/T 34763—2017 脲醛缓释肥料</w:t>
            </w:r>
          </w:p>
          <w:p>
            <w:pPr>
              <w:adjustRightInd w:val="0"/>
              <w:snapToGrid w:val="0"/>
              <w:rPr>
                <w:rFonts w:ascii="Times New Roman" w:hAnsi="Times New Roman"/>
                <w:bCs/>
                <w:color w:val="auto"/>
              </w:rPr>
            </w:pPr>
            <w:r>
              <w:rPr>
                <w:rFonts w:ascii="Times New Roman" w:hAnsi="Times New Roman"/>
                <w:bCs/>
                <w:color w:val="auto"/>
              </w:rPr>
              <w:t>GB/T 35113—2017 稳定性肥料</w:t>
            </w:r>
          </w:p>
          <w:p>
            <w:pPr>
              <w:adjustRightInd w:val="0"/>
              <w:snapToGrid w:val="0"/>
              <w:rPr>
                <w:rFonts w:ascii="Times New Roman" w:hAnsi="Times New Roman"/>
                <w:bCs/>
                <w:color w:val="auto"/>
              </w:rPr>
            </w:pPr>
            <w:r>
              <w:rPr>
                <w:rFonts w:ascii="Times New Roman" w:hAnsi="Times New Roman"/>
                <w:bCs/>
                <w:color w:val="auto"/>
              </w:rPr>
              <w:t>HG/T 4217—2011 无机包裹型复混肥料（复合肥料）</w:t>
            </w:r>
          </w:p>
          <w:p>
            <w:pPr>
              <w:adjustRightInd w:val="0"/>
              <w:snapToGrid w:val="0"/>
              <w:rPr>
                <w:rFonts w:ascii="Times New Roman" w:hAnsi="Times New Roman"/>
                <w:bCs/>
                <w:color w:val="auto"/>
              </w:rPr>
            </w:pPr>
            <w:r>
              <w:rPr>
                <w:rFonts w:ascii="Times New Roman" w:hAnsi="Times New Roman"/>
                <w:bCs/>
                <w:color w:val="auto"/>
              </w:rPr>
              <w:t>HG/T 5046—2016 腐植酸复合肥料</w:t>
            </w:r>
          </w:p>
          <w:p>
            <w:pPr>
              <w:adjustRightInd w:val="0"/>
              <w:snapToGrid w:val="0"/>
              <w:rPr>
                <w:rFonts w:ascii="Times New Roman" w:hAnsi="Times New Roman"/>
                <w:bCs/>
                <w:color w:val="auto"/>
              </w:rPr>
            </w:pPr>
            <w:r>
              <w:rPr>
                <w:rFonts w:ascii="Times New Roman" w:hAnsi="Times New Roman"/>
                <w:bCs/>
                <w:color w:val="auto"/>
              </w:rPr>
              <w:t>HG/T 5050—2016 海藻酸类肥料</w:t>
            </w:r>
          </w:p>
          <w:p>
            <w:pPr>
              <w:adjustRightInd w:val="0"/>
              <w:snapToGrid w:val="0"/>
              <w:rPr>
                <w:rFonts w:ascii="Times New Roman" w:hAnsi="Times New Roman"/>
                <w:bCs/>
                <w:color w:val="auto"/>
              </w:rPr>
            </w:pPr>
            <w:r>
              <w:rPr>
                <w:rFonts w:ascii="Times New Roman" w:hAnsi="Times New Roman"/>
                <w:bCs/>
                <w:color w:val="auto"/>
              </w:rPr>
              <w:t>HG/T 5516—2019 含硫酸脲复合肥料</w:t>
            </w:r>
          </w:p>
        </w:tc>
        <w:tc>
          <w:tcPr>
            <w:tcW w:w="4874" w:type="dxa"/>
            <w:vAlign w:val="center"/>
          </w:tcPr>
          <w:p>
            <w:pPr>
              <w:adjustRightInd w:val="0"/>
              <w:snapToGrid w:val="0"/>
              <w:rPr>
                <w:rFonts w:ascii="Times New Roman" w:hAnsi="Times New Roman"/>
                <w:color w:val="auto"/>
              </w:rPr>
            </w:pPr>
            <w:r>
              <w:rPr>
                <w:rFonts w:ascii="Times New Roman" w:hAnsi="Times New Roman"/>
                <w:bCs/>
                <w:color w:val="auto"/>
              </w:rPr>
              <w:t>GB 18382—2021 肥料标识 内容和要求</w:t>
            </w:r>
          </w:p>
          <w:p>
            <w:pPr>
              <w:adjustRightInd w:val="0"/>
              <w:snapToGrid w:val="0"/>
              <w:rPr>
                <w:rFonts w:ascii="Times New Roman" w:hAnsi="Times New Roman"/>
                <w:bCs/>
                <w:color w:val="auto"/>
              </w:rPr>
            </w:pPr>
            <w:r>
              <w:rPr>
                <w:rFonts w:ascii="Times New Roman" w:hAnsi="Times New Roman"/>
                <w:color w:val="auto"/>
              </w:rPr>
              <w:t>GB 38400—2019 肥料中有毒有害物质的限量要求</w:t>
            </w:r>
          </w:p>
          <w:p>
            <w:pPr>
              <w:adjustRightInd w:val="0"/>
              <w:snapToGrid w:val="0"/>
              <w:rPr>
                <w:rFonts w:ascii="Times New Roman" w:hAnsi="Times New Roman"/>
                <w:color w:val="auto"/>
              </w:rPr>
            </w:pPr>
            <w:r>
              <w:rPr>
                <w:rFonts w:ascii="Times New Roman" w:hAnsi="Times New Roman"/>
                <w:color w:val="auto"/>
              </w:rPr>
              <w:t>GB/T 2441.1—</w:t>
            </w:r>
            <w:r>
              <w:rPr>
                <w:rFonts w:hint="eastAsia" w:ascii="Times New Roman" w:hAnsi="Times New Roman"/>
                <w:color w:val="auto"/>
              </w:rPr>
              <w:t>2008</w:t>
            </w:r>
            <w:r>
              <w:rPr>
                <w:rFonts w:ascii="Times New Roman" w:hAnsi="Times New Roman"/>
                <w:color w:val="auto"/>
              </w:rPr>
              <w:t xml:space="preserve"> 尿素的测定方法第1部分:总</w:t>
            </w:r>
            <w:r>
              <w:rPr>
                <w:rFonts w:hint="eastAsia" w:ascii="Times New Roman" w:hAnsi="Times New Roman"/>
                <w:color w:val="auto"/>
              </w:rPr>
              <w:t>氮</w:t>
            </w:r>
            <w:r>
              <w:rPr>
                <w:rFonts w:ascii="Times New Roman" w:hAnsi="Times New Roman"/>
                <w:color w:val="auto"/>
              </w:rPr>
              <w:t>含量</w:t>
            </w:r>
          </w:p>
          <w:p>
            <w:pPr>
              <w:adjustRightInd w:val="0"/>
              <w:snapToGrid w:val="0"/>
              <w:rPr>
                <w:rFonts w:ascii="Times New Roman" w:hAnsi="Times New Roman"/>
                <w:color w:val="auto"/>
              </w:rPr>
            </w:pPr>
            <w:r>
              <w:rPr>
                <w:rFonts w:ascii="Times New Roman" w:hAnsi="Times New Roman"/>
                <w:color w:val="auto"/>
              </w:rPr>
              <w:t>GB/T 2441.7—</w:t>
            </w:r>
            <w:r>
              <w:rPr>
                <w:rFonts w:hint="eastAsia" w:ascii="Times New Roman" w:hAnsi="Times New Roman"/>
                <w:color w:val="auto"/>
              </w:rPr>
              <w:t>20</w:t>
            </w:r>
            <w:r>
              <w:rPr>
                <w:rFonts w:ascii="Times New Roman" w:hAnsi="Times New Roman"/>
                <w:color w:val="auto"/>
              </w:rPr>
              <w:t>10 尿素的测定方法第7部分:粒度 筛分法</w:t>
            </w:r>
          </w:p>
          <w:p>
            <w:pPr>
              <w:adjustRightInd w:val="0"/>
              <w:snapToGrid w:val="0"/>
              <w:rPr>
                <w:rFonts w:ascii="Times New Roman" w:hAnsi="Times New Roman"/>
                <w:bCs/>
                <w:color w:val="auto"/>
              </w:rPr>
            </w:pPr>
            <w:r>
              <w:rPr>
                <w:rFonts w:ascii="Times New Roman" w:hAnsi="Times New Roman"/>
                <w:bCs/>
                <w:color w:val="auto"/>
              </w:rPr>
              <w:t>GB/T 3597—2002</w:t>
            </w:r>
            <w:r>
              <w:rPr>
                <w:rFonts w:hint="default" w:ascii="Times New Roman" w:hAnsi="Times New Roman"/>
                <w:b w:val="0"/>
                <w:bCs/>
                <w:color w:val="auto"/>
                <w:shd w:val="clear" w:color="auto" w:fill="FFFFFF"/>
              </w:rPr>
              <w:t>肥料中硝态氮含量的测定</w:t>
            </w:r>
            <w:r>
              <w:rPr>
                <w:rFonts w:ascii="Times New Roman" w:hAnsi="Times New Roman"/>
                <w:b w:val="0"/>
                <w:bCs/>
                <w:color w:val="auto"/>
                <w:shd w:val="clear" w:color="auto" w:fill="FFFFFF"/>
              </w:rPr>
              <w:t xml:space="preserve"> </w:t>
            </w:r>
            <w:r>
              <w:rPr>
                <w:rFonts w:hint="default" w:ascii="Times New Roman" w:hAnsi="Times New Roman"/>
                <w:b w:val="0"/>
                <w:bCs/>
                <w:color w:val="auto"/>
                <w:shd w:val="clear" w:color="auto" w:fill="FFFFFF"/>
              </w:rPr>
              <w:t>氮试剂重量法</w:t>
            </w:r>
          </w:p>
          <w:p>
            <w:pPr>
              <w:adjustRightInd w:val="0"/>
              <w:snapToGrid w:val="0"/>
              <w:rPr>
                <w:rFonts w:ascii="Times New Roman" w:hAnsi="Times New Roman"/>
                <w:bCs/>
                <w:color w:val="auto"/>
              </w:rPr>
            </w:pPr>
            <w:r>
              <w:rPr>
                <w:rFonts w:ascii="Times New Roman" w:hAnsi="Times New Roman"/>
                <w:bCs/>
                <w:color w:val="auto"/>
              </w:rPr>
              <w:t>GB/T 6679—2003 固体化工产品采样通则</w:t>
            </w:r>
          </w:p>
          <w:p>
            <w:pPr>
              <w:adjustRightInd w:val="0"/>
              <w:snapToGrid w:val="0"/>
              <w:rPr>
                <w:rFonts w:ascii="Times New Roman" w:hAnsi="Times New Roman"/>
                <w:bCs/>
                <w:color w:val="auto"/>
              </w:rPr>
            </w:pPr>
            <w:r>
              <w:rPr>
                <w:rFonts w:ascii="Times New Roman" w:hAnsi="Times New Roman"/>
                <w:bCs/>
                <w:color w:val="auto"/>
              </w:rPr>
              <w:t>GB/T 6682—2008 分析实验室用水规格和试验方法</w:t>
            </w:r>
          </w:p>
          <w:p>
            <w:pPr>
              <w:adjustRightInd w:val="0"/>
              <w:snapToGrid w:val="0"/>
              <w:rPr>
                <w:rFonts w:ascii="Times New Roman" w:hAnsi="Times New Roman"/>
                <w:bCs/>
                <w:color w:val="auto"/>
              </w:rPr>
            </w:pPr>
            <w:r>
              <w:rPr>
                <w:rFonts w:ascii="Times New Roman" w:hAnsi="Times New Roman"/>
                <w:bCs/>
                <w:color w:val="auto"/>
              </w:rPr>
              <w:t>GB/T 8170—2008 数值修约规则与极限数值的表示和判定</w:t>
            </w:r>
          </w:p>
          <w:p>
            <w:pPr>
              <w:adjustRightInd w:val="0"/>
              <w:snapToGrid w:val="0"/>
              <w:rPr>
                <w:rFonts w:ascii="Times New Roman" w:hAnsi="Times New Roman"/>
                <w:bCs/>
                <w:color w:val="auto"/>
              </w:rPr>
            </w:pPr>
            <w:r>
              <w:rPr>
                <w:rFonts w:ascii="Times New Roman" w:hAnsi="Times New Roman"/>
                <w:bCs/>
                <w:color w:val="auto"/>
              </w:rPr>
              <w:t>GB/T 8569—2009 固体化学肥料包装</w:t>
            </w:r>
          </w:p>
          <w:p>
            <w:pPr>
              <w:adjustRightInd w:val="0"/>
              <w:snapToGrid w:val="0"/>
              <w:rPr>
                <w:rFonts w:ascii="Times New Roman" w:hAnsi="Times New Roman"/>
                <w:bCs/>
                <w:color w:val="auto"/>
              </w:rPr>
            </w:pPr>
            <w:r>
              <w:rPr>
                <w:rFonts w:ascii="Times New Roman" w:hAnsi="Times New Roman"/>
                <w:bCs/>
                <w:color w:val="auto"/>
              </w:rPr>
              <w:t>GB/T 8571—2008 复混肥料</w:t>
            </w:r>
            <w:r>
              <w:rPr>
                <w:rFonts w:hint="eastAsia" w:ascii="Times New Roman" w:hAnsi="Times New Roman"/>
                <w:bCs/>
                <w:color w:val="auto"/>
              </w:rPr>
              <w:t xml:space="preserve"> </w:t>
            </w:r>
            <w:r>
              <w:rPr>
                <w:rFonts w:ascii="Times New Roman" w:hAnsi="Times New Roman"/>
                <w:bCs/>
                <w:color w:val="auto"/>
              </w:rPr>
              <w:t>实验室样品制备</w:t>
            </w:r>
          </w:p>
          <w:p>
            <w:pPr>
              <w:adjustRightInd w:val="0"/>
              <w:snapToGrid w:val="0"/>
              <w:rPr>
                <w:rFonts w:ascii="Times New Roman" w:hAnsi="Times New Roman"/>
                <w:bCs/>
                <w:color w:val="auto"/>
              </w:rPr>
            </w:pPr>
            <w:r>
              <w:rPr>
                <w:rFonts w:ascii="Times New Roman" w:hAnsi="Times New Roman"/>
                <w:bCs/>
                <w:color w:val="auto"/>
              </w:rPr>
              <w:t>GB/T 8572—2010 复混肥料中总氮含量的测定 蒸馏后滴定法</w:t>
            </w:r>
          </w:p>
          <w:p>
            <w:pPr>
              <w:adjustRightInd w:val="0"/>
              <w:snapToGrid w:val="0"/>
              <w:rPr>
                <w:rFonts w:ascii="Times New Roman" w:hAnsi="Times New Roman"/>
                <w:bCs/>
                <w:color w:val="auto"/>
              </w:rPr>
            </w:pPr>
            <w:r>
              <w:rPr>
                <w:rFonts w:ascii="Times New Roman" w:hAnsi="Times New Roman"/>
                <w:bCs/>
                <w:color w:val="auto"/>
              </w:rPr>
              <w:t>GB/T 8573—2017 复混肥料中有效磷含量测定</w:t>
            </w:r>
          </w:p>
          <w:p>
            <w:pPr>
              <w:adjustRightInd w:val="0"/>
              <w:snapToGrid w:val="0"/>
              <w:rPr>
                <w:rFonts w:ascii="Times New Roman" w:hAnsi="Times New Roman"/>
                <w:bCs/>
                <w:color w:val="auto"/>
              </w:rPr>
            </w:pPr>
            <w:r>
              <w:rPr>
                <w:rFonts w:ascii="Times New Roman" w:hAnsi="Times New Roman"/>
                <w:bCs/>
                <w:color w:val="auto"/>
              </w:rPr>
              <w:t>GB/T 8574—2024 复合肥料中钾含量的测定</w:t>
            </w:r>
          </w:p>
          <w:p>
            <w:pPr>
              <w:adjustRightInd w:val="0"/>
              <w:snapToGrid w:val="0"/>
              <w:rPr>
                <w:rFonts w:ascii="Times New Roman" w:hAnsi="Times New Roman"/>
                <w:bCs/>
                <w:color w:val="auto"/>
              </w:rPr>
            </w:pPr>
            <w:r>
              <w:rPr>
                <w:rFonts w:ascii="Times New Roman" w:hAnsi="Times New Roman"/>
                <w:bCs/>
                <w:color w:val="auto"/>
              </w:rPr>
              <w:t>GB/T 8576—2010 复混肥料中游离水含量的测定 真空烘箱法</w:t>
            </w:r>
          </w:p>
          <w:p>
            <w:pPr>
              <w:adjustRightInd w:val="0"/>
              <w:snapToGrid w:val="0"/>
              <w:rPr>
                <w:rFonts w:ascii="Times New Roman" w:hAnsi="Times New Roman"/>
                <w:bCs/>
                <w:color w:val="auto"/>
              </w:rPr>
            </w:pPr>
            <w:r>
              <w:rPr>
                <w:rFonts w:ascii="Times New Roman" w:hAnsi="Times New Roman"/>
                <w:bCs/>
                <w:color w:val="auto"/>
              </w:rPr>
              <w:t>GB/T 8577—2010 复混肥料中游离水含量的测定 卡尔·费休法</w:t>
            </w:r>
          </w:p>
          <w:p>
            <w:pPr>
              <w:adjustRightInd w:val="0"/>
              <w:snapToGrid w:val="0"/>
              <w:rPr>
                <w:rFonts w:ascii="Times New Roman" w:hAnsi="Times New Roman"/>
                <w:bCs/>
                <w:color w:val="auto"/>
              </w:rPr>
            </w:pPr>
            <w:r>
              <w:rPr>
                <w:rFonts w:ascii="Times New Roman" w:hAnsi="Times New Roman"/>
                <w:bCs/>
                <w:color w:val="auto"/>
              </w:rPr>
              <w:t>GB/T 11957—2001 煤中腐植酸产率测定方法</w:t>
            </w:r>
          </w:p>
          <w:p>
            <w:pPr>
              <w:adjustRightInd w:val="0"/>
              <w:snapToGrid w:val="0"/>
              <w:rPr>
                <w:rFonts w:ascii="Times New Roman" w:hAnsi="Times New Roman"/>
                <w:bCs/>
                <w:color w:val="auto"/>
              </w:rPr>
            </w:pPr>
            <w:r>
              <w:rPr>
                <w:rFonts w:ascii="Times New Roman" w:hAnsi="Times New Roman"/>
                <w:bCs/>
                <w:color w:val="auto"/>
              </w:rPr>
              <w:t>GB/T 14540—2003 复混肥料中铜、铁、锰、锌、硼、钼含量的测定</w:t>
            </w:r>
          </w:p>
          <w:p>
            <w:pPr>
              <w:adjustRightInd w:val="0"/>
              <w:snapToGrid w:val="0"/>
              <w:rPr>
                <w:rFonts w:ascii="Times New Roman" w:hAnsi="Times New Roman"/>
                <w:bCs/>
                <w:color w:val="auto"/>
              </w:rPr>
            </w:pPr>
            <w:r>
              <w:rPr>
                <w:rFonts w:ascii="Times New Roman" w:hAnsi="Times New Roman"/>
                <w:bCs/>
                <w:color w:val="auto"/>
              </w:rPr>
              <w:t>GB/T 19203—2003 复混肥料中钙、镁、硫含量的测定</w:t>
            </w:r>
          </w:p>
          <w:p>
            <w:pPr>
              <w:adjustRightInd w:val="0"/>
              <w:snapToGrid w:val="0"/>
              <w:rPr>
                <w:rFonts w:ascii="Times New Roman" w:hAnsi="Times New Roman"/>
                <w:bCs/>
                <w:color w:val="auto"/>
              </w:rPr>
            </w:pPr>
            <w:r>
              <w:rPr>
                <w:rFonts w:ascii="Times New Roman" w:hAnsi="Times New Roman"/>
                <w:bCs/>
                <w:color w:val="auto"/>
              </w:rPr>
              <w:t>GB/T 22923—2008 肥料中氮、磷、钾的自动分析仪测定法</w:t>
            </w:r>
          </w:p>
          <w:p>
            <w:pPr>
              <w:adjustRightInd w:val="0"/>
              <w:snapToGrid w:val="0"/>
              <w:rPr>
                <w:rFonts w:ascii="Times New Roman" w:hAnsi="Times New Roman"/>
                <w:bCs/>
                <w:color w:val="auto"/>
              </w:rPr>
            </w:pPr>
            <w:r>
              <w:rPr>
                <w:rFonts w:ascii="Times New Roman" w:hAnsi="Times New Roman"/>
                <w:bCs/>
                <w:color w:val="auto"/>
              </w:rPr>
              <w:t>GB/T 22924—2024 复合肥料中缩二脲含量的测定</w:t>
            </w:r>
          </w:p>
          <w:p>
            <w:pPr>
              <w:adjustRightInd w:val="0"/>
              <w:snapToGrid w:val="0"/>
              <w:rPr>
                <w:rFonts w:ascii="Times New Roman" w:hAnsi="Times New Roman"/>
                <w:bCs/>
                <w:color w:val="auto"/>
              </w:rPr>
            </w:pPr>
            <w:r>
              <w:rPr>
                <w:rFonts w:ascii="Times New Roman" w:hAnsi="Times New Roman"/>
                <w:bCs/>
                <w:color w:val="auto"/>
              </w:rPr>
              <w:t>GB/T 23349—2020 肥料中砷、镉、铅、铬、汞含量的测定</w:t>
            </w:r>
          </w:p>
          <w:p>
            <w:pPr>
              <w:adjustRightInd w:val="0"/>
              <w:snapToGrid w:val="0"/>
              <w:rPr>
                <w:rFonts w:ascii="Times New Roman" w:hAnsi="Times New Roman"/>
                <w:bCs/>
                <w:color w:val="auto"/>
              </w:rPr>
            </w:pPr>
            <w:r>
              <w:rPr>
                <w:rFonts w:ascii="Times New Roman" w:hAnsi="Times New Roman"/>
                <w:bCs/>
                <w:color w:val="auto"/>
              </w:rPr>
              <w:t>GB/T 24890—2010 复混肥料中氯离子含量的测定</w:t>
            </w:r>
          </w:p>
          <w:p>
            <w:pPr>
              <w:adjustRightInd w:val="0"/>
              <w:snapToGrid w:val="0"/>
              <w:rPr>
                <w:rFonts w:ascii="Times New Roman" w:hAnsi="Times New Roman"/>
                <w:bCs/>
                <w:color w:val="auto"/>
              </w:rPr>
            </w:pPr>
            <w:r>
              <w:rPr>
                <w:rFonts w:ascii="Times New Roman" w:hAnsi="Times New Roman"/>
                <w:bCs/>
                <w:color w:val="auto"/>
              </w:rPr>
              <w:t>GB/T 24891—2010 复混肥料粒度的测定</w:t>
            </w:r>
          </w:p>
          <w:p>
            <w:pPr>
              <w:adjustRightInd w:val="0"/>
              <w:snapToGrid w:val="0"/>
              <w:rPr>
                <w:rFonts w:ascii="Times New Roman" w:hAnsi="Times New Roman"/>
                <w:bCs/>
                <w:color w:val="auto"/>
              </w:rPr>
            </w:pPr>
            <w:r>
              <w:rPr>
                <w:rFonts w:ascii="Times New Roman" w:hAnsi="Times New Roman"/>
                <w:bCs/>
                <w:color w:val="auto"/>
              </w:rPr>
              <w:t>GB/T 34764—2017 肥料中铜、铁、锰、锌、硼、钼含量的测定 等离子体发射光谱法</w:t>
            </w:r>
          </w:p>
          <w:p>
            <w:pPr>
              <w:adjustRightInd w:val="0"/>
              <w:snapToGrid w:val="0"/>
              <w:rPr>
                <w:rFonts w:ascii="Times New Roman" w:hAnsi="Times New Roman"/>
                <w:bCs/>
                <w:color w:val="auto"/>
              </w:rPr>
            </w:pPr>
            <w:r>
              <w:rPr>
                <w:rFonts w:ascii="Times New Roman" w:hAnsi="Times New Roman"/>
                <w:bCs/>
                <w:color w:val="auto"/>
              </w:rPr>
              <w:t>GB/T 39229—2020/ISO 17318：2015 肥料和土壤调理剂 砷、镉、铬、铅、汞含量的测定</w:t>
            </w:r>
          </w:p>
          <w:p>
            <w:pPr>
              <w:adjustRightInd w:val="0"/>
              <w:snapToGrid w:val="0"/>
              <w:rPr>
                <w:rFonts w:ascii="Times New Roman" w:hAnsi="Times New Roman"/>
                <w:bCs/>
                <w:color w:val="auto"/>
              </w:rPr>
            </w:pPr>
            <w:r>
              <w:rPr>
                <w:rFonts w:ascii="Times New Roman" w:hAnsi="Times New Roman"/>
                <w:bCs/>
                <w:color w:val="auto"/>
              </w:rPr>
              <w:t>GB/T 39356—2020 肥料中总镍、总钴、总硒、总钒、总锑、总铊含量的测定 电感耦合等离子体发射光谱法</w:t>
            </w:r>
          </w:p>
          <w:p>
            <w:pPr>
              <w:adjustRightInd w:val="0"/>
              <w:snapToGrid w:val="0"/>
              <w:rPr>
                <w:rFonts w:ascii="Times New Roman" w:hAnsi="Times New Roman"/>
                <w:bCs/>
                <w:color w:val="auto"/>
              </w:rPr>
            </w:pPr>
            <w:r>
              <w:rPr>
                <w:rFonts w:ascii="Times New Roman" w:hAnsi="Times New Roman"/>
                <w:bCs/>
                <w:color w:val="auto"/>
              </w:rPr>
              <w:t>GB/T 42307—</w:t>
            </w:r>
            <w:r>
              <w:rPr>
                <w:rFonts w:hint="eastAsia" w:ascii="Times New Roman" w:hAnsi="Times New Roman"/>
                <w:bCs/>
                <w:color w:val="auto"/>
              </w:rPr>
              <w:t>2023</w:t>
            </w:r>
            <w:r>
              <w:rPr>
                <w:rFonts w:ascii="Times New Roman" w:hAnsi="Times New Roman"/>
                <w:bCs/>
                <w:color w:val="auto"/>
              </w:rPr>
              <w:t>/ISO 18643：2016 肥料和土壤调理剂</w:t>
            </w:r>
            <w:r>
              <w:rPr>
                <w:rFonts w:hint="eastAsia" w:ascii="Times New Roman" w:hAnsi="Times New Roman"/>
                <w:bCs/>
                <w:color w:val="auto"/>
              </w:rPr>
              <w:t xml:space="preserve"> </w:t>
            </w:r>
            <w:r>
              <w:rPr>
                <w:rFonts w:ascii="Times New Roman" w:hAnsi="Times New Roman"/>
                <w:bCs/>
                <w:color w:val="auto"/>
              </w:rPr>
              <w:t>尿素基肥料中缩二</w:t>
            </w:r>
            <w:r>
              <w:rPr>
                <w:rFonts w:hint="eastAsia" w:ascii="Times New Roman" w:hAnsi="Times New Roman"/>
                <w:bCs/>
                <w:color w:val="auto"/>
              </w:rPr>
              <w:t>脲</w:t>
            </w:r>
            <w:r>
              <w:rPr>
                <w:rFonts w:ascii="Times New Roman" w:hAnsi="Times New Roman"/>
                <w:bCs/>
                <w:color w:val="auto"/>
              </w:rPr>
              <w:t>含量的测定 高效液相色谱法</w:t>
            </w:r>
          </w:p>
          <w:p>
            <w:pPr>
              <w:adjustRightInd w:val="0"/>
              <w:snapToGrid w:val="0"/>
              <w:rPr>
                <w:rFonts w:ascii="Times New Roman" w:hAnsi="Times New Roman"/>
                <w:bCs/>
                <w:color w:val="auto"/>
              </w:rPr>
            </w:pPr>
            <w:r>
              <w:rPr>
                <w:rFonts w:ascii="Times New Roman" w:hAnsi="Times New Roman"/>
                <w:bCs/>
                <w:color w:val="auto"/>
              </w:rPr>
              <w:t>HG/T 2843—1997 化肥产品</w:t>
            </w:r>
            <w:r>
              <w:rPr>
                <w:rFonts w:hint="eastAsia" w:ascii="Times New Roman" w:hAnsi="Times New Roman"/>
                <w:bCs/>
                <w:color w:val="auto"/>
              </w:rPr>
              <w:t xml:space="preserve"> </w:t>
            </w:r>
            <w:r>
              <w:rPr>
                <w:rFonts w:ascii="Times New Roman" w:hAnsi="Times New Roman"/>
                <w:bCs/>
                <w:color w:val="auto"/>
              </w:rPr>
              <w:t>化学分析中常用标准滴定溶液、标准溶液、试剂溶液和指示剂溶液</w:t>
            </w:r>
          </w:p>
          <w:p>
            <w:pPr>
              <w:adjustRightInd w:val="0"/>
              <w:snapToGrid w:val="0"/>
              <w:rPr>
                <w:rFonts w:ascii="Times New Roman" w:hAnsi="Times New Roman"/>
                <w:bCs/>
                <w:color w:val="auto"/>
              </w:rPr>
            </w:pPr>
            <w:r>
              <w:rPr>
                <w:rFonts w:ascii="Times New Roman" w:hAnsi="Times New Roman"/>
                <w:bCs/>
                <w:color w:val="auto"/>
              </w:rPr>
              <w:t>NY/T 52—1987 土壤水分测定法</w:t>
            </w:r>
          </w:p>
          <w:p>
            <w:pPr>
              <w:adjustRightInd w:val="0"/>
              <w:snapToGrid w:val="0"/>
              <w:rPr>
                <w:rFonts w:ascii="Times New Roman" w:hAnsi="Times New Roman"/>
                <w:bCs/>
                <w:color w:val="auto"/>
              </w:rPr>
            </w:pPr>
            <w:r>
              <w:rPr>
                <w:rFonts w:ascii="Times New Roman" w:hAnsi="Times New Roman"/>
                <w:bCs/>
                <w:color w:val="auto"/>
              </w:rPr>
              <w:t>NY/T 1116—2014 肥料</w:t>
            </w:r>
            <w:r>
              <w:rPr>
                <w:rFonts w:hint="eastAsia" w:ascii="Times New Roman" w:hAnsi="Times New Roman"/>
                <w:bCs/>
                <w:color w:val="auto"/>
              </w:rPr>
              <w:t xml:space="preserve"> </w:t>
            </w:r>
            <w:r>
              <w:rPr>
                <w:rFonts w:ascii="Times New Roman" w:hAnsi="Times New Roman"/>
                <w:bCs/>
                <w:color w:val="auto"/>
              </w:rPr>
              <w:t>硝态氮、</w:t>
            </w:r>
            <w:r>
              <w:rPr>
                <w:rFonts w:hint="eastAsia" w:ascii="Times New Roman" w:hAnsi="Times New Roman"/>
                <w:bCs/>
                <w:color w:val="auto"/>
              </w:rPr>
              <w:t>铵</w:t>
            </w:r>
            <w:r>
              <w:rPr>
                <w:rFonts w:ascii="Times New Roman" w:hAnsi="Times New Roman"/>
                <w:bCs/>
                <w:color w:val="auto"/>
              </w:rPr>
              <w:t>态氮、酰胺态氮含量的测定</w:t>
            </w:r>
          </w:p>
          <w:p>
            <w:pPr>
              <w:adjustRightInd w:val="0"/>
              <w:snapToGrid w:val="0"/>
              <w:rPr>
                <w:rFonts w:ascii="Times New Roman" w:hAnsi="Times New Roman"/>
                <w:bCs/>
                <w:color w:val="auto"/>
              </w:rPr>
            </w:pPr>
            <w:r>
              <w:rPr>
                <w:rFonts w:ascii="Times New Roman" w:hAnsi="Times New Roman"/>
                <w:bCs/>
                <w:color w:val="auto"/>
              </w:rPr>
              <w:t>NY/T 1117—2010 水溶肥料</w:t>
            </w:r>
            <w:r>
              <w:rPr>
                <w:rFonts w:hint="eastAsia" w:ascii="Times New Roman" w:hAnsi="Times New Roman"/>
                <w:bCs/>
                <w:color w:val="auto"/>
              </w:rPr>
              <w:t xml:space="preserve"> </w:t>
            </w:r>
            <w:r>
              <w:rPr>
                <w:rFonts w:ascii="Times New Roman" w:hAnsi="Times New Roman"/>
                <w:bCs/>
                <w:color w:val="auto"/>
              </w:rPr>
              <w:t>钙、镁、硫、氯含量的测定</w:t>
            </w:r>
          </w:p>
          <w:p>
            <w:pPr>
              <w:adjustRightInd w:val="0"/>
              <w:snapToGrid w:val="0"/>
              <w:rPr>
                <w:rFonts w:ascii="Times New Roman" w:hAnsi="Times New Roman"/>
                <w:bCs/>
                <w:color w:val="auto"/>
              </w:rPr>
            </w:pPr>
            <w:r>
              <w:rPr>
                <w:rFonts w:ascii="Times New Roman" w:hAnsi="Times New Roman"/>
                <w:bCs/>
                <w:color w:val="auto"/>
              </w:rPr>
              <w:t>NY/T 1977—2010 水溶肥料</w:t>
            </w:r>
            <w:r>
              <w:rPr>
                <w:rFonts w:hint="eastAsia" w:ascii="Times New Roman" w:hAnsi="Times New Roman"/>
                <w:bCs/>
                <w:color w:val="auto"/>
              </w:rPr>
              <w:t xml:space="preserve"> </w:t>
            </w:r>
            <w:r>
              <w:rPr>
                <w:rFonts w:ascii="Times New Roman" w:hAnsi="Times New Roman"/>
                <w:bCs/>
                <w:color w:val="auto"/>
              </w:rPr>
              <w:t>总氮、磷、钾含量的测定</w:t>
            </w:r>
          </w:p>
          <w:p>
            <w:pPr>
              <w:adjustRightInd w:val="0"/>
              <w:snapToGrid w:val="0"/>
              <w:rPr>
                <w:rFonts w:ascii="Times New Roman" w:hAnsi="Times New Roman"/>
                <w:bCs/>
                <w:color w:val="auto"/>
              </w:rPr>
            </w:pPr>
            <w:r>
              <w:rPr>
                <w:rFonts w:ascii="Times New Roman" w:hAnsi="Times New Roman"/>
                <w:bCs/>
                <w:color w:val="auto"/>
              </w:rPr>
              <w:t>NY/T 2540—2014 肥料 钾含量的测定</w:t>
            </w:r>
          </w:p>
          <w:p>
            <w:pPr>
              <w:adjustRightInd w:val="0"/>
              <w:snapToGrid w:val="0"/>
              <w:rPr>
                <w:rFonts w:ascii="Times New Roman" w:hAnsi="Times New Roman"/>
                <w:bCs/>
                <w:color w:val="auto"/>
              </w:rPr>
            </w:pPr>
            <w:r>
              <w:rPr>
                <w:rFonts w:ascii="Times New Roman" w:hAnsi="Times New Roman"/>
                <w:bCs/>
                <w:color w:val="auto"/>
              </w:rPr>
              <w:t>NY/T 2541—2014 肥料 磷含量的测定</w:t>
            </w:r>
          </w:p>
          <w:p>
            <w:pPr>
              <w:adjustRightInd w:val="0"/>
              <w:snapToGrid w:val="0"/>
              <w:rPr>
                <w:rFonts w:ascii="Times New Roman" w:hAnsi="Times New Roman"/>
                <w:bCs/>
                <w:color w:val="auto"/>
              </w:rPr>
            </w:pPr>
            <w:r>
              <w:rPr>
                <w:rFonts w:ascii="Times New Roman" w:hAnsi="Times New Roman"/>
                <w:bCs/>
                <w:color w:val="auto"/>
              </w:rPr>
              <w:t>NY/T 2542—2014 肥料 总氮含量的测定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2" w:type="dxa"/>
            <w:vAlign w:val="center"/>
          </w:tcPr>
          <w:p>
            <w:pPr>
              <w:adjustRightInd w:val="0"/>
              <w:snapToGrid w:val="0"/>
              <w:jc w:val="center"/>
              <w:rPr>
                <w:rFonts w:ascii="Times New Roman" w:hAnsi="Times New Roman"/>
                <w:color w:val="auto"/>
              </w:rPr>
            </w:pPr>
            <w:r>
              <w:rPr>
                <w:rFonts w:ascii="Times New Roman" w:hAnsi="Times New Roman"/>
                <w:color w:val="auto"/>
              </w:rPr>
              <w:t>2</w:t>
            </w:r>
          </w:p>
        </w:tc>
        <w:tc>
          <w:tcPr>
            <w:tcW w:w="1281" w:type="dxa"/>
            <w:vAlign w:val="center"/>
          </w:tcPr>
          <w:p>
            <w:pPr>
              <w:adjustRightInd w:val="0"/>
              <w:snapToGrid w:val="0"/>
              <w:jc w:val="center"/>
              <w:rPr>
                <w:rFonts w:ascii="Times New Roman" w:hAnsi="Times New Roman"/>
                <w:bCs/>
                <w:color w:val="auto"/>
              </w:rPr>
            </w:pPr>
            <w:r>
              <w:rPr>
                <w:rFonts w:ascii="Times New Roman" w:hAnsi="Times New Roman"/>
                <w:bCs/>
                <w:color w:val="auto"/>
              </w:rPr>
              <w:t>掺混肥料</w:t>
            </w:r>
          </w:p>
        </w:tc>
        <w:tc>
          <w:tcPr>
            <w:tcW w:w="2405" w:type="dxa"/>
            <w:vAlign w:val="center"/>
          </w:tcPr>
          <w:p>
            <w:pPr>
              <w:adjustRightInd w:val="0"/>
              <w:snapToGrid w:val="0"/>
              <w:rPr>
                <w:rFonts w:ascii="Times New Roman" w:hAnsi="Times New Roman"/>
                <w:bCs/>
                <w:color w:val="auto"/>
              </w:rPr>
            </w:pPr>
            <w:r>
              <w:rPr>
                <w:rFonts w:ascii="Times New Roman" w:hAnsi="Times New Roman"/>
                <w:bCs/>
                <w:color w:val="auto"/>
              </w:rPr>
              <w:t>GB/T 21633—2020 掺混肥料（BB肥）</w:t>
            </w:r>
          </w:p>
          <w:p>
            <w:pPr>
              <w:adjustRightInd w:val="0"/>
              <w:snapToGrid w:val="0"/>
              <w:rPr>
                <w:rFonts w:ascii="Times New Roman" w:hAnsi="Times New Roman"/>
                <w:bCs/>
                <w:color w:val="auto"/>
              </w:rPr>
            </w:pPr>
            <w:r>
              <w:rPr>
                <w:rFonts w:ascii="Times New Roman" w:hAnsi="Times New Roman"/>
                <w:bCs/>
                <w:color w:val="auto"/>
              </w:rPr>
              <w:t>GB/T 23348—2009 缓释肥料</w:t>
            </w:r>
          </w:p>
          <w:p>
            <w:pPr>
              <w:adjustRightInd w:val="0"/>
              <w:snapToGrid w:val="0"/>
              <w:rPr>
                <w:rFonts w:ascii="Times New Roman" w:hAnsi="Times New Roman"/>
                <w:bCs/>
                <w:color w:val="auto"/>
              </w:rPr>
            </w:pPr>
            <w:r>
              <w:rPr>
                <w:rFonts w:ascii="Times New Roman" w:hAnsi="Times New Roman"/>
                <w:bCs/>
                <w:color w:val="auto"/>
              </w:rPr>
              <w:t>HG/T 4215—2011 控释肥料</w:t>
            </w:r>
          </w:p>
          <w:p>
            <w:pPr>
              <w:adjustRightInd w:val="0"/>
              <w:snapToGrid w:val="0"/>
              <w:rPr>
                <w:rFonts w:ascii="Times New Roman" w:hAnsi="Times New Roman"/>
                <w:bCs/>
                <w:color w:val="auto"/>
              </w:rPr>
            </w:pPr>
            <w:r>
              <w:rPr>
                <w:rFonts w:ascii="Times New Roman" w:hAnsi="Times New Roman"/>
                <w:bCs/>
                <w:color w:val="auto"/>
              </w:rPr>
              <w:t>GB/T 29401—2020 硫包衣尿素</w:t>
            </w:r>
          </w:p>
          <w:p>
            <w:pPr>
              <w:adjustRightInd w:val="0"/>
              <w:snapToGrid w:val="0"/>
              <w:rPr>
                <w:rFonts w:ascii="Times New Roman" w:hAnsi="Times New Roman"/>
                <w:bCs/>
                <w:color w:val="auto"/>
              </w:rPr>
            </w:pPr>
            <w:r>
              <w:rPr>
                <w:rFonts w:ascii="Times New Roman" w:hAnsi="Times New Roman"/>
                <w:bCs/>
                <w:color w:val="auto"/>
              </w:rPr>
              <w:t>GB/T 34763—2017 脲醛缓释肥料</w:t>
            </w:r>
          </w:p>
          <w:p>
            <w:pPr>
              <w:adjustRightInd w:val="0"/>
              <w:snapToGrid w:val="0"/>
              <w:rPr>
                <w:rFonts w:ascii="Times New Roman" w:hAnsi="Times New Roman"/>
                <w:bCs/>
                <w:color w:val="auto"/>
              </w:rPr>
            </w:pPr>
            <w:r>
              <w:rPr>
                <w:rFonts w:ascii="Times New Roman" w:hAnsi="Times New Roman"/>
                <w:bCs/>
                <w:color w:val="auto"/>
              </w:rPr>
              <w:t>GB/T 35113—2017 稳定性肥料</w:t>
            </w:r>
          </w:p>
          <w:p>
            <w:pPr>
              <w:adjustRightInd w:val="0"/>
              <w:snapToGrid w:val="0"/>
              <w:rPr>
                <w:rFonts w:ascii="Times New Roman" w:hAnsi="Times New Roman"/>
                <w:bCs/>
                <w:color w:val="auto"/>
              </w:rPr>
            </w:pPr>
            <w:r>
              <w:rPr>
                <w:rFonts w:ascii="Times New Roman" w:hAnsi="Times New Roman"/>
                <w:bCs/>
                <w:color w:val="auto"/>
              </w:rPr>
              <w:t>HG/T 4217—2011 无机包裹型复混肥料（复合肥料）</w:t>
            </w:r>
          </w:p>
          <w:p>
            <w:pPr>
              <w:adjustRightInd w:val="0"/>
              <w:snapToGrid w:val="0"/>
              <w:rPr>
                <w:rFonts w:ascii="Times New Roman" w:hAnsi="Times New Roman"/>
                <w:bCs/>
                <w:color w:val="auto"/>
              </w:rPr>
            </w:pPr>
            <w:r>
              <w:rPr>
                <w:rFonts w:ascii="Times New Roman" w:hAnsi="Times New Roman"/>
                <w:bCs/>
                <w:color w:val="auto"/>
              </w:rPr>
              <w:t>HG/T 5050—2016 海藻酸类肥料</w:t>
            </w:r>
          </w:p>
        </w:tc>
        <w:tc>
          <w:tcPr>
            <w:tcW w:w="4874" w:type="dxa"/>
            <w:vAlign w:val="center"/>
          </w:tcPr>
          <w:p>
            <w:pPr>
              <w:adjustRightInd w:val="0"/>
              <w:snapToGrid w:val="0"/>
              <w:rPr>
                <w:rFonts w:ascii="Times New Roman" w:hAnsi="Times New Roman"/>
                <w:color w:val="auto"/>
              </w:rPr>
            </w:pPr>
            <w:r>
              <w:rPr>
                <w:rFonts w:ascii="Times New Roman" w:hAnsi="Times New Roman"/>
                <w:bCs/>
                <w:color w:val="auto"/>
              </w:rPr>
              <w:t>GB 18382—2021 肥料标识 内容和要求</w:t>
            </w:r>
          </w:p>
          <w:p>
            <w:pPr>
              <w:adjustRightInd w:val="0"/>
              <w:snapToGrid w:val="0"/>
              <w:rPr>
                <w:rFonts w:ascii="Times New Roman" w:hAnsi="Times New Roman"/>
                <w:bCs/>
                <w:color w:val="auto"/>
              </w:rPr>
            </w:pPr>
            <w:r>
              <w:rPr>
                <w:rFonts w:ascii="Times New Roman" w:hAnsi="Times New Roman"/>
                <w:color w:val="auto"/>
              </w:rPr>
              <w:t>GB 38400—2019 肥料中有毒有害物质的限量要求</w:t>
            </w:r>
          </w:p>
          <w:p>
            <w:pPr>
              <w:adjustRightInd w:val="0"/>
              <w:snapToGrid w:val="0"/>
              <w:rPr>
                <w:rFonts w:ascii="Times New Roman" w:hAnsi="Times New Roman"/>
                <w:bCs/>
                <w:color w:val="auto"/>
              </w:rPr>
            </w:pPr>
            <w:r>
              <w:rPr>
                <w:rFonts w:ascii="Times New Roman" w:hAnsi="Times New Roman"/>
                <w:bCs/>
                <w:color w:val="auto"/>
              </w:rPr>
              <w:t>GB/T 2441.1</w:t>
            </w:r>
            <w:r>
              <w:rPr>
                <w:rFonts w:ascii="Times New Roman" w:hAnsi="Times New Roman"/>
                <w:color w:val="auto"/>
              </w:rPr>
              <w:t>—</w:t>
            </w:r>
            <w:r>
              <w:rPr>
                <w:rFonts w:hint="eastAsia" w:ascii="Times New Roman" w:hAnsi="Times New Roman"/>
                <w:bCs/>
                <w:color w:val="auto"/>
              </w:rPr>
              <w:t>2008</w:t>
            </w:r>
            <w:r>
              <w:rPr>
                <w:rFonts w:ascii="Times New Roman" w:hAnsi="Times New Roman"/>
                <w:bCs/>
                <w:color w:val="auto"/>
              </w:rPr>
              <w:t xml:space="preserve"> 尿素的测定方法第1部分:总</w:t>
            </w:r>
            <w:r>
              <w:rPr>
                <w:rFonts w:hint="eastAsia" w:ascii="Times New Roman" w:hAnsi="Times New Roman"/>
                <w:bCs/>
                <w:color w:val="auto"/>
              </w:rPr>
              <w:t>氮</w:t>
            </w:r>
            <w:r>
              <w:rPr>
                <w:rFonts w:ascii="Times New Roman" w:hAnsi="Times New Roman"/>
                <w:bCs/>
                <w:color w:val="auto"/>
              </w:rPr>
              <w:t>含量</w:t>
            </w:r>
          </w:p>
          <w:p>
            <w:pPr>
              <w:adjustRightInd w:val="0"/>
              <w:snapToGrid w:val="0"/>
              <w:rPr>
                <w:rFonts w:ascii="Times New Roman" w:hAnsi="Times New Roman"/>
                <w:bCs/>
                <w:color w:val="auto"/>
              </w:rPr>
            </w:pPr>
            <w:r>
              <w:rPr>
                <w:rFonts w:ascii="Times New Roman" w:hAnsi="Times New Roman"/>
                <w:bCs/>
                <w:color w:val="auto"/>
              </w:rPr>
              <w:t>GB/T 2441.7</w:t>
            </w:r>
            <w:r>
              <w:rPr>
                <w:rFonts w:ascii="Times New Roman" w:hAnsi="Times New Roman"/>
                <w:color w:val="auto"/>
              </w:rPr>
              <w:t>—</w:t>
            </w:r>
            <w:r>
              <w:rPr>
                <w:rFonts w:hint="eastAsia" w:ascii="Times New Roman" w:hAnsi="Times New Roman"/>
                <w:bCs/>
                <w:color w:val="auto"/>
              </w:rPr>
              <w:t>20</w:t>
            </w:r>
            <w:r>
              <w:rPr>
                <w:rFonts w:ascii="Times New Roman" w:hAnsi="Times New Roman"/>
                <w:bCs/>
                <w:color w:val="auto"/>
              </w:rPr>
              <w:t>10 尿素的测定方法第7部分:粒度  筛分法</w:t>
            </w:r>
          </w:p>
          <w:p>
            <w:pPr>
              <w:adjustRightInd w:val="0"/>
              <w:snapToGrid w:val="0"/>
              <w:rPr>
                <w:rFonts w:ascii="Times New Roman" w:hAnsi="Times New Roman"/>
                <w:bCs/>
                <w:color w:val="auto"/>
              </w:rPr>
            </w:pPr>
            <w:r>
              <w:rPr>
                <w:rFonts w:ascii="Times New Roman" w:hAnsi="Times New Roman"/>
                <w:bCs/>
                <w:color w:val="auto"/>
              </w:rPr>
              <w:t>GB/T 6679—2003 固体化工产品采样通则</w:t>
            </w:r>
          </w:p>
          <w:p>
            <w:pPr>
              <w:adjustRightInd w:val="0"/>
              <w:snapToGrid w:val="0"/>
              <w:rPr>
                <w:rFonts w:ascii="Times New Roman" w:hAnsi="Times New Roman"/>
                <w:bCs/>
                <w:color w:val="auto"/>
              </w:rPr>
            </w:pPr>
            <w:r>
              <w:rPr>
                <w:rFonts w:ascii="Times New Roman" w:hAnsi="Times New Roman"/>
                <w:bCs/>
                <w:color w:val="auto"/>
              </w:rPr>
              <w:t>GB/T 6682—2008 分析实验室用水规格和试验方法</w:t>
            </w:r>
          </w:p>
          <w:p>
            <w:pPr>
              <w:adjustRightInd w:val="0"/>
              <w:snapToGrid w:val="0"/>
              <w:rPr>
                <w:rFonts w:ascii="Times New Roman" w:hAnsi="Times New Roman"/>
                <w:bCs/>
                <w:color w:val="auto"/>
              </w:rPr>
            </w:pPr>
            <w:r>
              <w:rPr>
                <w:rFonts w:ascii="Times New Roman" w:hAnsi="Times New Roman"/>
                <w:bCs/>
                <w:color w:val="auto"/>
              </w:rPr>
              <w:t>GB/T 8170—2008数值修约规则与极限数值的表示和判定</w:t>
            </w:r>
          </w:p>
          <w:p>
            <w:pPr>
              <w:adjustRightInd w:val="0"/>
              <w:snapToGrid w:val="0"/>
              <w:rPr>
                <w:rFonts w:ascii="Times New Roman" w:hAnsi="Times New Roman"/>
                <w:bCs/>
                <w:color w:val="auto"/>
              </w:rPr>
            </w:pPr>
            <w:r>
              <w:rPr>
                <w:rFonts w:ascii="Times New Roman" w:hAnsi="Times New Roman"/>
                <w:bCs/>
                <w:color w:val="auto"/>
              </w:rPr>
              <w:t>GB/T 8569—2009 固体化学肥料包装</w:t>
            </w:r>
          </w:p>
          <w:p>
            <w:pPr>
              <w:adjustRightInd w:val="0"/>
              <w:snapToGrid w:val="0"/>
              <w:rPr>
                <w:rFonts w:ascii="Times New Roman" w:hAnsi="Times New Roman"/>
                <w:bCs/>
                <w:color w:val="auto"/>
              </w:rPr>
            </w:pPr>
            <w:r>
              <w:rPr>
                <w:rFonts w:ascii="Times New Roman" w:hAnsi="Times New Roman"/>
                <w:bCs/>
                <w:color w:val="auto"/>
              </w:rPr>
              <w:t>GB/T 8571—2008 复混肥料实验室样品制备</w:t>
            </w:r>
          </w:p>
          <w:p>
            <w:pPr>
              <w:adjustRightInd w:val="0"/>
              <w:snapToGrid w:val="0"/>
              <w:rPr>
                <w:rFonts w:ascii="Times New Roman" w:hAnsi="Times New Roman"/>
                <w:bCs/>
                <w:color w:val="auto"/>
              </w:rPr>
            </w:pPr>
            <w:r>
              <w:rPr>
                <w:rFonts w:ascii="Times New Roman" w:hAnsi="Times New Roman"/>
                <w:bCs/>
                <w:color w:val="auto"/>
              </w:rPr>
              <w:t>GB/T 8572—2010 复混肥料中总氮含量的测定 蒸馏后滴定法</w:t>
            </w:r>
          </w:p>
          <w:p>
            <w:pPr>
              <w:adjustRightInd w:val="0"/>
              <w:snapToGrid w:val="0"/>
              <w:rPr>
                <w:rFonts w:ascii="Times New Roman" w:hAnsi="Times New Roman"/>
                <w:bCs/>
                <w:color w:val="auto"/>
              </w:rPr>
            </w:pPr>
            <w:r>
              <w:rPr>
                <w:rFonts w:ascii="Times New Roman" w:hAnsi="Times New Roman"/>
                <w:bCs/>
                <w:color w:val="auto"/>
              </w:rPr>
              <w:t>GB/T 8573—2017 复混肥料中有效磷含量测定</w:t>
            </w:r>
          </w:p>
          <w:p>
            <w:pPr>
              <w:adjustRightInd w:val="0"/>
              <w:snapToGrid w:val="0"/>
              <w:rPr>
                <w:rFonts w:ascii="Times New Roman" w:hAnsi="Times New Roman"/>
                <w:bCs/>
                <w:color w:val="auto"/>
              </w:rPr>
            </w:pPr>
            <w:r>
              <w:rPr>
                <w:rFonts w:ascii="Times New Roman" w:hAnsi="Times New Roman"/>
                <w:bCs/>
                <w:color w:val="auto"/>
              </w:rPr>
              <w:t>GB/T 8574—2024 复合肥料中钾含量的测定</w:t>
            </w:r>
          </w:p>
          <w:p>
            <w:pPr>
              <w:adjustRightInd w:val="0"/>
              <w:snapToGrid w:val="0"/>
              <w:rPr>
                <w:rFonts w:ascii="Times New Roman" w:hAnsi="Times New Roman"/>
                <w:bCs/>
                <w:color w:val="auto"/>
              </w:rPr>
            </w:pPr>
            <w:r>
              <w:rPr>
                <w:rFonts w:ascii="Times New Roman" w:hAnsi="Times New Roman"/>
                <w:bCs/>
                <w:color w:val="auto"/>
              </w:rPr>
              <w:t>GB/T 8576—2010 复混肥料中游离水含量的测定 真空烘箱法</w:t>
            </w:r>
          </w:p>
          <w:p>
            <w:pPr>
              <w:adjustRightInd w:val="0"/>
              <w:snapToGrid w:val="0"/>
              <w:rPr>
                <w:rFonts w:ascii="Times New Roman" w:hAnsi="Times New Roman"/>
                <w:bCs/>
                <w:color w:val="auto"/>
              </w:rPr>
            </w:pPr>
            <w:r>
              <w:rPr>
                <w:rFonts w:ascii="Times New Roman" w:hAnsi="Times New Roman"/>
                <w:bCs/>
                <w:color w:val="auto"/>
              </w:rPr>
              <w:t>GB/T 8577—2010 复混肥料中游离水含量的测定 卡尔·费休法</w:t>
            </w:r>
          </w:p>
          <w:p>
            <w:pPr>
              <w:adjustRightInd w:val="0"/>
              <w:snapToGrid w:val="0"/>
              <w:rPr>
                <w:rFonts w:ascii="Times New Roman" w:hAnsi="Times New Roman"/>
                <w:bCs/>
                <w:color w:val="auto"/>
              </w:rPr>
            </w:pPr>
            <w:r>
              <w:rPr>
                <w:rFonts w:ascii="Times New Roman" w:hAnsi="Times New Roman"/>
                <w:bCs/>
                <w:color w:val="auto"/>
              </w:rPr>
              <w:t>GB/T 9969—2008 工业产品使用说明书</w:t>
            </w:r>
            <w:r>
              <w:rPr>
                <w:rFonts w:hint="eastAsia" w:ascii="Times New Roman" w:hAnsi="Times New Roman"/>
                <w:bCs/>
                <w:color w:val="auto"/>
              </w:rPr>
              <w:t xml:space="preserve"> </w:t>
            </w:r>
            <w:r>
              <w:rPr>
                <w:rFonts w:ascii="Times New Roman" w:hAnsi="Times New Roman"/>
                <w:bCs/>
                <w:color w:val="auto"/>
              </w:rPr>
              <w:t>总则</w:t>
            </w:r>
          </w:p>
          <w:p>
            <w:pPr>
              <w:adjustRightInd w:val="0"/>
              <w:snapToGrid w:val="0"/>
              <w:rPr>
                <w:rFonts w:ascii="Times New Roman" w:hAnsi="Times New Roman"/>
                <w:bCs/>
                <w:color w:val="auto"/>
              </w:rPr>
            </w:pPr>
            <w:r>
              <w:rPr>
                <w:rFonts w:ascii="Times New Roman" w:hAnsi="Times New Roman"/>
                <w:bCs/>
                <w:color w:val="auto"/>
              </w:rPr>
              <w:t>GB/T 14540—2003 复混肥料中铜、铁、锰、锌、硼、钼含量的测定</w:t>
            </w:r>
          </w:p>
          <w:p>
            <w:pPr>
              <w:adjustRightInd w:val="0"/>
              <w:snapToGrid w:val="0"/>
              <w:rPr>
                <w:rFonts w:ascii="Times New Roman" w:hAnsi="Times New Roman"/>
                <w:bCs/>
                <w:color w:val="auto"/>
              </w:rPr>
            </w:pPr>
            <w:r>
              <w:rPr>
                <w:rFonts w:hint="eastAsia" w:ascii="Times New Roman" w:hAnsi="Times New Roman"/>
                <w:bCs/>
                <w:color w:val="auto"/>
              </w:rPr>
              <w:t>GB/T 15063</w:t>
            </w:r>
            <w:r>
              <w:rPr>
                <w:rFonts w:ascii="Times New Roman" w:hAnsi="Times New Roman"/>
                <w:bCs/>
                <w:color w:val="auto"/>
              </w:rPr>
              <w:t>—</w:t>
            </w:r>
            <w:r>
              <w:rPr>
                <w:rFonts w:hint="eastAsia" w:ascii="Times New Roman" w:hAnsi="Times New Roman"/>
                <w:bCs/>
                <w:color w:val="auto"/>
              </w:rPr>
              <w:t>2020 复合肥料</w:t>
            </w:r>
          </w:p>
          <w:p>
            <w:pPr>
              <w:adjustRightInd w:val="0"/>
              <w:snapToGrid w:val="0"/>
              <w:rPr>
                <w:rFonts w:ascii="Times New Roman" w:hAnsi="Times New Roman"/>
                <w:bCs/>
                <w:color w:val="auto"/>
              </w:rPr>
            </w:pPr>
            <w:r>
              <w:rPr>
                <w:rFonts w:ascii="Times New Roman" w:hAnsi="Times New Roman"/>
                <w:bCs/>
                <w:color w:val="auto"/>
              </w:rPr>
              <w:t>GB/T 19203—2003 复混肥料中钙、镁、硫含量的测定</w:t>
            </w:r>
          </w:p>
          <w:p>
            <w:pPr>
              <w:adjustRightInd w:val="0"/>
              <w:snapToGrid w:val="0"/>
              <w:rPr>
                <w:rFonts w:ascii="Times New Roman" w:hAnsi="Times New Roman"/>
                <w:bCs/>
                <w:color w:val="auto"/>
              </w:rPr>
            </w:pPr>
            <w:r>
              <w:rPr>
                <w:rFonts w:ascii="Times New Roman" w:hAnsi="Times New Roman"/>
                <w:bCs/>
                <w:color w:val="auto"/>
              </w:rPr>
              <w:t>GB/T 22923—2008 肥料中氮、磷、钾的自动分析仪测定法</w:t>
            </w:r>
          </w:p>
          <w:p>
            <w:pPr>
              <w:adjustRightInd w:val="0"/>
              <w:snapToGrid w:val="0"/>
              <w:rPr>
                <w:rFonts w:ascii="Times New Roman" w:hAnsi="Times New Roman"/>
                <w:bCs/>
                <w:color w:val="auto"/>
              </w:rPr>
            </w:pPr>
            <w:r>
              <w:rPr>
                <w:rFonts w:ascii="Times New Roman" w:hAnsi="Times New Roman"/>
                <w:bCs/>
                <w:color w:val="auto"/>
              </w:rPr>
              <w:t>GB/T 22924—2024 复合肥料中缩二脲含量的测定</w:t>
            </w:r>
          </w:p>
          <w:p>
            <w:pPr>
              <w:adjustRightInd w:val="0"/>
              <w:snapToGrid w:val="0"/>
              <w:rPr>
                <w:rFonts w:ascii="Times New Roman" w:hAnsi="Times New Roman"/>
                <w:bCs/>
                <w:color w:val="auto"/>
              </w:rPr>
            </w:pPr>
            <w:r>
              <w:rPr>
                <w:rFonts w:ascii="Times New Roman" w:hAnsi="Times New Roman"/>
                <w:bCs/>
                <w:color w:val="auto"/>
              </w:rPr>
              <w:t>GB/T 23349—2020 肥料中砷、镉、铅、铬、汞含量的测定</w:t>
            </w:r>
          </w:p>
          <w:p>
            <w:pPr>
              <w:adjustRightInd w:val="0"/>
              <w:snapToGrid w:val="0"/>
              <w:rPr>
                <w:rFonts w:ascii="Times New Roman" w:hAnsi="Times New Roman"/>
                <w:bCs/>
                <w:color w:val="auto"/>
              </w:rPr>
            </w:pPr>
            <w:r>
              <w:rPr>
                <w:rFonts w:ascii="Times New Roman" w:hAnsi="Times New Roman"/>
                <w:bCs/>
                <w:color w:val="auto"/>
              </w:rPr>
              <w:t>GB/T 24890—2010 复混肥料中氯离子含量的测定</w:t>
            </w:r>
          </w:p>
          <w:p>
            <w:pPr>
              <w:adjustRightInd w:val="0"/>
              <w:snapToGrid w:val="0"/>
              <w:rPr>
                <w:rFonts w:ascii="Times New Roman" w:hAnsi="Times New Roman"/>
                <w:bCs/>
                <w:color w:val="auto"/>
              </w:rPr>
            </w:pPr>
            <w:r>
              <w:rPr>
                <w:rFonts w:ascii="Times New Roman" w:hAnsi="Times New Roman"/>
                <w:bCs/>
                <w:color w:val="auto"/>
              </w:rPr>
              <w:t>GB/T 24891—2010 复混肥料粒度的测定</w:t>
            </w:r>
          </w:p>
          <w:p>
            <w:pPr>
              <w:adjustRightInd w:val="0"/>
              <w:snapToGrid w:val="0"/>
              <w:rPr>
                <w:rFonts w:ascii="Times New Roman" w:hAnsi="Times New Roman"/>
                <w:bCs/>
                <w:color w:val="auto"/>
              </w:rPr>
            </w:pPr>
            <w:r>
              <w:rPr>
                <w:rFonts w:ascii="Times New Roman" w:hAnsi="Times New Roman"/>
                <w:bCs/>
                <w:color w:val="auto"/>
              </w:rPr>
              <w:t>GB/T 34764—2017 肥料中铜、铁、锰、锌、硼、钼含量的测定 等离子体发射光谱法</w:t>
            </w:r>
          </w:p>
          <w:p>
            <w:pPr>
              <w:adjustRightInd w:val="0"/>
              <w:snapToGrid w:val="0"/>
              <w:rPr>
                <w:rFonts w:ascii="Times New Roman" w:hAnsi="Times New Roman"/>
                <w:bCs/>
                <w:color w:val="auto"/>
              </w:rPr>
            </w:pPr>
            <w:r>
              <w:rPr>
                <w:rFonts w:ascii="Times New Roman" w:hAnsi="Times New Roman"/>
                <w:bCs/>
                <w:color w:val="auto"/>
              </w:rPr>
              <w:t>GB/T 39229—2020/ISO 17318：2015 肥料和土壤调理剂 砷、镉、铬、铅、汞含量的测定</w:t>
            </w:r>
          </w:p>
          <w:p>
            <w:pPr>
              <w:adjustRightInd w:val="0"/>
              <w:snapToGrid w:val="0"/>
              <w:rPr>
                <w:rFonts w:ascii="Times New Roman" w:hAnsi="Times New Roman"/>
                <w:bCs/>
                <w:color w:val="auto"/>
              </w:rPr>
            </w:pPr>
            <w:r>
              <w:rPr>
                <w:rFonts w:ascii="Times New Roman" w:hAnsi="Times New Roman"/>
                <w:bCs/>
                <w:color w:val="auto"/>
              </w:rPr>
              <w:t>GB/T 39356—2020 肥料中总镍、总钴、总硒、总钒、总锑、总铊含量的测定 电感耦合等离子体发射光谱法</w:t>
            </w:r>
          </w:p>
          <w:p>
            <w:pPr>
              <w:adjustRightInd w:val="0"/>
              <w:snapToGrid w:val="0"/>
              <w:rPr>
                <w:rFonts w:ascii="Times New Roman" w:hAnsi="Times New Roman"/>
                <w:bCs/>
                <w:color w:val="auto"/>
              </w:rPr>
            </w:pPr>
            <w:r>
              <w:rPr>
                <w:rFonts w:ascii="Times New Roman" w:hAnsi="Times New Roman"/>
                <w:bCs/>
                <w:color w:val="auto"/>
              </w:rPr>
              <w:t>GB/T 42307—</w:t>
            </w:r>
            <w:r>
              <w:rPr>
                <w:rFonts w:hint="eastAsia" w:ascii="Times New Roman" w:hAnsi="Times New Roman"/>
                <w:bCs/>
                <w:color w:val="auto"/>
              </w:rPr>
              <w:t>2023</w:t>
            </w:r>
            <w:r>
              <w:rPr>
                <w:rFonts w:ascii="Times New Roman" w:hAnsi="Times New Roman"/>
                <w:bCs/>
                <w:color w:val="auto"/>
              </w:rPr>
              <w:t>/ISO 18643：2016 肥料和土壤调理剂</w:t>
            </w:r>
            <w:r>
              <w:rPr>
                <w:rFonts w:hint="eastAsia" w:ascii="Times New Roman" w:hAnsi="Times New Roman"/>
                <w:bCs/>
                <w:color w:val="auto"/>
              </w:rPr>
              <w:t xml:space="preserve"> </w:t>
            </w:r>
            <w:r>
              <w:rPr>
                <w:rFonts w:ascii="Times New Roman" w:hAnsi="Times New Roman"/>
                <w:bCs/>
                <w:color w:val="auto"/>
              </w:rPr>
              <w:t>尿素基肥料中缩二脲含量的测定 高效液相色谱法</w:t>
            </w:r>
          </w:p>
          <w:p>
            <w:pPr>
              <w:adjustRightInd w:val="0"/>
              <w:snapToGrid w:val="0"/>
              <w:rPr>
                <w:rFonts w:ascii="Times New Roman" w:hAnsi="Times New Roman"/>
                <w:bCs/>
                <w:color w:val="auto"/>
              </w:rPr>
            </w:pPr>
            <w:r>
              <w:rPr>
                <w:rFonts w:ascii="Times New Roman" w:hAnsi="Times New Roman"/>
                <w:bCs/>
                <w:color w:val="auto"/>
              </w:rPr>
              <w:t>HG/T 2843—1997 化肥产品</w:t>
            </w:r>
            <w:r>
              <w:rPr>
                <w:rFonts w:hint="eastAsia" w:ascii="Times New Roman" w:hAnsi="Times New Roman"/>
                <w:bCs/>
                <w:color w:val="auto"/>
              </w:rPr>
              <w:t xml:space="preserve"> </w:t>
            </w:r>
            <w:r>
              <w:rPr>
                <w:rFonts w:ascii="Times New Roman" w:hAnsi="Times New Roman"/>
                <w:bCs/>
                <w:color w:val="auto"/>
              </w:rPr>
              <w:t>化学分析中常用标准滴定溶液、标准溶液、试剂溶液和指示剂溶液</w:t>
            </w:r>
          </w:p>
          <w:p>
            <w:pPr>
              <w:adjustRightInd w:val="0"/>
              <w:snapToGrid w:val="0"/>
              <w:rPr>
                <w:rFonts w:ascii="Times New Roman" w:hAnsi="Times New Roman"/>
                <w:bCs/>
                <w:color w:val="auto"/>
              </w:rPr>
            </w:pPr>
            <w:r>
              <w:rPr>
                <w:rFonts w:ascii="Times New Roman" w:hAnsi="Times New Roman"/>
                <w:bCs/>
                <w:color w:val="auto"/>
              </w:rPr>
              <w:t>NY/T 1116—2014 肥料</w:t>
            </w:r>
            <w:r>
              <w:rPr>
                <w:rFonts w:hint="eastAsia" w:ascii="Times New Roman" w:hAnsi="Times New Roman"/>
                <w:bCs/>
                <w:color w:val="auto"/>
              </w:rPr>
              <w:t xml:space="preserve"> </w:t>
            </w:r>
            <w:r>
              <w:rPr>
                <w:rFonts w:ascii="Times New Roman" w:hAnsi="Times New Roman"/>
                <w:bCs/>
                <w:color w:val="auto"/>
              </w:rPr>
              <w:t>硝态氮、</w:t>
            </w:r>
            <w:r>
              <w:rPr>
                <w:rFonts w:hint="eastAsia" w:ascii="Times New Roman" w:hAnsi="Times New Roman"/>
                <w:bCs/>
                <w:color w:val="auto"/>
              </w:rPr>
              <w:t>铵</w:t>
            </w:r>
            <w:r>
              <w:rPr>
                <w:rFonts w:ascii="Times New Roman" w:hAnsi="Times New Roman"/>
                <w:bCs/>
                <w:color w:val="auto"/>
              </w:rPr>
              <w:t>态氮、酰胺态氮含量的测定</w:t>
            </w:r>
          </w:p>
          <w:p>
            <w:pPr>
              <w:adjustRightInd w:val="0"/>
              <w:snapToGrid w:val="0"/>
              <w:rPr>
                <w:rFonts w:ascii="Times New Roman" w:hAnsi="Times New Roman"/>
                <w:bCs/>
                <w:color w:val="auto"/>
              </w:rPr>
            </w:pPr>
            <w:r>
              <w:rPr>
                <w:rFonts w:ascii="Times New Roman" w:hAnsi="Times New Roman"/>
                <w:bCs/>
                <w:color w:val="auto"/>
              </w:rPr>
              <w:t>NY/T 1117—2010 水溶肥料</w:t>
            </w:r>
            <w:r>
              <w:rPr>
                <w:rFonts w:hint="eastAsia" w:ascii="Times New Roman" w:hAnsi="Times New Roman"/>
                <w:bCs/>
                <w:color w:val="auto"/>
              </w:rPr>
              <w:t xml:space="preserve"> </w:t>
            </w:r>
            <w:r>
              <w:rPr>
                <w:rFonts w:ascii="Times New Roman" w:hAnsi="Times New Roman"/>
                <w:bCs/>
                <w:color w:val="auto"/>
              </w:rPr>
              <w:t>钙、镁、硫、氯含量的测定</w:t>
            </w:r>
          </w:p>
          <w:p>
            <w:pPr>
              <w:adjustRightInd w:val="0"/>
              <w:snapToGrid w:val="0"/>
              <w:rPr>
                <w:rFonts w:ascii="Times New Roman" w:hAnsi="Times New Roman"/>
                <w:bCs/>
                <w:color w:val="auto"/>
              </w:rPr>
            </w:pPr>
            <w:r>
              <w:rPr>
                <w:rFonts w:ascii="Times New Roman" w:hAnsi="Times New Roman"/>
                <w:bCs/>
                <w:color w:val="auto"/>
              </w:rPr>
              <w:t>NY/T 2540—2014 肥料 钾含量的测定</w:t>
            </w:r>
          </w:p>
          <w:p>
            <w:pPr>
              <w:adjustRightInd w:val="0"/>
              <w:snapToGrid w:val="0"/>
              <w:rPr>
                <w:rFonts w:ascii="Times New Roman" w:hAnsi="Times New Roman"/>
                <w:bCs/>
                <w:color w:val="auto"/>
              </w:rPr>
            </w:pPr>
            <w:r>
              <w:rPr>
                <w:rFonts w:ascii="Times New Roman" w:hAnsi="Times New Roman"/>
                <w:bCs/>
                <w:color w:val="auto"/>
              </w:rPr>
              <w:t>NY/T 2541—2014 肥料 磷含量的测定</w:t>
            </w:r>
          </w:p>
          <w:p>
            <w:pPr>
              <w:adjustRightInd w:val="0"/>
              <w:snapToGrid w:val="0"/>
              <w:rPr>
                <w:rFonts w:ascii="Times New Roman" w:hAnsi="Times New Roman"/>
                <w:bCs/>
                <w:color w:val="auto"/>
              </w:rPr>
            </w:pPr>
            <w:r>
              <w:rPr>
                <w:rFonts w:ascii="Times New Roman" w:hAnsi="Times New Roman"/>
                <w:bCs/>
                <w:color w:val="auto"/>
              </w:rPr>
              <w:t>NY/T 2542—2014 肥料 总氮含量的测定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62" w:type="dxa"/>
            <w:vAlign w:val="center"/>
          </w:tcPr>
          <w:p>
            <w:pPr>
              <w:adjustRightInd w:val="0"/>
              <w:snapToGrid w:val="0"/>
              <w:jc w:val="center"/>
              <w:rPr>
                <w:rFonts w:ascii="Times New Roman" w:hAnsi="Times New Roman"/>
                <w:color w:val="auto"/>
              </w:rPr>
            </w:pPr>
            <w:r>
              <w:rPr>
                <w:rFonts w:ascii="Times New Roman" w:hAnsi="Times New Roman"/>
                <w:color w:val="auto"/>
              </w:rPr>
              <w:t>3</w:t>
            </w:r>
          </w:p>
        </w:tc>
        <w:tc>
          <w:tcPr>
            <w:tcW w:w="1281" w:type="dxa"/>
            <w:vAlign w:val="center"/>
          </w:tcPr>
          <w:p>
            <w:pPr>
              <w:adjustRightInd w:val="0"/>
              <w:snapToGrid w:val="0"/>
              <w:jc w:val="center"/>
              <w:rPr>
                <w:rFonts w:ascii="Times New Roman" w:hAnsi="Times New Roman"/>
                <w:bCs/>
                <w:color w:val="auto"/>
              </w:rPr>
            </w:pPr>
            <w:r>
              <w:rPr>
                <w:rFonts w:ascii="Times New Roman" w:hAnsi="Times New Roman"/>
                <w:bCs/>
                <w:color w:val="auto"/>
              </w:rPr>
              <w:t>有机无机复混肥料</w:t>
            </w:r>
          </w:p>
        </w:tc>
        <w:tc>
          <w:tcPr>
            <w:tcW w:w="2405" w:type="dxa"/>
            <w:vAlign w:val="center"/>
          </w:tcPr>
          <w:p>
            <w:pPr>
              <w:adjustRightInd w:val="0"/>
              <w:snapToGrid w:val="0"/>
              <w:rPr>
                <w:rFonts w:ascii="Times New Roman" w:hAnsi="Times New Roman"/>
                <w:bCs/>
                <w:color w:val="auto"/>
              </w:rPr>
            </w:pPr>
            <w:r>
              <w:rPr>
                <w:rFonts w:ascii="Times New Roman" w:hAnsi="Times New Roman"/>
                <w:bCs/>
                <w:color w:val="auto"/>
              </w:rPr>
              <w:t>GB/T 18877—2020 有机无机复混肥料</w:t>
            </w:r>
            <w:r>
              <w:rPr>
                <w:rFonts w:hint="eastAsia" w:ascii="Times New Roman" w:hAnsi="Times New Roman"/>
                <w:bCs/>
                <w:color w:val="auto"/>
              </w:rPr>
              <w:t>（含第1号修改单）</w:t>
            </w:r>
          </w:p>
          <w:p>
            <w:pPr>
              <w:adjustRightInd w:val="0"/>
              <w:snapToGrid w:val="0"/>
              <w:rPr>
                <w:rFonts w:ascii="Times New Roman" w:hAnsi="Times New Roman"/>
                <w:bCs/>
                <w:color w:val="auto"/>
              </w:rPr>
            </w:pPr>
            <w:r>
              <w:rPr>
                <w:rFonts w:ascii="Times New Roman" w:hAnsi="Times New Roman"/>
                <w:bCs/>
                <w:color w:val="auto"/>
              </w:rPr>
              <w:t>HG/T 5933—2021 腐植酸有机无机复混肥料</w:t>
            </w:r>
          </w:p>
        </w:tc>
        <w:tc>
          <w:tcPr>
            <w:tcW w:w="4874" w:type="dxa"/>
            <w:vAlign w:val="center"/>
          </w:tcPr>
          <w:p>
            <w:pPr>
              <w:adjustRightInd w:val="0"/>
              <w:snapToGrid w:val="0"/>
              <w:rPr>
                <w:rFonts w:ascii="Times New Roman" w:hAnsi="Times New Roman"/>
                <w:color w:val="auto"/>
              </w:rPr>
            </w:pPr>
            <w:r>
              <w:rPr>
                <w:rFonts w:ascii="Times New Roman" w:hAnsi="Times New Roman"/>
                <w:bCs/>
                <w:color w:val="auto"/>
              </w:rPr>
              <w:t>GB 18382—2021 肥料标识 内容和要求</w:t>
            </w:r>
          </w:p>
          <w:p>
            <w:pPr>
              <w:adjustRightInd w:val="0"/>
              <w:snapToGrid w:val="0"/>
              <w:rPr>
                <w:rFonts w:ascii="Times New Roman" w:hAnsi="Times New Roman"/>
                <w:bCs/>
                <w:color w:val="auto"/>
              </w:rPr>
            </w:pPr>
            <w:r>
              <w:rPr>
                <w:rFonts w:ascii="Times New Roman" w:hAnsi="Times New Roman"/>
                <w:color w:val="auto"/>
              </w:rPr>
              <w:t>GB 38400—2019 肥料中有毒有害物质的限量要求</w:t>
            </w:r>
          </w:p>
          <w:p>
            <w:pPr>
              <w:adjustRightInd w:val="0"/>
              <w:snapToGrid w:val="0"/>
              <w:rPr>
                <w:rFonts w:ascii="Times New Roman" w:hAnsi="Times New Roman"/>
                <w:bCs/>
                <w:color w:val="auto"/>
              </w:rPr>
            </w:pPr>
            <w:r>
              <w:rPr>
                <w:rFonts w:ascii="Times New Roman" w:hAnsi="Times New Roman"/>
                <w:bCs/>
                <w:color w:val="auto"/>
              </w:rPr>
              <w:t>GB/T 6679—2003 固体化工产品采样通则</w:t>
            </w:r>
          </w:p>
          <w:p>
            <w:pPr>
              <w:adjustRightInd w:val="0"/>
              <w:snapToGrid w:val="0"/>
              <w:rPr>
                <w:rFonts w:ascii="Times New Roman" w:hAnsi="Times New Roman"/>
                <w:bCs/>
                <w:color w:val="auto"/>
              </w:rPr>
            </w:pPr>
            <w:r>
              <w:rPr>
                <w:rFonts w:ascii="Times New Roman" w:hAnsi="Times New Roman"/>
                <w:bCs/>
                <w:color w:val="auto"/>
              </w:rPr>
              <w:t>GB/T 8170—2008 数值修约规则与极限数值的表示和判定</w:t>
            </w:r>
          </w:p>
          <w:p>
            <w:pPr>
              <w:adjustRightInd w:val="0"/>
              <w:snapToGrid w:val="0"/>
              <w:rPr>
                <w:rFonts w:ascii="Times New Roman" w:hAnsi="Times New Roman"/>
                <w:bCs/>
                <w:color w:val="auto"/>
              </w:rPr>
            </w:pPr>
            <w:r>
              <w:rPr>
                <w:rFonts w:ascii="Times New Roman" w:hAnsi="Times New Roman"/>
                <w:bCs/>
                <w:color w:val="auto"/>
              </w:rPr>
              <w:t>GB/T 8569—2009 固体化学肥料包装</w:t>
            </w:r>
          </w:p>
          <w:p>
            <w:pPr>
              <w:adjustRightInd w:val="0"/>
              <w:snapToGrid w:val="0"/>
              <w:rPr>
                <w:rFonts w:ascii="Times New Roman" w:hAnsi="Times New Roman"/>
                <w:bCs/>
                <w:color w:val="auto"/>
              </w:rPr>
            </w:pPr>
            <w:r>
              <w:rPr>
                <w:rFonts w:ascii="Times New Roman" w:hAnsi="Times New Roman"/>
                <w:bCs/>
                <w:color w:val="auto"/>
              </w:rPr>
              <w:t>GB/T 8573—2017 复混肥料中有效磷含量测定</w:t>
            </w:r>
          </w:p>
          <w:p>
            <w:pPr>
              <w:adjustRightInd w:val="0"/>
              <w:snapToGrid w:val="0"/>
              <w:rPr>
                <w:rFonts w:ascii="Times New Roman" w:hAnsi="Times New Roman"/>
                <w:bCs/>
                <w:color w:val="auto"/>
              </w:rPr>
            </w:pPr>
            <w:r>
              <w:rPr>
                <w:rFonts w:ascii="Times New Roman" w:hAnsi="Times New Roman"/>
                <w:bCs/>
                <w:color w:val="auto"/>
              </w:rPr>
              <w:t>GB/T 8576—2010 复混肥料中游离水含量的测定 真空烘箱法</w:t>
            </w:r>
          </w:p>
          <w:p>
            <w:pPr>
              <w:adjustRightInd w:val="0"/>
              <w:snapToGrid w:val="0"/>
              <w:rPr>
                <w:rFonts w:ascii="Times New Roman" w:hAnsi="Times New Roman"/>
                <w:bCs/>
                <w:color w:val="auto"/>
              </w:rPr>
            </w:pPr>
            <w:r>
              <w:rPr>
                <w:rFonts w:ascii="Times New Roman" w:hAnsi="Times New Roman"/>
                <w:bCs/>
                <w:color w:val="auto"/>
              </w:rPr>
              <w:t>GB/T 8577—2010 复混肥料中游离水含量的测定 卡尔·费休法</w:t>
            </w:r>
          </w:p>
          <w:p>
            <w:pPr>
              <w:adjustRightInd w:val="0"/>
              <w:snapToGrid w:val="0"/>
              <w:rPr>
                <w:rFonts w:ascii="Times New Roman" w:hAnsi="Times New Roman"/>
                <w:bCs/>
                <w:color w:val="auto"/>
              </w:rPr>
            </w:pPr>
            <w:r>
              <w:rPr>
                <w:rFonts w:ascii="Times New Roman" w:hAnsi="Times New Roman"/>
                <w:bCs/>
                <w:color w:val="auto"/>
              </w:rPr>
              <w:t>GB/T 15063—2020 复合肥料</w:t>
            </w:r>
          </w:p>
          <w:p>
            <w:pPr>
              <w:adjustRightInd w:val="0"/>
              <w:snapToGrid w:val="0"/>
              <w:rPr>
                <w:rFonts w:ascii="Times New Roman" w:hAnsi="Times New Roman"/>
                <w:bCs/>
                <w:color w:val="auto"/>
              </w:rPr>
            </w:pPr>
            <w:r>
              <w:rPr>
                <w:rFonts w:ascii="Times New Roman" w:hAnsi="Times New Roman"/>
                <w:bCs/>
                <w:color w:val="auto"/>
              </w:rPr>
              <w:t>GB/T 17767.1—2008 有机</w:t>
            </w:r>
            <w:r>
              <w:rPr>
                <w:rFonts w:hint="eastAsia" w:ascii="Times New Roman" w:hAnsi="Times New Roman"/>
                <w:bCs/>
                <w:color w:val="auto"/>
              </w:rPr>
              <w:t>-</w:t>
            </w:r>
            <w:r>
              <w:rPr>
                <w:rFonts w:ascii="Times New Roman" w:hAnsi="Times New Roman"/>
                <w:bCs/>
                <w:color w:val="auto"/>
              </w:rPr>
              <w:t>无机复混肥料的测定方法第1部分：总氮含量</w:t>
            </w:r>
          </w:p>
          <w:p>
            <w:pPr>
              <w:adjustRightInd w:val="0"/>
              <w:snapToGrid w:val="0"/>
              <w:rPr>
                <w:rFonts w:ascii="Times New Roman" w:hAnsi="Times New Roman"/>
                <w:bCs/>
                <w:color w:val="auto"/>
              </w:rPr>
            </w:pPr>
            <w:r>
              <w:rPr>
                <w:rFonts w:ascii="Times New Roman" w:hAnsi="Times New Roman"/>
                <w:bCs/>
                <w:color w:val="auto"/>
              </w:rPr>
              <w:t>GB/T 17767.3—2010 有机­无机复混肥料的测定方法第3部分：总钾含量</w:t>
            </w:r>
          </w:p>
          <w:p>
            <w:pPr>
              <w:adjustRightInd w:val="0"/>
              <w:snapToGrid w:val="0"/>
              <w:rPr>
                <w:rFonts w:ascii="Times New Roman" w:hAnsi="Times New Roman"/>
                <w:bCs/>
                <w:color w:val="auto"/>
              </w:rPr>
            </w:pPr>
            <w:r>
              <w:rPr>
                <w:rFonts w:ascii="Times New Roman" w:hAnsi="Times New Roman"/>
                <w:bCs/>
                <w:color w:val="auto"/>
              </w:rPr>
              <w:t>GB/T 18877—2020 有机无机复混肥料</w:t>
            </w:r>
            <w:r>
              <w:rPr>
                <w:rFonts w:hint="eastAsia" w:ascii="Times New Roman" w:hAnsi="Times New Roman"/>
                <w:bCs/>
                <w:color w:val="auto"/>
              </w:rPr>
              <w:t>（含第1号修改单）</w:t>
            </w:r>
          </w:p>
          <w:p>
            <w:pPr>
              <w:adjustRightInd w:val="0"/>
              <w:snapToGrid w:val="0"/>
              <w:rPr>
                <w:rFonts w:ascii="Times New Roman" w:hAnsi="Times New Roman"/>
                <w:bCs/>
                <w:color w:val="auto"/>
              </w:rPr>
            </w:pPr>
            <w:r>
              <w:rPr>
                <w:rFonts w:ascii="Times New Roman" w:hAnsi="Times New Roman"/>
                <w:bCs/>
                <w:color w:val="auto"/>
              </w:rPr>
              <w:t>GB/T 19524.1—2004 肥料中粪大肠菌群的测定</w:t>
            </w:r>
          </w:p>
          <w:p>
            <w:pPr>
              <w:adjustRightInd w:val="0"/>
              <w:snapToGrid w:val="0"/>
              <w:rPr>
                <w:rFonts w:ascii="Times New Roman" w:hAnsi="Times New Roman"/>
                <w:bCs/>
                <w:color w:val="auto"/>
              </w:rPr>
            </w:pPr>
            <w:r>
              <w:rPr>
                <w:rFonts w:ascii="Times New Roman" w:hAnsi="Times New Roman"/>
                <w:bCs/>
                <w:color w:val="auto"/>
              </w:rPr>
              <w:t>GB/T 19524.2—2004 肥料中蛔虫卵死亡率的测定</w:t>
            </w:r>
          </w:p>
          <w:p>
            <w:pPr>
              <w:adjustRightInd w:val="0"/>
              <w:snapToGrid w:val="0"/>
              <w:rPr>
                <w:rFonts w:ascii="Times New Roman" w:hAnsi="Times New Roman"/>
                <w:bCs/>
                <w:color w:val="auto"/>
              </w:rPr>
            </w:pPr>
            <w:r>
              <w:rPr>
                <w:rFonts w:ascii="Times New Roman" w:hAnsi="Times New Roman"/>
                <w:bCs/>
                <w:color w:val="auto"/>
              </w:rPr>
              <w:t xml:space="preserve">GB/T 22923—2008 </w:t>
            </w:r>
            <w:r>
              <w:rPr>
                <w:rFonts w:hint="eastAsia" w:ascii="Times New Roman" w:hAnsi="Times New Roman"/>
                <w:bCs/>
                <w:color w:val="auto"/>
              </w:rPr>
              <w:t>肥料中氮、磷、钾的自动分析仪测定法</w:t>
            </w:r>
          </w:p>
          <w:p>
            <w:pPr>
              <w:adjustRightInd w:val="0"/>
              <w:snapToGrid w:val="0"/>
              <w:rPr>
                <w:rFonts w:ascii="Times New Roman" w:hAnsi="Times New Roman"/>
                <w:bCs/>
                <w:color w:val="auto"/>
              </w:rPr>
            </w:pPr>
            <w:r>
              <w:rPr>
                <w:rFonts w:ascii="Times New Roman" w:hAnsi="Times New Roman"/>
                <w:bCs/>
                <w:color w:val="auto"/>
              </w:rPr>
              <w:t>GB/T 22924—2024 复合肥料中缩二脲含量的测定</w:t>
            </w:r>
          </w:p>
          <w:p>
            <w:pPr>
              <w:adjustRightInd w:val="0"/>
              <w:snapToGrid w:val="0"/>
              <w:rPr>
                <w:rFonts w:ascii="Times New Roman" w:hAnsi="Times New Roman"/>
                <w:bCs/>
                <w:color w:val="auto"/>
              </w:rPr>
            </w:pPr>
            <w:r>
              <w:rPr>
                <w:rFonts w:ascii="Times New Roman" w:hAnsi="Times New Roman"/>
                <w:bCs/>
                <w:color w:val="auto"/>
              </w:rPr>
              <w:t>GB/T 23349—2020 肥料中砷、镉、铅、铬、汞含量的测定</w:t>
            </w:r>
          </w:p>
          <w:p>
            <w:pPr>
              <w:adjustRightInd w:val="0"/>
              <w:snapToGrid w:val="0"/>
              <w:rPr>
                <w:rFonts w:ascii="Times New Roman" w:hAnsi="Times New Roman"/>
                <w:bCs/>
                <w:color w:val="auto"/>
              </w:rPr>
            </w:pPr>
            <w:r>
              <w:rPr>
                <w:rFonts w:ascii="Times New Roman" w:hAnsi="Times New Roman"/>
                <w:bCs/>
                <w:color w:val="auto"/>
              </w:rPr>
              <w:t>GB/T 24890—2010 复混肥料中氯离子含量的测定</w:t>
            </w:r>
          </w:p>
          <w:p>
            <w:pPr>
              <w:adjustRightInd w:val="0"/>
              <w:snapToGrid w:val="0"/>
              <w:rPr>
                <w:rFonts w:ascii="Times New Roman" w:hAnsi="Times New Roman"/>
                <w:bCs/>
                <w:color w:val="auto"/>
              </w:rPr>
            </w:pPr>
            <w:r>
              <w:rPr>
                <w:rFonts w:ascii="Times New Roman" w:hAnsi="Times New Roman"/>
                <w:bCs/>
                <w:color w:val="auto"/>
              </w:rPr>
              <w:t>GB/T 24891—2010 复混肥料粒度的测定</w:t>
            </w:r>
          </w:p>
          <w:p>
            <w:pPr>
              <w:adjustRightInd w:val="0"/>
              <w:snapToGrid w:val="0"/>
              <w:rPr>
                <w:rFonts w:hint="default" w:ascii="Times New Roman" w:hAnsi="Times New Roman"/>
                <w:b w:val="0"/>
                <w:bCs w:val="0"/>
                <w:color w:val="auto"/>
                <w:shd w:val="clear" w:color="auto" w:fill="auto"/>
              </w:rPr>
            </w:pPr>
            <w:r>
              <w:rPr>
                <w:rFonts w:ascii="Times New Roman" w:hAnsi="Times New Roman"/>
                <w:bCs/>
                <w:color w:val="auto"/>
                <w:sz w:val="21"/>
                <w:szCs w:val="21"/>
              </w:rPr>
              <w:t>GB/T 34765-2024</w:t>
            </w:r>
            <w:r>
              <w:rPr>
                <w:rFonts w:hint="default" w:ascii="Times New Roman" w:hAnsi="Times New Roman"/>
                <w:b w:val="0"/>
                <w:bCs w:val="0"/>
                <w:color w:val="auto"/>
                <w:shd w:val="clear" w:color="auto" w:fill="auto"/>
              </w:rPr>
              <w:t>肥料和土壤调理剂</w:t>
            </w:r>
            <w:r>
              <w:rPr>
                <w:rFonts w:ascii="Times New Roman" w:hAnsi="Times New Roman"/>
                <w:b w:val="0"/>
                <w:bCs w:val="0"/>
                <w:color w:val="auto"/>
                <w:shd w:val="clear" w:color="auto" w:fill="auto"/>
              </w:rPr>
              <w:t xml:space="preserve"> </w:t>
            </w:r>
            <w:r>
              <w:rPr>
                <w:rFonts w:hint="default" w:ascii="Times New Roman" w:hAnsi="Times New Roman"/>
                <w:b w:val="0"/>
                <w:bCs w:val="0"/>
                <w:color w:val="auto"/>
                <w:shd w:val="clear" w:color="auto" w:fill="auto"/>
              </w:rPr>
              <w:t>黄腐酸含量及碳系数的测定方法</w:t>
            </w:r>
          </w:p>
          <w:p>
            <w:pPr>
              <w:adjustRightInd w:val="0"/>
              <w:snapToGrid w:val="0"/>
              <w:rPr>
                <w:rFonts w:ascii="Times New Roman" w:hAnsi="Times New Roman"/>
                <w:bCs/>
                <w:color w:val="auto"/>
              </w:rPr>
            </w:pPr>
            <w:r>
              <w:rPr>
                <w:rFonts w:ascii="Times New Roman" w:hAnsi="Times New Roman"/>
                <w:bCs/>
                <w:color w:val="auto"/>
              </w:rPr>
              <w:t>GB/T 38073</w:t>
            </w:r>
            <w:r>
              <w:rPr>
                <w:rFonts w:hint="eastAsia" w:ascii="Times New Roman" w:hAnsi="Times New Roman"/>
                <w:bCs/>
                <w:color w:val="auto"/>
              </w:rPr>
              <w:t>-2019</w:t>
            </w:r>
            <w:r>
              <w:rPr>
                <w:rFonts w:ascii="Times New Roman" w:hAnsi="Times New Roman"/>
                <w:bCs/>
                <w:color w:val="auto"/>
              </w:rPr>
              <w:t xml:space="preserve"> 腐植酸原料及肥料</w:t>
            </w:r>
            <w:r>
              <w:rPr>
                <w:rFonts w:hint="eastAsia" w:ascii="Times New Roman" w:hAnsi="Times New Roman"/>
                <w:bCs/>
                <w:color w:val="auto"/>
              </w:rPr>
              <w:t xml:space="preserve"> </w:t>
            </w:r>
            <w:r>
              <w:rPr>
                <w:rFonts w:ascii="Times New Roman" w:hAnsi="Times New Roman"/>
                <w:bCs/>
                <w:color w:val="auto"/>
              </w:rPr>
              <w:t>术语</w:t>
            </w:r>
          </w:p>
          <w:p>
            <w:pPr>
              <w:adjustRightInd w:val="0"/>
              <w:snapToGrid w:val="0"/>
              <w:rPr>
                <w:rFonts w:ascii="Times New Roman" w:hAnsi="Times New Roman"/>
                <w:bCs/>
                <w:color w:val="auto"/>
              </w:rPr>
            </w:pPr>
            <w:r>
              <w:rPr>
                <w:rFonts w:ascii="Times New Roman" w:hAnsi="Times New Roman"/>
                <w:bCs/>
                <w:color w:val="auto"/>
              </w:rPr>
              <w:t>GB/T 39229—2020/ISO 17318：2015 肥料和土壤调理剂 砷、镉、铬、铅、汞含量的测定</w:t>
            </w:r>
          </w:p>
          <w:p>
            <w:pPr>
              <w:adjustRightInd w:val="0"/>
              <w:snapToGrid w:val="0"/>
              <w:rPr>
                <w:rFonts w:ascii="Times New Roman" w:hAnsi="Times New Roman"/>
                <w:bCs/>
                <w:color w:val="auto"/>
              </w:rPr>
            </w:pPr>
            <w:r>
              <w:rPr>
                <w:rFonts w:ascii="Times New Roman" w:hAnsi="Times New Roman"/>
                <w:bCs/>
                <w:color w:val="auto"/>
              </w:rPr>
              <w:t>GB/T 39356—2020 肥料中总镍、总钴、总硒、总钒、总锑、总铊含量的测定 电感耦合等离子体发射光谱法</w:t>
            </w:r>
          </w:p>
          <w:p>
            <w:pPr>
              <w:adjustRightInd w:val="0"/>
              <w:snapToGrid w:val="0"/>
              <w:rPr>
                <w:rFonts w:ascii="Times New Roman" w:hAnsi="Times New Roman"/>
                <w:bCs/>
                <w:color w:val="auto"/>
              </w:rPr>
            </w:pPr>
            <w:r>
              <w:rPr>
                <w:rFonts w:ascii="Times New Roman" w:hAnsi="Times New Roman"/>
                <w:bCs/>
                <w:color w:val="auto"/>
              </w:rPr>
              <w:t>HG/T 2843—1997 化肥产品化学分析中常用标准滴定溶液、标准溶液、试剂溶液和指示剂溶液</w:t>
            </w:r>
          </w:p>
          <w:p>
            <w:pPr>
              <w:adjustRightInd w:val="0"/>
              <w:snapToGrid w:val="0"/>
              <w:rPr>
                <w:rFonts w:ascii="Times New Roman" w:hAnsi="Times New Roman"/>
                <w:bCs/>
                <w:color w:val="auto"/>
              </w:rPr>
            </w:pPr>
            <w:r>
              <w:rPr>
                <w:rFonts w:ascii="Times New Roman" w:hAnsi="Times New Roman"/>
                <w:bCs/>
                <w:color w:val="auto"/>
              </w:rPr>
              <w:t>HG/T 3278—2018 腐植酸钠</w:t>
            </w:r>
          </w:p>
          <w:p>
            <w:pPr>
              <w:adjustRightInd w:val="0"/>
              <w:snapToGrid w:val="0"/>
              <w:rPr>
                <w:rFonts w:ascii="Times New Roman" w:hAnsi="Times New Roman"/>
                <w:bCs/>
                <w:color w:val="auto"/>
              </w:rPr>
            </w:pPr>
            <w:r>
              <w:rPr>
                <w:rFonts w:ascii="Times New Roman" w:hAnsi="Times New Roman"/>
                <w:bCs/>
                <w:color w:val="auto"/>
              </w:rPr>
              <w:t>HG/T 5332—2018 腐植酸生物有机肥</w:t>
            </w:r>
          </w:p>
          <w:p>
            <w:pPr>
              <w:adjustRightInd w:val="0"/>
              <w:snapToGrid w:val="0"/>
              <w:rPr>
                <w:rFonts w:ascii="Times New Roman" w:hAnsi="Times New Roman"/>
                <w:bCs/>
                <w:color w:val="auto"/>
              </w:rPr>
            </w:pPr>
            <w:r>
              <w:rPr>
                <w:rFonts w:ascii="Times New Roman" w:hAnsi="Times New Roman"/>
                <w:bCs/>
                <w:color w:val="auto"/>
              </w:rPr>
              <w:t>HG/T 5933—2021 腐植酸有机无机复混肥料</w:t>
            </w:r>
          </w:p>
          <w:p>
            <w:pPr>
              <w:adjustRightInd w:val="0"/>
              <w:snapToGrid w:val="0"/>
              <w:rPr>
                <w:rFonts w:ascii="Times New Roman" w:hAnsi="Times New Roman"/>
                <w:bCs/>
                <w:color w:val="auto"/>
              </w:rPr>
            </w:pPr>
            <w:r>
              <w:rPr>
                <w:rFonts w:ascii="Times New Roman" w:hAnsi="Times New Roman"/>
                <w:bCs/>
                <w:color w:val="auto"/>
              </w:rPr>
              <w:t>NY/T 525—2021 有机肥料</w:t>
            </w:r>
          </w:p>
          <w:p>
            <w:pPr>
              <w:adjustRightInd w:val="0"/>
              <w:snapToGrid w:val="0"/>
              <w:rPr>
                <w:rFonts w:ascii="Times New Roman" w:hAnsi="Times New Roman"/>
                <w:bCs/>
                <w:color w:val="auto"/>
              </w:rPr>
            </w:pPr>
            <w:r>
              <w:rPr>
                <w:rFonts w:ascii="Times New Roman" w:hAnsi="Times New Roman"/>
                <w:bCs/>
                <w:color w:val="auto"/>
              </w:rPr>
              <w:t>NY/T 1117—2010 水溶肥料</w:t>
            </w:r>
            <w:r>
              <w:rPr>
                <w:rFonts w:hint="eastAsia" w:ascii="Times New Roman" w:hAnsi="Times New Roman"/>
                <w:bCs/>
                <w:color w:val="auto"/>
              </w:rPr>
              <w:t xml:space="preserve"> </w:t>
            </w:r>
            <w:r>
              <w:rPr>
                <w:rFonts w:ascii="Times New Roman" w:hAnsi="Times New Roman"/>
                <w:bCs/>
                <w:color w:val="auto"/>
              </w:rPr>
              <w:t>钙、镁、硫、氯含量的测定</w:t>
            </w:r>
          </w:p>
          <w:p>
            <w:pPr>
              <w:adjustRightInd w:val="0"/>
              <w:snapToGrid w:val="0"/>
              <w:rPr>
                <w:rFonts w:ascii="Times New Roman" w:hAnsi="Times New Roman"/>
                <w:bCs/>
                <w:color w:val="auto"/>
              </w:rPr>
            </w:pPr>
            <w:r>
              <w:rPr>
                <w:rFonts w:ascii="Times New Roman" w:hAnsi="Times New Roman"/>
                <w:bCs/>
                <w:color w:val="auto"/>
              </w:rPr>
              <w:t>NY/T 1972—2010 水溶肥料</w:t>
            </w:r>
            <w:r>
              <w:rPr>
                <w:rFonts w:hint="eastAsia" w:ascii="Times New Roman" w:hAnsi="Times New Roman"/>
                <w:bCs/>
                <w:color w:val="auto"/>
              </w:rPr>
              <w:t xml:space="preserve"> </w:t>
            </w:r>
            <w:r>
              <w:rPr>
                <w:rFonts w:ascii="Times New Roman" w:hAnsi="Times New Roman"/>
                <w:bCs/>
                <w:color w:val="auto"/>
              </w:rPr>
              <w:t>钠、硒、硅含量的测定</w:t>
            </w:r>
          </w:p>
          <w:p>
            <w:pPr>
              <w:adjustRightInd w:val="0"/>
              <w:snapToGrid w:val="0"/>
              <w:rPr>
                <w:rFonts w:ascii="Times New Roman" w:hAnsi="Times New Roman"/>
                <w:bCs/>
                <w:color w:val="auto"/>
              </w:rPr>
            </w:pPr>
            <w:r>
              <w:rPr>
                <w:rFonts w:ascii="Times New Roman" w:hAnsi="Times New Roman"/>
                <w:bCs/>
                <w:color w:val="auto"/>
              </w:rPr>
              <w:t>NY/T 1978—2022 肥料</w:t>
            </w:r>
            <w:r>
              <w:rPr>
                <w:rFonts w:hint="eastAsia" w:ascii="Times New Roman" w:hAnsi="Times New Roman"/>
                <w:bCs/>
                <w:color w:val="auto"/>
              </w:rPr>
              <w:t xml:space="preserve"> </w:t>
            </w:r>
            <w:r>
              <w:rPr>
                <w:rFonts w:ascii="Times New Roman" w:hAnsi="Times New Roman"/>
                <w:bCs/>
                <w:color w:val="auto"/>
              </w:rPr>
              <w:t>汞、砷、镉、铅、铬、镍含量的测定</w:t>
            </w:r>
          </w:p>
          <w:p>
            <w:pPr>
              <w:adjustRightInd w:val="0"/>
              <w:snapToGrid w:val="0"/>
              <w:rPr>
                <w:rFonts w:ascii="Times New Roman" w:hAnsi="Times New Roman"/>
                <w:bCs/>
                <w:color w:val="auto"/>
              </w:rPr>
            </w:pPr>
            <w:r>
              <w:rPr>
                <w:rFonts w:ascii="Times New Roman" w:hAnsi="Times New Roman"/>
                <w:bCs/>
                <w:color w:val="auto"/>
              </w:rPr>
              <w:t>NY/T 2540—2014 肥料 钾含量的测定</w:t>
            </w:r>
          </w:p>
          <w:p>
            <w:pPr>
              <w:adjustRightInd w:val="0"/>
              <w:snapToGrid w:val="0"/>
              <w:rPr>
                <w:rFonts w:ascii="Times New Roman" w:hAnsi="Times New Roman"/>
                <w:bCs/>
                <w:color w:val="auto"/>
              </w:rPr>
            </w:pPr>
            <w:r>
              <w:rPr>
                <w:rFonts w:ascii="Times New Roman" w:hAnsi="Times New Roman"/>
                <w:bCs/>
                <w:color w:val="auto"/>
              </w:rPr>
              <w:t>NY/T 2541—2014 肥料 磷含量的测定</w:t>
            </w:r>
          </w:p>
          <w:p>
            <w:pPr>
              <w:adjustRightInd w:val="0"/>
              <w:snapToGrid w:val="0"/>
              <w:rPr>
                <w:rFonts w:ascii="Times New Roman" w:hAnsi="Times New Roman"/>
                <w:bCs/>
                <w:color w:val="auto"/>
              </w:rPr>
            </w:pPr>
            <w:r>
              <w:rPr>
                <w:rFonts w:ascii="Times New Roman" w:hAnsi="Times New Roman"/>
                <w:bCs/>
                <w:color w:val="auto"/>
              </w:rPr>
              <w:t>NY/T 2542—2014 肥料 总氮含量的测定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2" w:type="dxa"/>
            <w:vAlign w:val="center"/>
          </w:tcPr>
          <w:p>
            <w:pPr>
              <w:adjustRightInd w:val="0"/>
              <w:snapToGrid w:val="0"/>
              <w:jc w:val="center"/>
              <w:rPr>
                <w:rFonts w:ascii="Times New Roman" w:hAnsi="Times New Roman"/>
                <w:color w:val="auto"/>
              </w:rPr>
            </w:pPr>
            <w:r>
              <w:rPr>
                <w:rFonts w:ascii="Times New Roman" w:hAnsi="Times New Roman"/>
                <w:color w:val="auto"/>
              </w:rPr>
              <w:t>4</w:t>
            </w:r>
          </w:p>
        </w:tc>
        <w:tc>
          <w:tcPr>
            <w:tcW w:w="1281" w:type="dxa"/>
            <w:vAlign w:val="center"/>
          </w:tcPr>
          <w:p>
            <w:pPr>
              <w:adjustRightInd w:val="0"/>
              <w:snapToGrid w:val="0"/>
              <w:jc w:val="center"/>
              <w:rPr>
                <w:rFonts w:ascii="Times New Roman" w:hAnsi="Times New Roman"/>
                <w:bCs/>
                <w:color w:val="auto"/>
              </w:rPr>
            </w:pPr>
            <w:r>
              <w:rPr>
                <w:rFonts w:ascii="Times New Roman" w:hAnsi="Times New Roman"/>
                <w:bCs/>
                <w:color w:val="auto"/>
              </w:rPr>
              <w:t>有机无机掺混肥料</w:t>
            </w:r>
          </w:p>
        </w:tc>
        <w:tc>
          <w:tcPr>
            <w:tcW w:w="2405" w:type="dxa"/>
            <w:vAlign w:val="center"/>
          </w:tcPr>
          <w:p>
            <w:pPr>
              <w:adjustRightInd w:val="0"/>
              <w:snapToGrid w:val="0"/>
              <w:rPr>
                <w:rFonts w:ascii="Times New Roman" w:hAnsi="Times New Roman"/>
                <w:bCs/>
                <w:color w:val="auto"/>
              </w:rPr>
            </w:pPr>
            <w:r>
              <w:rPr>
                <w:rFonts w:ascii="Times New Roman" w:hAnsi="Times New Roman"/>
                <w:bCs/>
                <w:color w:val="auto"/>
              </w:rPr>
              <w:t>GB/T 18877—2020 有机无机复混肥料</w:t>
            </w:r>
            <w:r>
              <w:rPr>
                <w:rFonts w:hint="eastAsia" w:ascii="Times New Roman" w:hAnsi="Times New Roman"/>
                <w:bCs/>
                <w:color w:val="auto"/>
              </w:rPr>
              <w:t>（含第1号修改单）</w:t>
            </w:r>
          </w:p>
        </w:tc>
        <w:tc>
          <w:tcPr>
            <w:tcW w:w="4874" w:type="dxa"/>
            <w:vAlign w:val="center"/>
          </w:tcPr>
          <w:p>
            <w:pPr>
              <w:adjustRightInd w:val="0"/>
              <w:snapToGrid w:val="0"/>
              <w:rPr>
                <w:rFonts w:ascii="Times New Roman" w:hAnsi="Times New Roman"/>
                <w:color w:val="auto"/>
              </w:rPr>
            </w:pPr>
            <w:r>
              <w:rPr>
                <w:rFonts w:ascii="Times New Roman" w:hAnsi="Times New Roman"/>
                <w:bCs/>
                <w:color w:val="auto"/>
              </w:rPr>
              <w:t>GB 18382—2021 肥料标识 内容和要求</w:t>
            </w:r>
          </w:p>
          <w:p>
            <w:pPr>
              <w:adjustRightInd w:val="0"/>
              <w:snapToGrid w:val="0"/>
              <w:rPr>
                <w:rFonts w:ascii="Times New Roman" w:hAnsi="Times New Roman"/>
                <w:bCs/>
                <w:color w:val="auto"/>
              </w:rPr>
            </w:pPr>
            <w:r>
              <w:rPr>
                <w:rFonts w:ascii="Times New Roman" w:hAnsi="Times New Roman"/>
                <w:color w:val="auto"/>
              </w:rPr>
              <w:t>GB 38400—2019 肥料中有毒有害物质的限量要求</w:t>
            </w:r>
          </w:p>
          <w:p>
            <w:pPr>
              <w:adjustRightInd w:val="0"/>
              <w:snapToGrid w:val="0"/>
              <w:rPr>
                <w:rFonts w:ascii="Times New Roman" w:hAnsi="Times New Roman"/>
                <w:bCs/>
                <w:color w:val="auto"/>
              </w:rPr>
            </w:pPr>
            <w:r>
              <w:rPr>
                <w:rFonts w:ascii="Times New Roman" w:hAnsi="Times New Roman"/>
                <w:bCs/>
                <w:color w:val="auto"/>
              </w:rPr>
              <w:t>GB/T 6679—2003 固体化工产品采样通则</w:t>
            </w:r>
          </w:p>
          <w:p>
            <w:pPr>
              <w:adjustRightInd w:val="0"/>
              <w:snapToGrid w:val="0"/>
              <w:rPr>
                <w:rFonts w:ascii="Times New Roman" w:hAnsi="Times New Roman"/>
                <w:bCs/>
                <w:color w:val="auto"/>
              </w:rPr>
            </w:pPr>
            <w:r>
              <w:rPr>
                <w:rFonts w:ascii="Times New Roman" w:hAnsi="Times New Roman"/>
                <w:bCs/>
                <w:color w:val="auto"/>
              </w:rPr>
              <w:t>GB/T 8170—2008 数值修约规则与极限数值的表示和判定</w:t>
            </w:r>
          </w:p>
          <w:p>
            <w:pPr>
              <w:adjustRightInd w:val="0"/>
              <w:snapToGrid w:val="0"/>
              <w:rPr>
                <w:rFonts w:ascii="Times New Roman" w:hAnsi="Times New Roman"/>
                <w:bCs/>
                <w:color w:val="auto"/>
              </w:rPr>
            </w:pPr>
            <w:r>
              <w:rPr>
                <w:rFonts w:ascii="Times New Roman" w:hAnsi="Times New Roman"/>
                <w:bCs/>
                <w:color w:val="auto"/>
              </w:rPr>
              <w:t>GB/T 8569—2009 固体化学肥料包装</w:t>
            </w:r>
          </w:p>
          <w:p>
            <w:pPr>
              <w:adjustRightInd w:val="0"/>
              <w:snapToGrid w:val="0"/>
              <w:rPr>
                <w:rFonts w:ascii="Times New Roman" w:hAnsi="Times New Roman"/>
                <w:bCs/>
                <w:color w:val="auto"/>
              </w:rPr>
            </w:pPr>
            <w:r>
              <w:rPr>
                <w:rFonts w:ascii="Times New Roman" w:hAnsi="Times New Roman"/>
                <w:bCs/>
                <w:color w:val="auto"/>
              </w:rPr>
              <w:t>GB/T 8573—2017 复混肥料中有效磷含量测定</w:t>
            </w:r>
          </w:p>
          <w:p>
            <w:pPr>
              <w:adjustRightInd w:val="0"/>
              <w:snapToGrid w:val="0"/>
              <w:rPr>
                <w:rFonts w:ascii="Times New Roman" w:hAnsi="Times New Roman"/>
                <w:bCs/>
                <w:color w:val="auto"/>
              </w:rPr>
            </w:pPr>
            <w:r>
              <w:rPr>
                <w:rFonts w:ascii="Times New Roman" w:hAnsi="Times New Roman"/>
                <w:bCs/>
                <w:color w:val="auto"/>
              </w:rPr>
              <w:t>GB/T 8576—2010 复混肥料中游离水含量的测定 真空烘箱法</w:t>
            </w:r>
          </w:p>
          <w:p>
            <w:pPr>
              <w:adjustRightInd w:val="0"/>
              <w:snapToGrid w:val="0"/>
              <w:rPr>
                <w:rFonts w:ascii="Times New Roman" w:hAnsi="Times New Roman"/>
                <w:bCs/>
                <w:color w:val="auto"/>
              </w:rPr>
            </w:pPr>
            <w:r>
              <w:rPr>
                <w:rFonts w:ascii="Times New Roman" w:hAnsi="Times New Roman"/>
                <w:bCs/>
                <w:color w:val="auto"/>
              </w:rPr>
              <w:t>GB/T 8577—2010 复混肥料中游离水含量的测定 卡尔·费休法</w:t>
            </w:r>
          </w:p>
          <w:p>
            <w:pPr>
              <w:adjustRightInd w:val="0"/>
              <w:snapToGrid w:val="0"/>
              <w:rPr>
                <w:rFonts w:ascii="Times New Roman" w:hAnsi="Times New Roman"/>
                <w:bCs/>
                <w:color w:val="auto"/>
              </w:rPr>
            </w:pPr>
            <w:r>
              <w:rPr>
                <w:rFonts w:ascii="Times New Roman" w:hAnsi="Times New Roman"/>
                <w:bCs/>
                <w:color w:val="auto"/>
              </w:rPr>
              <w:t>GB/T 17767.1—2008 有机</w:t>
            </w:r>
            <w:r>
              <w:rPr>
                <w:rFonts w:hint="eastAsia" w:ascii="Times New Roman" w:hAnsi="Times New Roman"/>
                <w:bCs/>
                <w:color w:val="auto"/>
              </w:rPr>
              <w:t>-</w:t>
            </w:r>
            <w:r>
              <w:rPr>
                <w:rFonts w:ascii="Times New Roman" w:hAnsi="Times New Roman"/>
                <w:bCs/>
                <w:color w:val="auto"/>
              </w:rPr>
              <w:t>无机复混肥料的测定方法第1部分：总氮含量</w:t>
            </w:r>
          </w:p>
          <w:p>
            <w:pPr>
              <w:adjustRightInd w:val="0"/>
              <w:snapToGrid w:val="0"/>
              <w:rPr>
                <w:rFonts w:ascii="Times New Roman" w:hAnsi="Times New Roman"/>
                <w:bCs/>
                <w:color w:val="auto"/>
              </w:rPr>
            </w:pPr>
            <w:r>
              <w:rPr>
                <w:rFonts w:ascii="Times New Roman" w:hAnsi="Times New Roman"/>
                <w:bCs/>
                <w:color w:val="auto"/>
              </w:rPr>
              <w:t>GB/T 17767.3—2010 有机­无机复混肥料的测定方法第3部分：总钾含量</w:t>
            </w:r>
          </w:p>
          <w:p>
            <w:pPr>
              <w:adjustRightInd w:val="0"/>
              <w:snapToGrid w:val="0"/>
              <w:rPr>
                <w:rFonts w:ascii="Times New Roman" w:hAnsi="Times New Roman"/>
                <w:bCs/>
                <w:color w:val="auto"/>
              </w:rPr>
            </w:pPr>
            <w:r>
              <w:rPr>
                <w:rFonts w:ascii="Times New Roman" w:hAnsi="Times New Roman"/>
                <w:bCs/>
                <w:color w:val="auto"/>
              </w:rPr>
              <w:t>GB/T 18877—2020 有机无机复混肥料</w:t>
            </w:r>
            <w:r>
              <w:rPr>
                <w:rFonts w:hint="eastAsia" w:ascii="Times New Roman" w:hAnsi="Times New Roman"/>
                <w:bCs/>
                <w:color w:val="auto"/>
              </w:rPr>
              <w:t>（含第1号修改单）</w:t>
            </w:r>
          </w:p>
          <w:p>
            <w:pPr>
              <w:adjustRightInd w:val="0"/>
              <w:snapToGrid w:val="0"/>
              <w:rPr>
                <w:rFonts w:ascii="Times New Roman" w:hAnsi="Times New Roman"/>
                <w:bCs/>
                <w:color w:val="auto"/>
              </w:rPr>
            </w:pPr>
            <w:r>
              <w:rPr>
                <w:rFonts w:ascii="Times New Roman" w:hAnsi="Times New Roman"/>
                <w:bCs/>
                <w:color w:val="auto"/>
              </w:rPr>
              <w:t>GB/T 19524.1—2004 肥料中粪大肠菌群的测定</w:t>
            </w:r>
          </w:p>
          <w:p>
            <w:pPr>
              <w:adjustRightInd w:val="0"/>
              <w:snapToGrid w:val="0"/>
              <w:rPr>
                <w:rFonts w:ascii="Times New Roman" w:hAnsi="Times New Roman"/>
                <w:bCs/>
                <w:color w:val="auto"/>
              </w:rPr>
            </w:pPr>
            <w:r>
              <w:rPr>
                <w:rFonts w:ascii="Times New Roman" w:hAnsi="Times New Roman"/>
                <w:bCs/>
                <w:color w:val="auto"/>
              </w:rPr>
              <w:t>GB/T 19524.2—2004 肥料中蛔虫卵死亡率的测定</w:t>
            </w:r>
          </w:p>
          <w:p>
            <w:pPr>
              <w:adjustRightInd w:val="0"/>
              <w:snapToGrid w:val="0"/>
              <w:rPr>
                <w:rFonts w:ascii="Times New Roman" w:hAnsi="Times New Roman"/>
                <w:bCs/>
                <w:color w:val="auto"/>
              </w:rPr>
            </w:pPr>
            <w:r>
              <w:rPr>
                <w:rFonts w:ascii="Times New Roman" w:hAnsi="Times New Roman"/>
                <w:bCs/>
                <w:color w:val="auto"/>
              </w:rPr>
              <w:t>GB/T 22924—2024 复合肥料中缩二脲含量的测定</w:t>
            </w:r>
          </w:p>
          <w:p>
            <w:pPr>
              <w:adjustRightInd w:val="0"/>
              <w:snapToGrid w:val="0"/>
              <w:rPr>
                <w:rFonts w:ascii="Times New Roman" w:hAnsi="Times New Roman"/>
                <w:bCs/>
                <w:color w:val="auto"/>
              </w:rPr>
            </w:pPr>
            <w:r>
              <w:rPr>
                <w:rFonts w:ascii="Times New Roman" w:hAnsi="Times New Roman"/>
                <w:bCs/>
                <w:color w:val="auto"/>
              </w:rPr>
              <w:t>GB/T 23349—2020 肥料中砷、镉、铅、铬、汞含量的测定</w:t>
            </w:r>
          </w:p>
          <w:p>
            <w:pPr>
              <w:adjustRightInd w:val="0"/>
              <w:snapToGrid w:val="0"/>
              <w:rPr>
                <w:rFonts w:ascii="Times New Roman" w:hAnsi="Times New Roman"/>
                <w:bCs/>
                <w:color w:val="auto"/>
              </w:rPr>
            </w:pPr>
            <w:r>
              <w:rPr>
                <w:rFonts w:ascii="Times New Roman" w:hAnsi="Times New Roman"/>
                <w:bCs/>
                <w:color w:val="auto"/>
              </w:rPr>
              <w:t>GB/T 24890—2010 复混肥料中氯离子含量的测定</w:t>
            </w:r>
          </w:p>
          <w:p>
            <w:pPr>
              <w:adjustRightInd w:val="0"/>
              <w:snapToGrid w:val="0"/>
              <w:rPr>
                <w:rFonts w:ascii="Times New Roman" w:hAnsi="Times New Roman"/>
                <w:bCs/>
                <w:color w:val="auto"/>
              </w:rPr>
            </w:pPr>
            <w:r>
              <w:rPr>
                <w:rFonts w:ascii="Times New Roman" w:hAnsi="Times New Roman"/>
                <w:bCs/>
                <w:color w:val="auto"/>
              </w:rPr>
              <w:t>GB/T 24891—2010 复混肥料粒度的测定</w:t>
            </w:r>
          </w:p>
          <w:p>
            <w:pPr>
              <w:adjustRightInd w:val="0"/>
              <w:snapToGrid w:val="0"/>
              <w:rPr>
                <w:rFonts w:ascii="Times New Roman" w:hAnsi="Times New Roman"/>
                <w:bCs/>
                <w:color w:val="auto"/>
              </w:rPr>
            </w:pPr>
            <w:r>
              <w:rPr>
                <w:rFonts w:ascii="Times New Roman" w:hAnsi="Times New Roman"/>
                <w:bCs/>
                <w:color w:val="auto"/>
              </w:rPr>
              <w:t>GB/T 39229—2020/ISO 17318：2015 肥料和土壤调理剂 砷、镉、铬、铅、汞含量的测定</w:t>
            </w:r>
          </w:p>
          <w:p>
            <w:pPr>
              <w:adjustRightInd w:val="0"/>
              <w:snapToGrid w:val="0"/>
              <w:rPr>
                <w:rFonts w:ascii="Times New Roman" w:hAnsi="Times New Roman"/>
                <w:bCs/>
                <w:color w:val="auto"/>
              </w:rPr>
            </w:pPr>
            <w:r>
              <w:rPr>
                <w:rFonts w:ascii="Times New Roman" w:hAnsi="Times New Roman"/>
                <w:bCs/>
                <w:color w:val="auto"/>
              </w:rPr>
              <w:t>GB/T 39356—2020 肥料中总镍、总钴、总硒、总钒、总锑、总铊含量的测定 电感耦合等离子体发射光谱法</w:t>
            </w:r>
          </w:p>
          <w:p>
            <w:pPr>
              <w:adjustRightInd w:val="0"/>
              <w:snapToGrid w:val="0"/>
              <w:rPr>
                <w:rFonts w:ascii="Times New Roman" w:hAnsi="Times New Roman"/>
                <w:bCs/>
                <w:color w:val="auto"/>
              </w:rPr>
            </w:pPr>
            <w:r>
              <w:rPr>
                <w:rFonts w:ascii="Times New Roman" w:hAnsi="Times New Roman"/>
                <w:bCs/>
                <w:color w:val="auto"/>
              </w:rPr>
              <w:t>HG/T 2843—1997 化肥产品</w:t>
            </w:r>
            <w:r>
              <w:rPr>
                <w:rFonts w:hint="eastAsia" w:ascii="Times New Roman" w:hAnsi="Times New Roman"/>
                <w:bCs/>
                <w:color w:val="auto"/>
              </w:rPr>
              <w:t xml:space="preserve"> </w:t>
            </w:r>
            <w:r>
              <w:rPr>
                <w:rFonts w:ascii="Times New Roman" w:hAnsi="Times New Roman"/>
                <w:bCs/>
                <w:color w:val="auto"/>
              </w:rPr>
              <w:t>化学分析中常用标准滴定溶液、标准溶液、试剂溶液和指示剂溶液</w:t>
            </w:r>
          </w:p>
          <w:p>
            <w:pPr>
              <w:adjustRightInd w:val="0"/>
              <w:snapToGrid w:val="0"/>
              <w:rPr>
                <w:rFonts w:ascii="Times New Roman" w:hAnsi="Times New Roman"/>
                <w:bCs/>
                <w:color w:val="auto"/>
              </w:rPr>
            </w:pPr>
            <w:r>
              <w:rPr>
                <w:rFonts w:ascii="Times New Roman" w:hAnsi="Times New Roman"/>
                <w:bCs/>
                <w:color w:val="auto"/>
              </w:rPr>
              <w:t>HG/T 5933—2021 腐植酸有机无机复混肥料</w:t>
            </w:r>
          </w:p>
          <w:p>
            <w:pPr>
              <w:adjustRightInd w:val="0"/>
              <w:snapToGrid w:val="0"/>
              <w:rPr>
                <w:rFonts w:ascii="Times New Roman" w:hAnsi="Times New Roman"/>
                <w:bCs/>
                <w:color w:val="auto"/>
              </w:rPr>
            </w:pPr>
            <w:r>
              <w:rPr>
                <w:rFonts w:ascii="Times New Roman" w:hAnsi="Times New Roman"/>
                <w:bCs/>
                <w:color w:val="auto"/>
              </w:rPr>
              <w:t>NY/T 1117—2010 水溶肥料</w:t>
            </w:r>
            <w:r>
              <w:rPr>
                <w:rFonts w:hint="eastAsia" w:ascii="Times New Roman" w:hAnsi="Times New Roman"/>
                <w:bCs/>
                <w:color w:val="auto"/>
              </w:rPr>
              <w:t xml:space="preserve"> </w:t>
            </w:r>
            <w:r>
              <w:rPr>
                <w:rFonts w:ascii="Times New Roman" w:hAnsi="Times New Roman"/>
                <w:bCs/>
                <w:color w:val="auto"/>
              </w:rPr>
              <w:t>钙、镁、硫、氯含量的测定</w:t>
            </w:r>
          </w:p>
          <w:p>
            <w:pPr>
              <w:adjustRightInd w:val="0"/>
              <w:snapToGrid w:val="0"/>
              <w:rPr>
                <w:rFonts w:ascii="Times New Roman" w:hAnsi="Times New Roman"/>
                <w:bCs/>
                <w:color w:val="auto"/>
              </w:rPr>
            </w:pPr>
            <w:r>
              <w:rPr>
                <w:rFonts w:ascii="Times New Roman" w:hAnsi="Times New Roman"/>
                <w:bCs/>
                <w:color w:val="auto"/>
              </w:rPr>
              <w:t>NY/T 1972—2010 水溶肥料</w:t>
            </w:r>
            <w:r>
              <w:rPr>
                <w:rFonts w:hint="eastAsia" w:ascii="Times New Roman" w:hAnsi="Times New Roman"/>
                <w:bCs/>
                <w:color w:val="auto"/>
              </w:rPr>
              <w:t xml:space="preserve"> </w:t>
            </w:r>
            <w:r>
              <w:rPr>
                <w:rFonts w:ascii="Times New Roman" w:hAnsi="Times New Roman"/>
                <w:bCs/>
                <w:color w:val="auto"/>
              </w:rPr>
              <w:t>钠、硒、硅含量的测定</w:t>
            </w:r>
          </w:p>
          <w:p>
            <w:pPr>
              <w:adjustRightInd w:val="0"/>
              <w:snapToGrid w:val="0"/>
              <w:rPr>
                <w:rFonts w:ascii="Times New Roman" w:hAnsi="Times New Roman"/>
                <w:bCs/>
                <w:color w:val="auto"/>
              </w:rPr>
            </w:pPr>
            <w:r>
              <w:rPr>
                <w:rFonts w:ascii="Times New Roman" w:hAnsi="Times New Roman"/>
                <w:bCs/>
                <w:color w:val="auto"/>
              </w:rPr>
              <w:t>NY/T 1978—2022 肥料</w:t>
            </w:r>
            <w:r>
              <w:rPr>
                <w:rFonts w:hint="eastAsia" w:ascii="Times New Roman" w:hAnsi="Times New Roman"/>
                <w:bCs/>
                <w:color w:val="auto"/>
              </w:rPr>
              <w:t xml:space="preserve"> </w:t>
            </w:r>
            <w:r>
              <w:rPr>
                <w:rFonts w:ascii="Times New Roman" w:hAnsi="Times New Roman"/>
                <w:bCs/>
                <w:color w:val="auto"/>
              </w:rPr>
              <w:t>汞、砷、镉、铅、铬、镍含量的测定</w:t>
            </w:r>
          </w:p>
          <w:p>
            <w:pPr>
              <w:adjustRightInd w:val="0"/>
              <w:snapToGrid w:val="0"/>
              <w:rPr>
                <w:rFonts w:ascii="Times New Roman" w:hAnsi="Times New Roman"/>
                <w:bCs/>
                <w:color w:val="auto"/>
              </w:rPr>
            </w:pPr>
            <w:r>
              <w:rPr>
                <w:rFonts w:ascii="Times New Roman" w:hAnsi="Times New Roman"/>
                <w:bCs/>
                <w:color w:val="auto"/>
              </w:rPr>
              <w:t>NY/T 2540—2014 肥料 钾含量的测定</w:t>
            </w:r>
          </w:p>
          <w:p>
            <w:pPr>
              <w:adjustRightInd w:val="0"/>
              <w:snapToGrid w:val="0"/>
              <w:rPr>
                <w:rFonts w:ascii="Times New Roman" w:hAnsi="Times New Roman"/>
                <w:bCs/>
                <w:color w:val="auto"/>
              </w:rPr>
            </w:pPr>
            <w:r>
              <w:rPr>
                <w:rFonts w:ascii="Times New Roman" w:hAnsi="Times New Roman"/>
                <w:bCs/>
                <w:color w:val="auto"/>
              </w:rPr>
              <w:t>NY/T 2541—2014 肥料 磷含量的测定</w:t>
            </w:r>
          </w:p>
          <w:p>
            <w:pPr>
              <w:adjustRightInd w:val="0"/>
              <w:snapToGrid w:val="0"/>
              <w:rPr>
                <w:rFonts w:ascii="Times New Roman" w:hAnsi="Times New Roman"/>
                <w:bCs/>
                <w:color w:val="auto"/>
              </w:rPr>
            </w:pPr>
            <w:r>
              <w:rPr>
                <w:rFonts w:ascii="Times New Roman" w:hAnsi="Times New Roman"/>
                <w:bCs/>
                <w:color w:val="auto"/>
              </w:rPr>
              <w:t>NY/T 2542—2014 肥料 总氮含量的测定</w:t>
            </w:r>
          </w:p>
        </w:tc>
      </w:tr>
    </w:tbl>
    <w:p>
      <w:pPr>
        <w:pStyle w:val="3"/>
        <w:spacing w:line="360" w:lineRule="auto"/>
        <w:jc w:val="center"/>
        <w:rPr>
          <w:rFonts w:ascii="Times New Roman" w:hAnsi="Times New Roman"/>
          <w:b/>
          <w:color w:val="auto"/>
          <w:sz w:val="28"/>
          <w:szCs w:val="28"/>
        </w:rPr>
      </w:pPr>
      <w:bookmarkStart w:id="9" w:name="_Toc178002835"/>
      <w:bookmarkStart w:id="10" w:name="_Toc178002554"/>
    </w:p>
    <w:p>
      <w:pPr>
        <w:pStyle w:val="3"/>
        <w:spacing w:line="360" w:lineRule="auto"/>
        <w:jc w:val="center"/>
        <w:rPr>
          <w:rFonts w:ascii="Times New Roman" w:hAnsi="Times New Roman"/>
          <w:color w:val="auto"/>
        </w:rPr>
      </w:pPr>
      <w:r>
        <w:rPr>
          <w:rFonts w:ascii="Times New Roman" w:hAnsi="Times New Roman"/>
          <w:b/>
          <w:color w:val="auto"/>
          <w:sz w:val="28"/>
          <w:szCs w:val="28"/>
        </w:rPr>
        <w:t>第三章 企业申请生产许可证的基本条件和资料</w:t>
      </w:r>
      <w:bookmarkEnd w:id="9"/>
      <w:bookmarkEnd w:id="10"/>
    </w:p>
    <w:p>
      <w:pPr>
        <w:pStyle w:val="56"/>
        <w:adjustRightInd w:val="0"/>
        <w:snapToGrid w:val="0"/>
        <w:spacing w:line="360" w:lineRule="auto"/>
        <w:ind w:firstLineChars="200"/>
        <w:jc w:val="left"/>
        <w:rPr>
          <w:rFonts w:ascii="Times New Roman" w:hAnsi="Times New Roman" w:eastAsia="宋体"/>
          <w:color w:val="auto"/>
          <w:sz w:val="21"/>
          <w:szCs w:val="21"/>
        </w:rPr>
      </w:pPr>
      <w:r>
        <w:rPr>
          <w:rFonts w:ascii="Times New Roman" w:hAnsi="Times New Roman" w:eastAsia="宋体"/>
          <w:color w:val="auto"/>
          <w:sz w:val="21"/>
          <w:szCs w:val="21"/>
        </w:rPr>
        <w:t>第六条 基本条件</w:t>
      </w:r>
    </w:p>
    <w:p>
      <w:pPr>
        <w:adjustRightInd w:val="0"/>
        <w:snapToGrid w:val="0"/>
        <w:spacing w:line="360" w:lineRule="auto"/>
        <w:ind w:firstLine="420" w:firstLineChars="200"/>
        <w:rPr>
          <w:rFonts w:ascii="Times New Roman" w:hAnsi="Times New Roman"/>
          <w:color w:val="auto"/>
        </w:rPr>
      </w:pPr>
      <w:r>
        <w:rPr>
          <w:rFonts w:ascii="Times New Roman" w:hAnsi="Times New Roman"/>
          <w:color w:val="auto"/>
        </w:rPr>
        <w:t>企业应具备与所生产产品相适应的基本条件，具体如下：</w:t>
      </w:r>
    </w:p>
    <w:p>
      <w:pPr>
        <w:adjustRightInd w:val="0"/>
        <w:snapToGrid w:val="0"/>
        <w:spacing w:line="360" w:lineRule="auto"/>
        <w:ind w:firstLine="420" w:firstLineChars="200"/>
        <w:rPr>
          <w:rFonts w:ascii="Times New Roman" w:hAnsi="Times New Roman"/>
          <w:color w:val="auto"/>
        </w:rPr>
      </w:pPr>
      <w:r>
        <w:rPr>
          <w:rFonts w:ascii="Times New Roman" w:hAnsi="Times New Roman"/>
          <w:color w:val="auto"/>
        </w:rPr>
        <w:t>（一）有营业执照；</w:t>
      </w:r>
    </w:p>
    <w:p>
      <w:pPr>
        <w:adjustRightInd w:val="0"/>
        <w:snapToGrid w:val="0"/>
        <w:spacing w:line="360" w:lineRule="auto"/>
        <w:ind w:firstLine="420" w:firstLineChars="200"/>
        <w:rPr>
          <w:rFonts w:ascii="Times New Roman" w:hAnsi="Times New Roman"/>
          <w:color w:val="auto"/>
        </w:rPr>
      </w:pPr>
      <w:r>
        <w:rPr>
          <w:rFonts w:ascii="Times New Roman" w:hAnsi="Times New Roman"/>
          <w:color w:val="auto"/>
        </w:rPr>
        <w:t>（二）有与所生产产品相适应的专业技术人员。企业应当配备质量安全总监、质量安全员等质量安全管理人员，技术人员、检验检测人员、操作人员等相关人员；</w:t>
      </w:r>
    </w:p>
    <w:p>
      <w:pPr>
        <w:adjustRightInd w:val="0"/>
        <w:snapToGrid w:val="0"/>
        <w:spacing w:line="360" w:lineRule="auto"/>
        <w:ind w:firstLine="420" w:firstLineChars="200"/>
        <w:rPr>
          <w:rFonts w:ascii="Times New Roman" w:hAnsi="Times New Roman"/>
          <w:color w:val="auto"/>
        </w:rPr>
      </w:pPr>
      <w:r>
        <w:rPr>
          <w:rFonts w:ascii="Times New Roman" w:hAnsi="Times New Roman"/>
          <w:color w:val="auto"/>
        </w:rPr>
        <w:t>（三）有与所生产产品相适应的生产条件和检验手段。企业应当具备生产</w:t>
      </w:r>
      <w:r>
        <w:rPr>
          <w:rFonts w:hint="eastAsia" w:ascii="Times New Roman" w:hAnsi="Times New Roman"/>
          <w:color w:val="auto"/>
        </w:rPr>
        <w:t>和检验检测</w:t>
      </w:r>
      <w:r>
        <w:rPr>
          <w:rFonts w:ascii="Times New Roman" w:hAnsi="Times New Roman"/>
          <w:color w:val="auto"/>
        </w:rPr>
        <w:t>场所、生产和检验检测设备，见表3-1～表3-3；</w:t>
      </w:r>
    </w:p>
    <w:p>
      <w:pPr>
        <w:adjustRightInd w:val="0"/>
        <w:snapToGrid w:val="0"/>
        <w:spacing w:line="360" w:lineRule="auto"/>
        <w:ind w:firstLine="420" w:firstLineChars="200"/>
        <w:rPr>
          <w:rFonts w:ascii="Times New Roman" w:hAnsi="Times New Roman"/>
          <w:color w:val="auto"/>
        </w:rPr>
      </w:pPr>
      <w:r>
        <w:rPr>
          <w:rFonts w:ascii="Times New Roman" w:hAnsi="Times New Roman"/>
          <w:color w:val="auto"/>
        </w:rPr>
        <w:t>（四）有与所生产产品相适应的技术文件和工艺文件。企业应当具有工艺流程图、技术工艺文件、检验检测文件等；</w:t>
      </w:r>
    </w:p>
    <w:p>
      <w:pPr>
        <w:adjustRightInd w:val="0"/>
        <w:snapToGrid w:val="0"/>
        <w:spacing w:line="360" w:lineRule="auto"/>
        <w:ind w:firstLine="420" w:firstLineChars="200"/>
        <w:rPr>
          <w:rFonts w:ascii="Times New Roman" w:hAnsi="Times New Roman"/>
          <w:color w:val="auto"/>
        </w:rPr>
      </w:pPr>
      <w:r>
        <w:rPr>
          <w:rFonts w:ascii="Times New Roman" w:hAnsi="Times New Roman"/>
          <w:color w:val="auto"/>
        </w:rPr>
        <w:t>（五）有健全有效的质量管理制度和责任制度。企业应当建立质量安全管理制度、质量安全追溯制度，有效落实产品质量安全主体责任：</w:t>
      </w:r>
    </w:p>
    <w:p>
      <w:pPr>
        <w:adjustRightInd w:val="0"/>
        <w:snapToGrid w:val="0"/>
        <w:spacing w:line="360" w:lineRule="auto"/>
        <w:ind w:firstLine="420" w:firstLineChars="200"/>
        <w:rPr>
          <w:rFonts w:ascii="Times New Roman" w:hAnsi="Times New Roman"/>
          <w:color w:val="auto"/>
        </w:rPr>
      </w:pPr>
      <w:r>
        <w:rPr>
          <w:rFonts w:ascii="Times New Roman" w:hAnsi="Times New Roman"/>
          <w:color w:val="auto"/>
        </w:rPr>
        <w:t>1.有与所生产产品相适应的产品质量安全管理制度，包括：主要负责人、</w:t>
      </w:r>
      <w:r>
        <w:rPr>
          <w:rFonts w:ascii="Times New Roman" w:hAnsi="Times New Roman"/>
          <w:color w:val="auto"/>
          <w:shd w:val="clear" w:color="000000" w:fill="FFFFFF"/>
        </w:rPr>
        <w:t>质量安全总监和质量安全员的设立、调整、岗位职责</w:t>
      </w:r>
      <w:r>
        <w:rPr>
          <w:rFonts w:hint="eastAsia" w:ascii="Times New Roman" w:hAnsi="Times New Roman"/>
          <w:color w:val="auto"/>
          <w:shd w:val="clear" w:color="000000" w:fill="FFFFFF"/>
        </w:rPr>
        <w:t>以及质量安全总监和质量安全员的</w:t>
      </w:r>
      <w:r>
        <w:rPr>
          <w:rFonts w:ascii="Times New Roman" w:hAnsi="Times New Roman"/>
          <w:color w:val="auto"/>
          <w:shd w:val="clear" w:color="000000" w:fill="FFFFFF"/>
        </w:rPr>
        <w:t>培训考核要求等。</w:t>
      </w:r>
    </w:p>
    <w:p>
      <w:pPr>
        <w:adjustRightInd w:val="0"/>
        <w:snapToGrid w:val="0"/>
        <w:spacing w:line="360" w:lineRule="auto"/>
        <w:ind w:firstLine="420" w:firstLineChars="200"/>
        <w:rPr>
          <w:rFonts w:ascii="Times New Roman" w:hAnsi="Times New Roman"/>
          <w:color w:val="auto"/>
        </w:rPr>
      </w:pPr>
      <w:r>
        <w:rPr>
          <w:rFonts w:ascii="Times New Roman" w:hAnsi="Times New Roman"/>
          <w:color w:val="auto"/>
        </w:rPr>
        <w:t>2.有与所生产产品相适应的质量安全追溯制度，企业出厂产品的相关信息应可追溯。</w:t>
      </w:r>
    </w:p>
    <w:p>
      <w:pPr>
        <w:adjustRightInd w:val="0"/>
        <w:snapToGrid w:val="0"/>
        <w:spacing w:line="360" w:lineRule="auto"/>
        <w:ind w:firstLine="420" w:firstLineChars="200"/>
        <w:rPr>
          <w:rFonts w:ascii="Times New Roman" w:hAnsi="Times New Roman"/>
          <w:color w:val="auto"/>
        </w:rPr>
      </w:pPr>
      <w:r>
        <w:rPr>
          <w:rFonts w:ascii="Times New Roman" w:hAnsi="Times New Roman"/>
          <w:color w:val="auto"/>
        </w:rPr>
        <w:t>（六）产品符合有关国家标准、行业标准以及保障人体健康和人身、财产安全的要求。企业应按照现行有效的标准组织生产，有产品质量合格证明，并提交有资质的检验检测机构出具的检验检测报告。</w:t>
      </w:r>
    </w:p>
    <w:p>
      <w:pPr>
        <w:snapToGrid w:val="0"/>
        <w:spacing w:before="240" w:beforeLines="100"/>
        <w:jc w:val="center"/>
        <w:rPr>
          <w:rFonts w:ascii="Times New Roman" w:hAnsi="Times New Roman"/>
          <w:color w:val="auto"/>
        </w:rPr>
      </w:pPr>
      <w:r>
        <w:rPr>
          <w:rFonts w:ascii="Times New Roman" w:hAnsi="Times New Roman"/>
          <w:b/>
          <w:color w:val="auto"/>
        </w:rPr>
        <w:t>表3-1 应具备的场所设施</w:t>
      </w:r>
    </w:p>
    <w:tbl>
      <w:tblPr>
        <w:tblStyle w:val="37"/>
        <w:tblW w:w="90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1513"/>
        <w:gridCol w:w="6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679" w:type="dxa"/>
            <w:vAlign w:val="center"/>
          </w:tcPr>
          <w:p>
            <w:pPr>
              <w:adjustRightInd w:val="0"/>
              <w:snapToGrid w:val="0"/>
              <w:jc w:val="center"/>
              <w:textAlignment w:val="baseline"/>
              <w:rPr>
                <w:rFonts w:ascii="Times New Roman" w:hAnsi="Times New Roman"/>
                <w:b/>
                <w:color w:val="auto"/>
              </w:rPr>
            </w:pPr>
            <w:r>
              <w:rPr>
                <w:rFonts w:ascii="Times New Roman" w:hAnsi="Times New Roman"/>
                <w:b/>
                <w:color w:val="auto"/>
              </w:rPr>
              <w:t>序号</w:t>
            </w:r>
          </w:p>
        </w:tc>
        <w:tc>
          <w:tcPr>
            <w:tcW w:w="1513" w:type="dxa"/>
            <w:vAlign w:val="center"/>
          </w:tcPr>
          <w:p>
            <w:pPr>
              <w:adjustRightInd w:val="0"/>
              <w:snapToGrid w:val="0"/>
              <w:jc w:val="center"/>
              <w:textAlignment w:val="baseline"/>
              <w:rPr>
                <w:rFonts w:ascii="Times New Roman" w:hAnsi="Times New Roman"/>
                <w:b/>
                <w:color w:val="auto"/>
              </w:rPr>
            </w:pPr>
            <w:r>
              <w:rPr>
                <w:rFonts w:ascii="Times New Roman" w:hAnsi="Times New Roman"/>
                <w:b/>
                <w:color w:val="auto"/>
              </w:rPr>
              <w:t>名称</w:t>
            </w:r>
          </w:p>
        </w:tc>
        <w:tc>
          <w:tcPr>
            <w:tcW w:w="6892" w:type="dxa"/>
            <w:vAlign w:val="center"/>
          </w:tcPr>
          <w:p>
            <w:pPr>
              <w:adjustRightInd w:val="0"/>
              <w:snapToGrid w:val="0"/>
              <w:jc w:val="center"/>
              <w:textAlignment w:val="baseline"/>
              <w:rPr>
                <w:rFonts w:ascii="Times New Roman" w:hAnsi="Times New Roman"/>
                <w:b/>
                <w:color w:val="auto"/>
              </w:rPr>
            </w:pPr>
            <w:r>
              <w:rPr>
                <w:rFonts w:ascii="Times New Roman" w:hAnsi="Times New Roman"/>
                <w:b/>
                <w:color w:val="auto"/>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restart"/>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1</w:t>
            </w:r>
          </w:p>
        </w:tc>
        <w:tc>
          <w:tcPr>
            <w:tcW w:w="1513" w:type="dxa"/>
            <w:vMerge w:val="restart"/>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生产场所</w:t>
            </w:r>
          </w:p>
        </w:tc>
        <w:tc>
          <w:tcPr>
            <w:tcW w:w="6892" w:type="dxa"/>
            <w:vAlign w:val="center"/>
          </w:tcPr>
          <w:p>
            <w:pPr>
              <w:adjustRightInd w:val="0"/>
              <w:snapToGrid w:val="0"/>
              <w:textAlignment w:val="baseline"/>
              <w:rPr>
                <w:rFonts w:ascii="Times New Roman" w:hAnsi="Times New Roman"/>
                <w:color w:val="auto"/>
              </w:rPr>
            </w:pPr>
            <w:r>
              <w:rPr>
                <w:rFonts w:ascii="Times New Roman" w:hAnsi="Times New Roman"/>
                <w:bCs/>
                <w:color w:val="auto"/>
              </w:rPr>
              <w:t>生产场所应能满足所申请产品正常批量生产的需求，包括满足原材料等的存放、产品的生产、成品存放等要求。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continue"/>
            <w:vAlign w:val="center"/>
          </w:tcPr>
          <w:p>
            <w:pPr>
              <w:keepNext/>
              <w:keepLines/>
              <w:adjustRightInd w:val="0"/>
              <w:snapToGrid w:val="0"/>
              <w:jc w:val="center"/>
              <w:textAlignment w:val="baseline"/>
              <w:outlineLvl w:val="2"/>
              <w:rPr>
                <w:rFonts w:ascii="Times New Roman" w:hAnsi="Times New Roman"/>
                <w:color w:val="auto"/>
              </w:rPr>
            </w:pPr>
          </w:p>
        </w:tc>
        <w:tc>
          <w:tcPr>
            <w:tcW w:w="1513" w:type="dxa"/>
            <w:vMerge w:val="continue"/>
            <w:vAlign w:val="center"/>
          </w:tcPr>
          <w:p>
            <w:pPr>
              <w:adjustRightInd w:val="0"/>
              <w:snapToGrid w:val="0"/>
              <w:jc w:val="center"/>
              <w:textAlignment w:val="baseline"/>
              <w:rPr>
                <w:rFonts w:ascii="Times New Roman" w:hAnsi="Times New Roman"/>
                <w:color w:val="auto"/>
              </w:rPr>
            </w:pPr>
          </w:p>
        </w:tc>
        <w:tc>
          <w:tcPr>
            <w:tcW w:w="6892" w:type="dxa"/>
            <w:vAlign w:val="center"/>
          </w:tcPr>
          <w:p>
            <w:pPr>
              <w:adjustRightInd w:val="0"/>
              <w:snapToGrid w:val="0"/>
              <w:textAlignment w:val="baseline"/>
              <w:rPr>
                <w:rFonts w:ascii="Times New Roman" w:hAnsi="Times New Roman"/>
                <w:bCs/>
                <w:color w:val="auto"/>
              </w:rPr>
            </w:pPr>
            <w:r>
              <w:rPr>
                <w:rFonts w:ascii="Times New Roman" w:hAnsi="Times New Roman"/>
                <w:color w:val="auto"/>
              </w:rPr>
              <w:t>生产场所应布局合理，各工序衔接顺畅，不应有与申请产品无关的其他活动的干扰和影响。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79" w:type="dxa"/>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2</w:t>
            </w:r>
          </w:p>
        </w:tc>
        <w:tc>
          <w:tcPr>
            <w:tcW w:w="1513" w:type="dxa"/>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检验检测场所</w:t>
            </w:r>
          </w:p>
        </w:tc>
        <w:tc>
          <w:tcPr>
            <w:tcW w:w="6892" w:type="dxa"/>
            <w:vAlign w:val="center"/>
          </w:tcPr>
          <w:p>
            <w:pPr>
              <w:adjustRightInd w:val="0"/>
              <w:snapToGrid w:val="0"/>
              <w:textAlignment w:val="baseline"/>
              <w:rPr>
                <w:rFonts w:ascii="Times New Roman" w:hAnsi="Times New Roman"/>
                <w:bCs/>
                <w:color w:val="auto"/>
              </w:rPr>
            </w:pPr>
            <w:r>
              <w:rPr>
                <w:rFonts w:ascii="Times New Roman" w:hAnsi="Times New Roman"/>
                <w:bCs/>
                <w:color w:val="auto"/>
              </w:rPr>
              <w:t>应有相对独立的成品检验检测场所，其环境条件应符合检验检测标准的要求。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restart"/>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3</w:t>
            </w:r>
          </w:p>
        </w:tc>
        <w:tc>
          <w:tcPr>
            <w:tcW w:w="1513" w:type="dxa"/>
            <w:vMerge w:val="restart"/>
            <w:vAlign w:val="center"/>
          </w:tcPr>
          <w:p>
            <w:pPr>
              <w:adjustRightInd w:val="0"/>
              <w:snapToGrid w:val="0"/>
              <w:jc w:val="center"/>
              <w:textAlignment w:val="baseline"/>
              <w:rPr>
                <w:rFonts w:ascii="Times New Roman" w:hAnsi="Times New Roman"/>
                <w:color w:val="auto"/>
              </w:rPr>
            </w:pPr>
            <w:r>
              <w:rPr>
                <w:rFonts w:ascii="Times New Roman" w:hAnsi="Times New Roman"/>
                <w:color w:val="auto"/>
              </w:rPr>
              <w:t>仓库</w:t>
            </w:r>
          </w:p>
        </w:tc>
        <w:tc>
          <w:tcPr>
            <w:tcW w:w="6892" w:type="dxa"/>
            <w:vAlign w:val="center"/>
          </w:tcPr>
          <w:p>
            <w:pPr>
              <w:adjustRightInd w:val="0"/>
              <w:snapToGrid w:val="0"/>
              <w:textAlignment w:val="baseline"/>
              <w:rPr>
                <w:rFonts w:ascii="Times New Roman" w:hAnsi="Times New Roman"/>
                <w:bCs/>
                <w:color w:val="auto"/>
              </w:rPr>
            </w:pPr>
            <w:r>
              <w:rPr>
                <w:rFonts w:ascii="Times New Roman" w:hAnsi="Times New Roman"/>
                <w:bCs/>
                <w:color w:val="auto"/>
              </w:rPr>
              <w:t>在平层时，应有防水浸泡</w:t>
            </w:r>
            <w:r>
              <w:rPr>
                <w:rFonts w:hint="eastAsia" w:ascii="Times New Roman" w:hAnsi="Times New Roman"/>
                <w:bCs/>
                <w:color w:val="auto"/>
              </w:rPr>
              <w:t>、防雨淋</w:t>
            </w:r>
            <w:r>
              <w:rPr>
                <w:rFonts w:ascii="Times New Roman" w:hAnsi="Times New Roman"/>
                <w:bCs/>
                <w:color w:val="auto"/>
              </w:rPr>
              <w:t>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continue"/>
            <w:vAlign w:val="center"/>
          </w:tcPr>
          <w:p>
            <w:pPr>
              <w:keepNext/>
              <w:keepLines/>
              <w:adjustRightInd w:val="0"/>
              <w:snapToGrid w:val="0"/>
              <w:jc w:val="center"/>
              <w:textAlignment w:val="baseline"/>
              <w:outlineLvl w:val="2"/>
              <w:rPr>
                <w:rFonts w:ascii="Times New Roman" w:hAnsi="Times New Roman"/>
                <w:color w:val="auto"/>
              </w:rPr>
            </w:pPr>
          </w:p>
        </w:tc>
        <w:tc>
          <w:tcPr>
            <w:tcW w:w="1513" w:type="dxa"/>
            <w:vMerge w:val="continue"/>
            <w:vAlign w:val="center"/>
          </w:tcPr>
          <w:p>
            <w:pPr>
              <w:keepNext/>
              <w:keepLines/>
              <w:adjustRightInd w:val="0"/>
              <w:snapToGrid w:val="0"/>
              <w:textAlignment w:val="baseline"/>
              <w:outlineLvl w:val="2"/>
              <w:rPr>
                <w:rFonts w:ascii="Times New Roman" w:hAnsi="Times New Roman"/>
                <w:color w:val="auto"/>
              </w:rPr>
            </w:pPr>
          </w:p>
        </w:tc>
        <w:tc>
          <w:tcPr>
            <w:tcW w:w="6892" w:type="dxa"/>
            <w:vAlign w:val="center"/>
          </w:tcPr>
          <w:p>
            <w:pPr>
              <w:adjustRightInd w:val="0"/>
              <w:snapToGrid w:val="0"/>
              <w:textAlignment w:val="baseline"/>
              <w:rPr>
                <w:rFonts w:ascii="Times New Roman" w:hAnsi="Times New Roman"/>
                <w:bCs/>
                <w:color w:val="auto"/>
              </w:rPr>
            </w:pPr>
            <w:r>
              <w:rPr>
                <w:rFonts w:ascii="Times New Roman" w:hAnsi="Times New Roman"/>
                <w:color w:val="auto"/>
              </w:rPr>
              <w:t>原材料、半成品、成品等应有物品标识和检验状态标识，应能有效区分物品、防止物品混淆。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continue"/>
            <w:vAlign w:val="center"/>
          </w:tcPr>
          <w:p>
            <w:pPr>
              <w:keepNext/>
              <w:keepLines/>
              <w:adjustRightInd w:val="0"/>
              <w:snapToGrid w:val="0"/>
              <w:jc w:val="center"/>
              <w:textAlignment w:val="baseline"/>
              <w:outlineLvl w:val="2"/>
              <w:rPr>
                <w:rFonts w:ascii="Times New Roman" w:hAnsi="Times New Roman"/>
                <w:color w:val="auto"/>
              </w:rPr>
            </w:pPr>
          </w:p>
        </w:tc>
        <w:tc>
          <w:tcPr>
            <w:tcW w:w="1513" w:type="dxa"/>
            <w:vMerge w:val="continue"/>
            <w:vAlign w:val="center"/>
          </w:tcPr>
          <w:p>
            <w:pPr>
              <w:keepNext/>
              <w:keepLines/>
              <w:adjustRightInd w:val="0"/>
              <w:snapToGrid w:val="0"/>
              <w:textAlignment w:val="baseline"/>
              <w:outlineLvl w:val="2"/>
              <w:rPr>
                <w:rFonts w:ascii="Times New Roman" w:hAnsi="Times New Roman"/>
                <w:color w:val="auto"/>
              </w:rPr>
            </w:pPr>
          </w:p>
        </w:tc>
        <w:tc>
          <w:tcPr>
            <w:tcW w:w="6892" w:type="dxa"/>
            <w:vAlign w:val="center"/>
          </w:tcPr>
          <w:p>
            <w:pPr>
              <w:adjustRightInd w:val="0"/>
              <w:snapToGrid w:val="0"/>
              <w:textAlignment w:val="baseline"/>
              <w:rPr>
                <w:rFonts w:ascii="Times New Roman" w:hAnsi="Times New Roman"/>
                <w:color w:val="auto"/>
              </w:rPr>
            </w:pPr>
            <w:r>
              <w:rPr>
                <w:rFonts w:ascii="Times New Roman" w:hAnsi="Times New Roman"/>
                <w:color w:val="auto"/>
              </w:rPr>
              <w:t>存放的各类物品应分类、分区存放，不合格品应隔离。</w:t>
            </w:r>
          </w:p>
        </w:tc>
      </w:tr>
    </w:tbl>
    <w:p>
      <w:pPr>
        <w:adjustRightInd w:val="0"/>
        <w:snapToGrid w:val="0"/>
        <w:spacing w:line="360" w:lineRule="auto"/>
        <w:rPr>
          <w:rFonts w:ascii="Times New Roman" w:hAnsi="Times New Roman"/>
          <w:color w:val="auto"/>
          <w:sz w:val="18"/>
          <w:szCs w:val="18"/>
        </w:rPr>
      </w:pPr>
      <w:r>
        <w:rPr>
          <w:rFonts w:ascii="Times New Roman" w:hAnsi="Times New Roman"/>
          <w:color w:val="auto"/>
          <w:sz w:val="18"/>
          <w:szCs w:val="18"/>
        </w:rPr>
        <w:t>注：本细则列出的场所设施允许租赁。</w:t>
      </w:r>
    </w:p>
    <w:p>
      <w:pPr>
        <w:snapToGrid w:val="0"/>
        <w:spacing w:before="240" w:beforeLines="100"/>
        <w:jc w:val="center"/>
        <w:rPr>
          <w:rFonts w:ascii="Times New Roman" w:hAnsi="Times New Roman"/>
          <w:b/>
          <w:color w:val="auto"/>
        </w:rPr>
      </w:pPr>
      <w:bookmarkStart w:id="11" w:name="_Hlk167365790"/>
      <w:bookmarkStart w:id="12" w:name="_Hlk185403934"/>
      <w:r>
        <w:rPr>
          <w:rFonts w:ascii="Times New Roman" w:hAnsi="Times New Roman"/>
          <w:b/>
          <w:color w:val="auto"/>
        </w:rPr>
        <w:t>表3-</w:t>
      </w:r>
      <w:bookmarkEnd w:id="11"/>
      <w:r>
        <w:rPr>
          <w:rFonts w:ascii="Times New Roman" w:hAnsi="Times New Roman"/>
          <w:b/>
          <w:color w:val="auto"/>
        </w:rPr>
        <w:t>2 应具备的生产设备</w:t>
      </w:r>
    </w:p>
    <w:tbl>
      <w:tblPr>
        <w:tblStyle w:val="37"/>
        <w:tblW w:w="93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28" w:type="dxa"/>
          <w:bottom w:w="0" w:type="dxa"/>
          <w:right w:w="28" w:type="dxa"/>
        </w:tblCellMar>
      </w:tblPr>
      <w:tblGrid>
        <w:gridCol w:w="704"/>
        <w:gridCol w:w="1134"/>
        <w:gridCol w:w="1559"/>
        <w:gridCol w:w="3261"/>
        <w:gridCol w:w="269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393" w:hRule="atLeast"/>
          <w:tblHeader/>
          <w:jc w:val="center"/>
        </w:trPr>
        <w:tc>
          <w:tcPr>
            <w:tcW w:w="704" w:type="dxa"/>
            <w:tcMar>
              <w:top w:w="0" w:type="dxa"/>
              <w:left w:w="108" w:type="dxa"/>
              <w:bottom w:w="0" w:type="dxa"/>
              <w:right w:w="108" w:type="dxa"/>
            </w:tcMar>
            <w:vAlign w:val="center"/>
          </w:tcPr>
          <w:p>
            <w:pPr>
              <w:adjustRightInd w:val="0"/>
              <w:snapToGrid w:val="0"/>
              <w:jc w:val="center"/>
              <w:rPr>
                <w:rFonts w:ascii="Times New Roman" w:hAnsi="Times New Roman"/>
                <w:b/>
                <w:color w:val="auto"/>
              </w:rPr>
            </w:pPr>
            <w:r>
              <w:rPr>
                <w:rFonts w:ascii="Times New Roman" w:hAnsi="Times New Roman"/>
                <w:b/>
                <w:color w:val="auto"/>
              </w:rPr>
              <w:t>序号</w:t>
            </w:r>
          </w:p>
        </w:tc>
        <w:tc>
          <w:tcPr>
            <w:tcW w:w="1134" w:type="dxa"/>
            <w:tcMar>
              <w:top w:w="0" w:type="dxa"/>
              <w:left w:w="108" w:type="dxa"/>
              <w:bottom w:w="0" w:type="dxa"/>
              <w:right w:w="108" w:type="dxa"/>
            </w:tcMar>
            <w:vAlign w:val="center"/>
          </w:tcPr>
          <w:p>
            <w:pPr>
              <w:adjustRightInd w:val="0"/>
              <w:snapToGrid w:val="0"/>
              <w:jc w:val="center"/>
              <w:rPr>
                <w:rFonts w:ascii="Times New Roman" w:hAnsi="Times New Roman"/>
                <w:b/>
                <w:color w:val="auto"/>
              </w:rPr>
            </w:pPr>
            <w:r>
              <w:rPr>
                <w:rFonts w:ascii="Times New Roman" w:hAnsi="Times New Roman"/>
                <w:b/>
                <w:color w:val="auto"/>
              </w:rPr>
              <w:t>产品单元</w:t>
            </w:r>
          </w:p>
        </w:tc>
        <w:tc>
          <w:tcPr>
            <w:tcW w:w="1559" w:type="dxa"/>
            <w:vAlign w:val="center"/>
          </w:tcPr>
          <w:p>
            <w:pPr>
              <w:adjustRightInd w:val="0"/>
              <w:snapToGrid w:val="0"/>
              <w:jc w:val="center"/>
              <w:rPr>
                <w:rFonts w:ascii="Times New Roman" w:hAnsi="Times New Roman"/>
                <w:b/>
                <w:color w:val="auto"/>
              </w:rPr>
            </w:pPr>
            <w:r>
              <w:rPr>
                <w:rFonts w:ascii="Times New Roman" w:hAnsi="Times New Roman"/>
                <w:b/>
                <w:color w:val="auto"/>
              </w:rPr>
              <w:t>复肥种类</w:t>
            </w:r>
          </w:p>
        </w:tc>
        <w:tc>
          <w:tcPr>
            <w:tcW w:w="3261" w:type="dxa"/>
            <w:tcMar>
              <w:top w:w="0" w:type="dxa"/>
              <w:left w:w="108" w:type="dxa"/>
              <w:bottom w:w="0" w:type="dxa"/>
              <w:right w:w="108" w:type="dxa"/>
            </w:tcMar>
            <w:vAlign w:val="center"/>
          </w:tcPr>
          <w:p>
            <w:pPr>
              <w:adjustRightInd w:val="0"/>
              <w:snapToGrid w:val="0"/>
              <w:jc w:val="center"/>
              <w:rPr>
                <w:rFonts w:ascii="Times New Roman" w:hAnsi="Times New Roman"/>
                <w:b/>
                <w:color w:val="auto"/>
              </w:rPr>
            </w:pPr>
            <w:r>
              <w:rPr>
                <w:rFonts w:ascii="Times New Roman" w:hAnsi="Times New Roman"/>
                <w:b/>
                <w:color w:val="auto"/>
              </w:rPr>
              <w:t>设备名称</w:t>
            </w:r>
          </w:p>
        </w:tc>
        <w:tc>
          <w:tcPr>
            <w:tcW w:w="2698" w:type="dxa"/>
            <w:tcMar>
              <w:top w:w="0" w:type="dxa"/>
              <w:left w:w="108" w:type="dxa"/>
              <w:bottom w:w="0" w:type="dxa"/>
              <w:right w:w="108" w:type="dxa"/>
            </w:tcMar>
            <w:vAlign w:val="center"/>
          </w:tcPr>
          <w:p>
            <w:pPr>
              <w:adjustRightInd w:val="0"/>
              <w:snapToGrid w:val="0"/>
              <w:jc w:val="center"/>
              <w:rPr>
                <w:rFonts w:ascii="Times New Roman" w:hAnsi="Times New Roman"/>
                <w:b/>
                <w:color w:val="auto"/>
              </w:rPr>
            </w:pPr>
            <w:r>
              <w:rPr>
                <w:rFonts w:ascii="Times New Roman" w:hAnsi="Times New Roman"/>
                <w:b/>
                <w:color w:val="auto"/>
              </w:rPr>
              <w:t>设备要求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704" w:type="dxa"/>
            <w:vMerge w:val="restart"/>
            <w:tcMar>
              <w:top w:w="0" w:type="dxa"/>
              <w:left w:w="108" w:type="dxa"/>
              <w:bottom w:w="0" w:type="dxa"/>
              <w:right w:w="108" w:type="dxa"/>
            </w:tcMar>
            <w:vAlign w:val="center"/>
          </w:tcPr>
          <w:p>
            <w:pPr>
              <w:adjustRightInd w:val="0"/>
              <w:snapToGrid w:val="0"/>
              <w:jc w:val="center"/>
              <w:rPr>
                <w:rFonts w:ascii="Times New Roman" w:hAnsi="Times New Roman"/>
                <w:color w:val="auto"/>
              </w:rPr>
            </w:pPr>
            <w:r>
              <w:rPr>
                <w:rFonts w:ascii="Times New Roman" w:hAnsi="Times New Roman"/>
                <w:color w:val="auto"/>
              </w:rPr>
              <w:t>1</w:t>
            </w:r>
          </w:p>
        </w:tc>
        <w:tc>
          <w:tcPr>
            <w:tcW w:w="1134" w:type="dxa"/>
            <w:vMerge w:val="restart"/>
            <w:tcMar>
              <w:top w:w="0" w:type="dxa"/>
              <w:left w:w="108" w:type="dxa"/>
              <w:bottom w:w="0" w:type="dxa"/>
              <w:right w:w="108"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复合肥料</w:t>
            </w:r>
          </w:p>
        </w:tc>
        <w:tc>
          <w:tcPr>
            <w:tcW w:w="1559" w:type="dxa"/>
            <w:vMerge w:val="restart"/>
            <w:vAlign w:val="center"/>
          </w:tcPr>
          <w:p>
            <w:pPr>
              <w:adjustRightInd w:val="0"/>
              <w:snapToGrid w:val="0"/>
              <w:jc w:val="center"/>
              <w:rPr>
                <w:rFonts w:ascii="Times New Roman" w:hAnsi="Times New Roman"/>
                <w:bCs/>
                <w:color w:val="auto"/>
              </w:rPr>
            </w:pPr>
            <w:r>
              <w:rPr>
                <w:rFonts w:ascii="Times New Roman" w:hAnsi="Times New Roman"/>
                <w:bCs/>
                <w:color w:val="auto"/>
              </w:rPr>
              <w:t>复合肥料、硝基复合肥料、腐植酸复合肥料、海藻酸复合肥料、氨基酸复合肥料、含硫酸脲复合肥料、稳定性复合肥料、脲醛缓释复合肥料</w:t>
            </w:r>
          </w:p>
        </w:tc>
        <w:tc>
          <w:tcPr>
            <w:tcW w:w="3261" w:type="dxa"/>
            <w:tcMar>
              <w:top w:w="0" w:type="dxa"/>
              <w:left w:w="108" w:type="dxa"/>
              <w:bottom w:w="0" w:type="dxa"/>
              <w:right w:w="108" w:type="dxa"/>
            </w:tcMar>
            <w:vAlign w:val="center"/>
          </w:tcPr>
          <w:p>
            <w:pPr>
              <w:adjustRightInd w:val="0"/>
              <w:snapToGrid w:val="0"/>
              <w:rPr>
                <w:rFonts w:ascii="Times New Roman" w:hAnsi="Times New Roman"/>
                <w:bCs/>
                <w:color w:val="auto"/>
              </w:rPr>
            </w:pPr>
            <w:r>
              <w:rPr>
                <w:rFonts w:ascii="Times New Roman" w:hAnsi="Times New Roman"/>
                <w:bCs/>
                <w:color w:val="auto"/>
              </w:rPr>
              <w:t>1.配料计量设备</w:t>
            </w:r>
          </w:p>
        </w:tc>
        <w:tc>
          <w:tcPr>
            <w:tcW w:w="2698" w:type="dxa"/>
            <w:tcMar>
              <w:top w:w="0" w:type="dxa"/>
              <w:left w:w="108" w:type="dxa"/>
              <w:bottom w:w="0" w:type="dxa"/>
              <w:right w:w="108"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70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13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559" w:type="dxa"/>
            <w:vMerge w:val="continue"/>
            <w:vAlign w:val="center"/>
          </w:tcPr>
          <w:p>
            <w:pPr>
              <w:adjustRightInd w:val="0"/>
              <w:snapToGrid w:val="0"/>
              <w:jc w:val="center"/>
              <w:rPr>
                <w:rFonts w:ascii="Times New Roman" w:hAnsi="Times New Roman"/>
                <w:bCs/>
                <w:color w:val="auto"/>
              </w:rPr>
            </w:pPr>
          </w:p>
        </w:tc>
        <w:tc>
          <w:tcPr>
            <w:tcW w:w="3261" w:type="dxa"/>
            <w:tcMar>
              <w:top w:w="0" w:type="dxa"/>
              <w:left w:w="108" w:type="dxa"/>
              <w:bottom w:w="0" w:type="dxa"/>
              <w:right w:w="108" w:type="dxa"/>
            </w:tcMar>
            <w:vAlign w:val="center"/>
          </w:tcPr>
          <w:p>
            <w:pPr>
              <w:adjustRightInd w:val="0"/>
              <w:snapToGrid w:val="0"/>
              <w:rPr>
                <w:rFonts w:ascii="Times New Roman" w:hAnsi="Times New Roman"/>
                <w:bCs/>
                <w:color w:val="auto"/>
              </w:rPr>
            </w:pPr>
            <w:r>
              <w:rPr>
                <w:rFonts w:ascii="Times New Roman" w:hAnsi="Times New Roman"/>
                <w:bCs/>
                <w:color w:val="auto"/>
              </w:rPr>
              <w:t>2.混合设备或化学合成设备</w:t>
            </w:r>
          </w:p>
        </w:tc>
        <w:tc>
          <w:tcPr>
            <w:tcW w:w="2698" w:type="dxa"/>
            <w:tcMar>
              <w:top w:w="0" w:type="dxa"/>
              <w:left w:w="108" w:type="dxa"/>
              <w:bottom w:w="0" w:type="dxa"/>
              <w:right w:w="108" w:type="dxa"/>
            </w:tcMar>
            <w:vAlign w:val="center"/>
          </w:tcPr>
          <w:p>
            <w:pPr>
              <w:adjustRightInd w:val="0"/>
              <w:snapToGrid w:val="0"/>
              <w:jc w:val="center"/>
              <w:rPr>
                <w:rFonts w:ascii="Times New Roman" w:hAnsi="Times New Roman"/>
                <w:color w:val="auto"/>
                <w:vertAlign w:val="superscript"/>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70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13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559" w:type="dxa"/>
            <w:vMerge w:val="continue"/>
            <w:vAlign w:val="center"/>
          </w:tcPr>
          <w:p>
            <w:pPr>
              <w:adjustRightInd w:val="0"/>
              <w:snapToGrid w:val="0"/>
              <w:jc w:val="center"/>
              <w:rPr>
                <w:rFonts w:ascii="Times New Roman" w:hAnsi="Times New Roman"/>
                <w:bCs/>
                <w:color w:val="auto"/>
              </w:rPr>
            </w:pPr>
          </w:p>
        </w:tc>
        <w:tc>
          <w:tcPr>
            <w:tcW w:w="3261" w:type="dxa"/>
            <w:tcMar>
              <w:top w:w="0" w:type="dxa"/>
              <w:left w:w="108" w:type="dxa"/>
              <w:bottom w:w="0" w:type="dxa"/>
              <w:right w:w="108" w:type="dxa"/>
            </w:tcMar>
            <w:vAlign w:val="center"/>
          </w:tcPr>
          <w:p>
            <w:pPr>
              <w:adjustRightInd w:val="0"/>
              <w:snapToGrid w:val="0"/>
              <w:rPr>
                <w:rFonts w:ascii="Times New Roman" w:hAnsi="Times New Roman"/>
                <w:bCs/>
                <w:color w:val="auto"/>
              </w:rPr>
            </w:pPr>
            <w:r>
              <w:rPr>
                <w:rFonts w:ascii="Times New Roman" w:hAnsi="Times New Roman"/>
                <w:bCs/>
                <w:color w:val="auto"/>
              </w:rPr>
              <w:t>3.造粒设备</w:t>
            </w:r>
          </w:p>
        </w:tc>
        <w:tc>
          <w:tcPr>
            <w:tcW w:w="2698" w:type="dxa"/>
            <w:tcMar>
              <w:top w:w="0" w:type="dxa"/>
              <w:left w:w="108" w:type="dxa"/>
              <w:bottom w:w="0" w:type="dxa"/>
              <w:right w:w="108" w:type="dxa"/>
            </w:tcMar>
            <w:vAlign w:val="center"/>
          </w:tcPr>
          <w:p>
            <w:pPr>
              <w:adjustRightInd w:val="0"/>
              <w:snapToGrid w:val="0"/>
              <w:rPr>
                <w:rFonts w:ascii="Times New Roman" w:hAnsi="Times New Roman"/>
                <w:bCs/>
                <w:color w:val="auto"/>
              </w:rPr>
            </w:pPr>
            <w:r>
              <w:rPr>
                <w:rFonts w:ascii="Times New Roman" w:hAnsi="Times New Roman"/>
                <w:bCs/>
                <w:color w:val="auto"/>
              </w:rPr>
              <w:t>采用圆盘造粒工艺的，圆盘直径≥3米或者配备两个直径≥2.8米的圆盘。</w:t>
            </w:r>
          </w:p>
          <w:p>
            <w:pPr>
              <w:adjustRightInd w:val="0"/>
              <w:snapToGrid w:val="0"/>
              <w:rPr>
                <w:rFonts w:ascii="Times New Roman" w:hAnsi="Times New Roman"/>
                <w:bCs/>
                <w:color w:val="auto"/>
              </w:rPr>
            </w:pPr>
            <w:r>
              <w:rPr>
                <w:rFonts w:ascii="Times New Roman" w:hAnsi="Times New Roman"/>
                <w:bCs/>
                <w:color w:val="auto"/>
              </w:rPr>
              <w:t>采用转鼓造粒工艺的，转鼓造粒机直径≥1.5米。</w:t>
            </w:r>
          </w:p>
          <w:p>
            <w:pPr>
              <w:adjustRightInd w:val="0"/>
              <w:snapToGrid w:val="0"/>
              <w:rPr>
                <w:rFonts w:ascii="Times New Roman" w:hAnsi="Times New Roman"/>
                <w:bCs/>
                <w:color w:val="auto"/>
              </w:rPr>
            </w:pPr>
            <w:r>
              <w:rPr>
                <w:rFonts w:ascii="Times New Roman" w:hAnsi="Times New Roman"/>
                <w:bCs/>
                <w:color w:val="auto"/>
              </w:rPr>
              <w:t>采用高塔造粒工艺的，高塔直径≥9米。</w:t>
            </w:r>
          </w:p>
          <w:p>
            <w:pPr>
              <w:adjustRightInd w:val="0"/>
              <w:snapToGrid w:val="0"/>
              <w:rPr>
                <w:rFonts w:ascii="Times New Roman" w:hAnsi="Times New Roman"/>
                <w:color w:val="auto"/>
                <w:vertAlign w:val="baseline"/>
              </w:rPr>
            </w:pPr>
            <w:r>
              <w:rPr>
                <w:rFonts w:hint="eastAsia" w:ascii="Times New Roman" w:hAnsi="Times New Roman"/>
                <w:bCs/>
                <w:color w:val="auto"/>
              </w:rPr>
              <w:t>采用挤压造粒工艺的，配备挤压造粒机，设备型号及额定产能相符。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70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13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559" w:type="dxa"/>
            <w:vMerge w:val="continue"/>
            <w:vAlign w:val="center"/>
          </w:tcPr>
          <w:p>
            <w:pPr>
              <w:adjustRightInd w:val="0"/>
              <w:snapToGrid w:val="0"/>
              <w:jc w:val="center"/>
              <w:rPr>
                <w:rFonts w:ascii="Times New Roman" w:hAnsi="Times New Roman"/>
                <w:bCs/>
                <w:color w:val="auto"/>
              </w:rPr>
            </w:pPr>
          </w:p>
        </w:tc>
        <w:tc>
          <w:tcPr>
            <w:tcW w:w="3261" w:type="dxa"/>
            <w:tcMar>
              <w:top w:w="0" w:type="dxa"/>
              <w:left w:w="108" w:type="dxa"/>
              <w:bottom w:w="0" w:type="dxa"/>
              <w:right w:w="108" w:type="dxa"/>
            </w:tcMar>
            <w:vAlign w:val="center"/>
          </w:tcPr>
          <w:p>
            <w:pPr>
              <w:adjustRightInd w:val="0"/>
              <w:snapToGrid w:val="0"/>
              <w:rPr>
                <w:rFonts w:ascii="Times New Roman" w:hAnsi="Times New Roman"/>
                <w:bCs/>
                <w:color w:val="auto"/>
              </w:rPr>
            </w:pPr>
            <w:r>
              <w:rPr>
                <w:rFonts w:ascii="Times New Roman" w:hAnsi="Times New Roman"/>
                <w:bCs/>
                <w:color w:val="auto"/>
              </w:rPr>
              <w:t>4.干燥及温控设备</w:t>
            </w:r>
          </w:p>
        </w:tc>
        <w:tc>
          <w:tcPr>
            <w:tcW w:w="2698" w:type="dxa"/>
            <w:tcMar>
              <w:top w:w="0" w:type="dxa"/>
              <w:left w:w="108" w:type="dxa"/>
              <w:bottom w:w="0" w:type="dxa"/>
              <w:right w:w="108" w:type="dxa"/>
            </w:tcMar>
            <w:vAlign w:val="center"/>
          </w:tcPr>
          <w:p>
            <w:pPr>
              <w:adjustRightInd w:val="0"/>
              <w:snapToGrid w:val="0"/>
              <w:rPr>
                <w:rFonts w:ascii="Times New Roman" w:hAnsi="Times New Roman"/>
                <w:b/>
                <w:color w:val="auto"/>
                <w:vertAlign w:val="superscript"/>
              </w:rPr>
            </w:pPr>
            <w:r>
              <w:rPr>
                <w:rFonts w:ascii="Times New Roman" w:hAnsi="Times New Roman"/>
                <w:bCs/>
                <w:color w:val="auto"/>
              </w:rPr>
              <w:t>干燥机至少一台，直径≥1.5米，长度≥15米；无干燥工序的不作要求。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70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13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559" w:type="dxa"/>
            <w:vMerge w:val="continue"/>
            <w:vAlign w:val="center"/>
          </w:tcPr>
          <w:p>
            <w:pPr>
              <w:adjustRightInd w:val="0"/>
              <w:snapToGrid w:val="0"/>
              <w:jc w:val="center"/>
              <w:rPr>
                <w:rFonts w:ascii="Times New Roman" w:hAnsi="Times New Roman"/>
                <w:bCs/>
                <w:color w:val="auto"/>
              </w:rPr>
            </w:pPr>
          </w:p>
        </w:tc>
        <w:tc>
          <w:tcPr>
            <w:tcW w:w="3261" w:type="dxa"/>
            <w:tcMar>
              <w:top w:w="0" w:type="dxa"/>
              <w:left w:w="108" w:type="dxa"/>
              <w:bottom w:w="0" w:type="dxa"/>
              <w:right w:w="108" w:type="dxa"/>
            </w:tcMar>
            <w:vAlign w:val="center"/>
          </w:tcPr>
          <w:p>
            <w:pPr>
              <w:adjustRightInd w:val="0"/>
              <w:snapToGrid w:val="0"/>
              <w:rPr>
                <w:rFonts w:ascii="Times New Roman" w:hAnsi="Times New Roman"/>
                <w:bCs/>
                <w:color w:val="auto"/>
              </w:rPr>
            </w:pPr>
            <w:r>
              <w:rPr>
                <w:rFonts w:ascii="Times New Roman" w:hAnsi="Times New Roman"/>
                <w:bCs/>
                <w:color w:val="auto"/>
              </w:rPr>
              <w:t>5.冷却设备</w:t>
            </w:r>
          </w:p>
        </w:tc>
        <w:tc>
          <w:tcPr>
            <w:tcW w:w="2698" w:type="dxa"/>
            <w:tcMar>
              <w:top w:w="0" w:type="dxa"/>
              <w:left w:w="108" w:type="dxa"/>
              <w:bottom w:w="0" w:type="dxa"/>
              <w:right w:w="108" w:type="dxa"/>
            </w:tcMar>
            <w:vAlign w:val="center"/>
          </w:tcPr>
          <w:p>
            <w:pPr>
              <w:adjustRightInd w:val="0"/>
              <w:snapToGrid w:val="0"/>
              <w:rPr>
                <w:rFonts w:ascii="Times New Roman" w:hAnsi="Times New Roman"/>
                <w:b/>
                <w:color w:val="auto"/>
                <w:vertAlign w:val="superscript"/>
              </w:rPr>
            </w:pPr>
            <w:r>
              <w:rPr>
                <w:rFonts w:ascii="Times New Roman" w:hAnsi="Times New Roman"/>
                <w:bCs/>
                <w:color w:val="auto"/>
              </w:rPr>
              <w:t xml:space="preserve">冷却设备（包装前物料温度≤50 </w:t>
            </w:r>
            <w:r>
              <w:rPr>
                <w:rFonts w:ascii="Times New Roman" w:hAnsi="Times New Roman" w:eastAsia="微软雅黑"/>
                <w:bCs/>
                <w:color w:val="auto"/>
              </w:rPr>
              <w:t>℃</w:t>
            </w:r>
            <w:r>
              <w:rPr>
                <w:rFonts w:ascii="Times New Roman" w:hAnsi="Times New Roman"/>
                <w:bCs/>
                <w:color w:val="auto"/>
              </w:rPr>
              <w:t>）：冷却机至少一台，直径≥1.2米，长度≥12米或其他类型冷却设备；；无干燥工序的不作要求。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70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13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559" w:type="dxa"/>
            <w:vMerge w:val="continue"/>
            <w:vAlign w:val="center"/>
          </w:tcPr>
          <w:p>
            <w:pPr>
              <w:adjustRightInd w:val="0"/>
              <w:snapToGrid w:val="0"/>
              <w:jc w:val="center"/>
              <w:rPr>
                <w:rFonts w:ascii="Times New Roman" w:hAnsi="Times New Roman"/>
                <w:bCs/>
                <w:color w:val="auto"/>
              </w:rPr>
            </w:pPr>
          </w:p>
        </w:tc>
        <w:tc>
          <w:tcPr>
            <w:tcW w:w="3261" w:type="dxa"/>
            <w:tcMar>
              <w:top w:w="0" w:type="dxa"/>
              <w:left w:w="108" w:type="dxa"/>
              <w:bottom w:w="0" w:type="dxa"/>
              <w:right w:w="108" w:type="dxa"/>
            </w:tcMar>
            <w:vAlign w:val="center"/>
          </w:tcPr>
          <w:p>
            <w:pPr>
              <w:adjustRightInd w:val="0"/>
              <w:snapToGrid w:val="0"/>
              <w:rPr>
                <w:rFonts w:ascii="Times New Roman" w:hAnsi="Times New Roman"/>
                <w:bCs/>
                <w:color w:val="auto"/>
              </w:rPr>
            </w:pPr>
            <w:r>
              <w:rPr>
                <w:rFonts w:ascii="Times New Roman" w:hAnsi="Times New Roman"/>
                <w:bCs/>
                <w:color w:val="auto"/>
              </w:rPr>
              <w:t>6.成品筛分设备</w:t>
            </w:r>
          </w:p>
        </w:tc>
        <w:tc>
          <w:tcPr>
            <w:tcW w:w="2698" w:type="dxa"/>
            <w:tcMar>
              <w:top w:w="0" w:type="dxa"/>
              <w:left w:w="108" w:type="dxa"/>
              <w:bottom w:w="0" w:type="dxa"/>
              <w:right w:w="108"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70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13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559" w:type="dxa"/>
            <w:vMerge w:val="continue"/>
            <w:vAlign w:val="center"/>
          </w:tcPr>
          <w:p>
            <w:pPr>
              <w:adjustRightInd w:val="0"/>
              <w:snapToGrid w:val="0"/>
              <w:jc w:val="center"/>
              <w:rPr>
                <w:rFonts w:ascii="Times New Roman" w:hAnsi="Times New Roman"/>
                <w:bCs/>
                <w:color w:val="auto"/>
              </w:rPr>
            </w:pPr>
          </w:p>
        </w:tc>
        <w:tc>
          <w:tcPr>
            <w:tcW w:w="3261" w:type="dxa"/>
            <w:tcMar>
              <w:top w:w="0" w:type="dxa"/>
              <w:left w:w="108" w:type="dxa"/>
              <w:bottom w:w="0" w:type="dxa"/>
              <w:right w:w="108" w:type="dxa"/>
            </w:tcMar>
            <w:vAlign w:val="center"/>
          </w:tcPr>
          <w:p>
            <w:pPr>
              <w:adjustRightInd w:val="0"/>
              <w:snapToGrid w:val="0"/>
              <w:rPr>
                <w:rFonts w:ascii="Times New Roman" w:hAnsi="Times New Roman"/>
                <w:bCs/>
                <w:color w:val="auto"/>
              </w:rPr>
            </w:pPr>
            <w:r>
              <w:rPr>
                <w:rFonts w:ascii="Times New Roman" w:hAnsi="Times New Roman"/>
                <w:bCs/>
                <w:color w:val="auto"/>
              </w:rPr>
              <w:t>7.从配料计量到产品包装形成连续的机械化生产线</w:t>
            </w:r>
          </w:p>
        </w:tc>
        <w:tc>
          <w:tcPr>
            <w:tcW w:w="2698" w:type="dxa"/>
            <w:tcMar>
              <w:top w:w="0" w:type="dxa"/>
              <w:left w:w="108" w:type="dxa"/>
              <w:bottom w:w="0" w:type="dxa"/>
              <w:right w:w="108"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70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13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559" w:type="dxa"/>
            <w:vMerge w:val="continue"/>
            <w:vAlign w:val="center"/>
          </w:tcPr>
          <w:p>
            <w:pPr>
              <w:adjustRightInd w:val="0"/>
              <w:snapToGrid w:val="0"/>
              <w:jc w:val="center"/>
              <w:rPr>
                <w:rFonts w:ascii="Times New Roman" w:hAnsi="Times New Roman"/>
                <w:bCs/>
                <w:color w:val="auto"/>
              </w:rPr>
            </w:pPr>
          </w:p>
        </w:tc>
        <w:tc>
          <w:tcPr>
            <w:tcW w:w="3261" w:type="dxa"/>
            <w:tcMar>
              <w:top w:w="0" w:type="dxa"/>
              <w:left w:w="108" w:type="dxa"/>
              <w:bottom w:w="0" w:type="dxa"/>
              <w:right w:w="108" w:type="dxa"/>
            </w:tcMar>
            <w:vAlign w:val="center"/>
          </w:tcPr>
          <w:p>
            <w:pPr>
              <w:adjustRightInd w:val="0"/>
              <w:snapToGrid w:val="0"/>
              <w:rPr>
                <w:rFonts w:ascii="Times New Roman" w:hAnsi="Times New Roman"/>
                <w:bCs/>
                <w:color w:val="auto"/>
              </w:rPr>
            </w:pPr>
            <w:r>
              <w:rPr>
                <w:rFonts w:ascii="Times New Roman" w:hAnsi="Times New Roman"/>
                <w:bCs/>
                <w:color w:val="auto"/>
              </w:rPr>
              <w:t>8.尾气处理设备</w:t>
            </w:r>
          </w:p>
        </w:tc>
        <w:tc>
          <w:tcPr>
            <w:tcW w:w="2698" w:type="dxa"/>
            <w:tcMar>
              <w:top w:w="0" w:type="dxa"/>
              <w:left w:w="108" w:type="dxa"/>
              <w:bottom w:w="0" w:type="dxa"/>
              <w:right w:w="108"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70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13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559" w:type="dxa"/>
            <w:vMerge w:val="restart"/>
            <w:vAlign w:val="center"/>
          </w:tcPr>
          <w:p>
            <w:pPr>
              <w:jc w:val="center"/>
              <w:rPr>
                <w:rFonts w:ascii="Times New Roman" w:hAnsi="Times New Roman"/>
                <w:bCs/>
                <w:color w:val="auto"/>
              </w:rPr>
            </w:pPr>
            <w:r>
              <w:rPr>
                <w:rFonts w:ascii="Times New Roman" w:hAnsi="Times New Roman"/>
                <w:bCs/>
                <w:color w:val="auto"/>
              </w:rPr>
              <w:t>缓释复合肥料、控释复合肥料、硫包衣缓释复合肥料</w:t>
            </w:r>
          </w:p>
        </w:tc>
        <w:tc>
          <w:tcPr>
            <w:tcW w:w="3261" w:type="dxa"/>
            <w:tcMar>
              <w:top w:w="0" w:type="dxa"/>
              <w:left w:w="108" w:type="dxa"/>
              <w:bottom w:w="0" w:type="dxa"/>
              <w:right w:w="108" w:type="dxa"/>
            </w:tcMar>
            <w:vAlign w:val="center"/>
          </w:tcPr>
          <w:p>
            <w:pPr>
              <w:adjustRightInd w:val="0"/>
              <w:snapToGrid w:val="0"/>
              <w:rPr>
                <w:rFonts w:ascii="Times New Roman" w:hAnsi="Times New Roman"/>
                <w:bCs/>
                <w:color w:val="auto"/>
              </w:rPr>
            </w:pPr>
            <w:r>
              <w:rPr>
                <w:rFonts w:ascii="Times New Roman" w:hAnsi="Times New Roman"/>
                <w:bCs/>
                <w:color w:val="auto"/>
              </w:rPr>
              <w:t>1.包膜核芯原料筛分设备</w:t>
            </w:r>
          </w:p>
        </w:tc>
        <w:tc>
          <w:tcPr>
            <w:tcW w:w="2698" w:type="dxa"/>
            <w:tcMar>
              <w:top w:w="0" w:type="dxa"/>
              <w:left w:w="108" w:type="dxa"/>
              <w:bottom w:w="0" w:type="dxa"/>
              <w:right w:w="108"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70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13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559" w:type="dxa"/>
            <w:vMerge w:val="continue"/>
            <w:vAlign w:val="center"/>
          </w:tcPr>
          <w:p>
            <w:pPr>
              <w:adjustRightInd w:val="0"/>
              <w:snapToGrid w:val="0"/>
              <w:jc w:val="center"/>
              <w:rPr>
                <w:rFonts w:ascii="Times New Roman" w:hAnsi="Times New Roman"/>
                <w:bCs/>
                <w:color w:val="auto"/>
              </w:rPr>
            </w:pPr>
          </w:p>
        </w:tc>
        <w:tc>
          <w:tcPr>
            <w:tcW w:w="3261" w:type="dxa"/>
            <w:tcMar>
              <w:top w:w="0" w:type="dxa"/>
              <w:left w:w="108" w:type="dxa"/>
              <w:bottom w:w="0" w:type="dxa"/>
              <w:right w:w="108" w:type="dxa"/>
            </w:tcMar>
            <w:vAlign w:val="center"/>
          </w:tcPr>
          <w:p>
            <w:pPr>
              <w:adjustRightInd w:val="0"/>
              <w:snapToGrid w:val="0"/>
              <w:rPr>
                <w:rFonts w:ascii="Times New Roman" w:hAnsi="Times New Roman"/>
                <w:bCs/>
                <w:color w:val="auto"/>
              </w:rPr>
            </w:pPr>
            <w:r>
              <w:rPr>
                <w:rFonts w:ascii="Times New Roman" w:hAnsi="Times New Roman"/>
                <w:bCs/>
                <w:color w:val="auto"/>
              </w:rPr>
              <w:t>2.包膜核芯原料、膜材料计量设备</w:t>
            </w:r>
          </w:p>
        </w:tc>
        <w:tc>
          <w:tcPr>
            <w:tcW w:w="2698" w:type="dxa"/>
            <w:tcMar>
              <w:top w:w="0" w:type="dxa"/>
              <w:left w:w="108" w:type="dxa"/>
              <w:bottom w:w="0" w:type="dxa"/>
              <w:right w:w="108"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70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13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559" w:type="dxa"/>
            <w:vMerge w:val="continue"/>
            <w:vAlign w:val="center"/>
          </w:tcPr>
          <w:p>
            <w:pPr>
              <w:adjustRightInd w:val="0"/>
              <w:snapToGrid w:val="0"/>
              <w:jc w:val="center"/>
              <w:rPr>
                <w:rFonts w:ascii="Times New Roman" w:hAnsi="Times New Roman"/>
                <w:bCs/>
                <w:color w:val="auto"/>
              </w:rPr>
            </w:pPr>
          </w:p>
        </w:tc>
        <w:tc>
          <w:tcPr>
            <w:tcW w:w="3261" w:type="dxa"/>
            <w:tcMar>
              <w:top w:w="0" w:type="dxa"/>
              <w:left w:w="108" w:type="dxa"/>
              <w:bottom w:w="0" w:type="dxa"/>
              <w:right w:w="108" w:type="dxa"/>
            </w:tcMar>
            <w:vAlign w:val="center"/>
          </w:tcPr>
          <w:p>
            <w:pPr>
              <w:adjustRightInd w:val="0"/>
              <w:snapToGrid w:val="0"/>
              <w:rPr>
                <w:rFonts w:ascii="Times New Roman" w:hAnsi="Times New Roman"/>
                <w:bCs/>
                <w:color w:val="auto"/>
              </w:rPr>
            </w:pPr>
            <w:r>
              <w:rPr>
                <w:rFonts w:ascii="Times New Roman" w:hAnsi="Times New Roman"/>
                <w:bCs/>
                <w:color w:val="auto"/>
              </w:rPr>
              <w:t>3.喷涂设备</w:t>
            </w:r>
          </w:p>
        </w:tc>
        <w:tc>
          <w:tcPr>
            <w:tcW w:w="2698" w:type="dxa"/>
            <w:tcMar>
              <w:top w:w="0" w:type="dxa"/>
              <w:left w:w="108" w:type="dxa"/>
              <w:bottom w:w="0" w:type="dxa"/>
              <w:right w:w="108"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70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13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559" w:type="dxa"/>
            <w:vMerge w:val="continue"/>
            <w:vAlign w:val="center"/>
          </w:tcPr>
          <w:p>
            <w:pPr>
              <w:adjustRightInd w:val="0"/>
              <w:snapToGrid w:val="0"/>
              <w:jc w:val="center"/>
              <w:rPr>
                <w:rFonts w:ascii="Times New Roman" w:hAnsi="Times New Roman"/>
                <w:bCs/>
                <w:color w:val="auto"/>
              </w:rPr>
            </w:pPr>
          </w:p>
        </w:tc>
        <w:tc>
          <w:tcPr>
            <w:tcW w:w="3261" w:type="dxa"/>
            <w:tcMar>
              <w:top w:w="0" w:type="dxa"/>
              <w:left w:w="108" w:type="dxa"/>
              <w:bottom w:w="0" w:type="dxa"/>
              <w:right w:w="108" w:type="dxa"/>
            </w:tcMar>
            <w:vAlign w:val="center"/>
          </w:tcPr>
          <w:p>
            <w:pPr>
              <w:adjustRightInd w:val="0"/>
              <w:snapToGrid w:val="0"/>
              <w:rPr>
                <w:rFonts w:ascii="Times New Roman" w:hAnsi="Times New Roman"/>
                <w:bCs/>
                <w:color w:val="auto"/>
              </w:rPr>
            </w:pPr>
            <w:r>
              <w:rPr>
                <w:rFonts w:ascii="Times New Roman" w:hAnsi="Times New Roman"/>
                <w:bCs/>
                <w:color w:val="auto"/>
              </w:rPr>
              <w:t>4.冷却设备</w:t>
            </w:r>
          </w:p>
        </w:tc>
        <w:tc>
          <w:tcPr>
            <w:tcW w:w="2698" w:type="dxa"/>
            <w:tcMar>
              <w:top w:w="0" w:type="dxa"/>
              <w:left w:w="108" w:type="dxa"/>
              <w:bottom w:w="0" w:type="dxa"/>
              <w:right w:w="108" w:type="dxa"/>
            </w:tcMar>
            <w:vAlign w:val="center"/>
          </w:tcPr>
          <w:p>
            <w:pPr>
              <w:adjustRightInd w:val="0"/>
              <w:snapToGrid w:val="0"/>
              <w:rPr>
                <w:rFonts w:ascii="Times New Roman" w:hAnsi="Times New Roman"/>
                <w:color w:val="auto"/>
              </w:rPr>
            </w:pPr>
            <w:r>
              <w:rPr>
                <w:rFonts w:ascii="Times New Roman" w:hAnsi="Times New Roman"/>
                <w:bCs/>
                <w:color w:val="auto"/>
              </w:rPr>
              <w:t xml:space="preserve">冷却设备（包装前物料温度≤50 </w:t>
            </w:r>
            <w:r>
              <w:rPr>
                <w:rFonts w:ascii="Times New Roman" w:hAnsi="Times New Roman" w:eastAsia="微软雅黑"/>
                <w:bCs/>
                <w:color w:val="auto"/>
              </w:rPr>
              <w:t>℃</w:t>
            </w:r>
            <w:r>
              <w:rPr>
                <w:rFonts w:ascii="Times New Roman" w:hAnsi="Times New Roman"/>
                <w:bCs/>
                <w:color w:val="auto"/>
              </w:rPr>
              <w:t>）：冷却机至少一台，直径≥1.2米，长度≥12米或其他类型冷却设备。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70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13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559" w:type="dxa"/>
            <w:vMerge w:val="continue"/>
            <w:vAlign w:val="center"/>
          </w:tcPr>
          <w:p>
            <w:pPr>
              <w:adjustRightInd w:val="0"/>
              <w:snapToGrid w:val="0"/>
              <w:jc w:val="center"/>
              <w:rPr>
                <w:rFonts w:ascii="Times New Roman" w:hAnsi="Times New Roman"/>
                <w:bCs/>
                <w:color w:val="auto"/>
              </w:rPr>
            </w:pPr>
          </w:p>
        </w:tc>
        <w:tc>
          <w:tcPr>
            <w:tcW w:w="3261" w:type="dxa"/>
            <w:tcMar>
              <w:top w:w="0" w:type="dxa"/>
              <w:left w:w="108" w:type="dxa"/>
              <w:bottom w:w="0" w:type="dxa"/>
              <w:right w:w="108" w:type="dxa"/>
            </w:tcMar>
            <w:vAlign w:val="center"/>
          </w:tcPr>
          <w:p>
            <w:pPr>
              <w:adjustRightInd w:val="0"/>
              <w:snapToGrid w:val="0"/>
              <w:rPr>
                <w:rFonts w:ascii="Times New Roman" w:hAnsi="Times New Roman"/>
                <w:bCs/>
                <w:color w:val="auto"/>
              </w:rPr>
            </w:pPr>
            <w:r>
              <w:rPr>
                <w:rFonts w:ascii="Times New Roman" w:hAnsi="Times New Roman"/>
                <w:bCs/>
                <w:color w:val="auto"/>
              </w:rPr>
              <w:t>5.膜材料制备设备</w:t>
            </w:r>
          </w:p>
        </w:tc>
        <w:tc>
          <w:tcPr>
            <w:tcW w:w="2698" w:type="dxa"/>
            <w:tcMar>
              <w:top w:w="0" w:type="dxa"/>
              <w:left w:w="108" w:type="dxa"/>
              <w:bottom w:w="0" w:type="dxa"/>
              <w:right w:w="108" w:type="dxa"/>
            </w:tcMar>
            <w:vAlign w:val="center"/>
          </w:tcPr>
          <w:p>
            <w:pPr>
              <w:adjustRightInd w:val="0"/>
              <w:snapToGrid w:val="0"/>
              <w:jc w:val="center"/>
              <w:rPr>
                <w:rFonts w:ascii="Times New Roman" w:hAnsi="Times New Roman"/>
                <w:color w:val="auto"/>
              </w:rPr>
            </w:pPr>
            <w:r>
              <w:rPr>
                <w:rFonts w:ascii="Times New Roman" w:hAnsi="Times New Roman"/>
                <w:color w:val="auto"/>
              </w:rPr>
              <w:t>外购包膜材料可不要求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70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13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559" w:type="dxa"/>
            <w:vMerge w:val="continue"/>
            <w:vAlign w:val="center"/>
          </w:tcPr>
          <w:p>
            <w:pPr>
              <w:adjustRightInd w:val="0"/>
              <w:snapToGrid w:val="0"/>
              <w:jc w:val="center"/>
              <w:rPr>
                <w:rFonts w:ascii="Times New Roman" w:hAnsi="Times New Roman"/>
                <w:bCs/>
                <w:color w:val="auto"/>
              </w:rPr>
            </w:pPr>
          </w:p>
        </w:tc>
        <w:tc>
          <w:tcPr>
            <w:tcW w:w="3261" w:type="dxa"/>
            <w:tcMar>
              <w:top w:w="0" w:type="dxa"/>
              <w:left w:w="108" w:type="dxa"/>
              <w:bottom w:w="0" w:type="dxa"/>
              <w:right w:w="108" w:type="dxa"/>
            </w:tcMar>
            <w:vAlign w:val="center"/>
          </w:tcPr>
          <w:p>
            <w:pPr>
              <w:adjustRightInd w:val="0"/>
              <w:snapToGrid w:val="0"/>
              <w:rPr>
                <w:rFonts w:ascii="Times New Roman" w:hAnsi="Times New Roman"/>
                <w:bCs/>
                <w:color w:val="auto"/>
              </w:rPr>
            </w:pPr>
            <w:r>
              <w:rPr>
                <w:rFonts w:ascii="Times New Roman" w:hAnsi="Times New Roman"/>
                <w:bCs/>
                <w:color w:val="auto"/>
              </w:rPr>
              <w:t>6.成品筛分设备</w:t>
            </w:r>
          </w:p>
        </w:tc>
        <w:tc>
          <w:tcPr>
            <w:tcW w:w="2698" w:type="dxa"/>
            <w:tcMar>
              <w:top w:w="0" w:type="dxa"/>
              <w:left w:w="108" w:type="dxa"/>
              <w:bottom w:w="0" w:type="dxa"/>
              <w:right w:w="108"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70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13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559" w:type="dxa"/>
            <w:vMerge w:val="continue"/>
            <w:vAlign w:val="center"/>
          </w:tcPr>
          <w:p>
            <w:pPr>
              <w:adjustRightInd w:val="0"/>
              <w:snapToGrid w:val="0"/>
              <w:jc w:val="center"/>
              <w:rPr>
                <w:rFonts w:ascii="Times New Roman" w:hAnsi="Times New Roman"/>
                <w:bCs/>
                <w:color w:val="auto"/>
              </w:rPr>
            </w:pPr>
          </w:p>
        </w:tc>
        <w:tc>
          <w:tcPr>
            <w:tcW w:w="3261" w:type="dxa"/>
            <w:tcMar>
              <w:top w:w="0" w:type="dxa"/>
              <w:left w:w="108" w:type="dxa"/>
              <w:bottom w:w="0" w:type="dxa"/>
              <w:right w:w="108" w:type="dxa"/>
            </w:tcMar>
            <w:vAlign w:val="center"/>
          </w:tcPr>
          <w:p>
            <w:pPr>
              <w:adjustRightInd w:val="0"/>
              <w:snapToGrid w:val="0"/>
              <w:rPr>
                <w:rFonts w:ascii="Times New Roman" w:hAnsi="Times New Roman"/>
                <w:bCs/>
                <w:color w:val="auto"/>
              </w:rPr>
            </w:pPr>
            <w:r>
              <w:rPr>
                <w:rFonts w:ascii="Times New Roman" w:hAnsi="Times New Roman"/>
                <w:bCs/>
                <w:color w:val="auto"/>
              </w:rPr>
              <w:t>7.从包膜核芯原料筛分到产品包装形成连续的机械化生产线</w:t>
            </w:r>
          </w:p>
        </w:tc>
        <w:tc>
          <w:tcPr>
            <w:tcW w:w="2698" w:type="dxa"/>
            <w:tcMar>
              <w:top w:w="0" w:type="dxa"/>
              <w:left w:w="108" w:type="dxa"/>
              <w:bottom w:w="0" w:type="dxa"/>
              <w:right w:w="108"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70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13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559" w:type="dxa"/>
            <w:vMerge w:val="continue"/>
            <w:vAlign w:val="center"/>
          </w:tcPr>
          <w:p>
            <w:pPr>
              <w:adjustRightInd w:val="0"/>
              <w:snapToGrid w:val="0"/>
              <w:jc w:val="center"/>
              <w:rPr>
                <w:rFonts w:ascii="Times New Roman" w:hAnsi="Times New Roman"/>
                <w:bCs/>
                <w:color w:val="auto"/>
              </w:rPr>
            </w:pPr>
          </w:p>
        </w:tc>
        <w:tc>
          <w:tcPr>
            <w:tcW w:w="3261" w:type="dxa"/>
            <w:tcMar>
              <w:top w:w="0" w:type="dxa"/>
              <w:left w:w="108" w:type="dxa"/>
              <w:bottom w:w="0" w:type="dxa"/>
              <w:right w:w="108" w:type="dxa"/>
            </w:tcMar>
            <w:vAlign w:val="center"/>
          </w:tcPr>
          <w:p>
            <w:pPr>
              <w:adjustRightInd w:val="0"/>
              <w:snapToGrid w:val="0"/>
              <w:rPr>
                <w:rFonts w:ascii="Times New Roman" w:hAnsi="Times New Roman"/>
                <w:bCs/>
                <w:color w:val="auto"/>
              </w:rPr>
            </w:pPr>
            <w:r>
              <w:rPr>
                <w:rFonts w:ascii="Times New Roman" w:hAnsi="Times New Roman"/>
                <w:bCs/>
                <w:color w:val="auto"/>
              </w:rPr>
              <w:t>8.尾气处理设备</w:t>
            </w:r>
          </w:p>
        </w:tc>
        <w:tc>
          <w:tcPr>
            <w:tcW w:w="2698" w:type="dxa"/>
            <w:tcMar>
              <w:top w:w="0" w:type="dxa"/>
              <w:left w:w="108" w:type="dxa"/>
              <w:bottom w:w="0" w:type="dxa"/>
              <w:right w:w="108"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70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13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559" w:type="dxa"/>
            <w:vMerge w:val="continue"/>
            <w:vAlign w:val="center"/>
          </w:tcPr>
          <w:p>
            <w:pPr>
              <w:adjustRightInd w:val="0"/>
              <w:snapToGrid w:val="0"/>
              <w:jc w:val="center"/>
              <w:rPr>
                <w:rFonts w:ascii="Times New Roman" w:hAnsi="Times New Roman"/>
                <w:bCs/>
                <w:color w:val="auto"/>
              </w:rPr>
            </w:pPr>
          </w:p>
        </w:tc>
        <w:tc>
          <w:tcPr>
            <w:tcW w:w="3261" w:type="dxa"/>
            <w:tcMar>
              <w:top w:w="0" w:type="dxa"/>
              <w:left w:w="108" w:type="dxa"/>
              <w:bottom w:w="0" w:type="dxa"/>
              <w:right w:w="108" w:type="dxa"/>
            </w:tcMar>
            <w:vAlign w:val="center"/>
          </w:tcPr>
          <w:p>
            <w:pPr>
              <w:adjustRightInd w:val="0"/>
              <w:snapToGrid w:val="0"/>
              <w:rPr>
                <w:rFonts w:ascii="Times New Roman" w:hAnsi="Times New Roman"/>
                <w:bCs/>
                <w:color w:val="auto"/>
              </w:rPr>
            </w:pPr>
            <w:r>
              <w:rPr>
                <w:rFonts w:ascii="Times New Roman" w:hAnsi="Times New Roman"/>
                <w:bCs/>
                <w:color w:val="auto"/>
              </w:rPr>
              <w:t>9.硫磺计量设备</w:t>
            </w:r>
          </w:p>
        </w:tc>
        <w:tc>
          <w:tcPr>
            <w:tcW w:w="2698" w:type="dxa"/>
            <w:tcMar>
              <w:top w:w="0" w:type="dxa"/>
              <w:left w:w="108" w:type="dxa"/>
              <w:bottom w:w="0" w:type="dxa"/>
              <w:right w:w="108" w:type="dxa"/>
            </w:tcMar>
            <w:vAlign w:val="center"/>
          </w:tcPr>
          <w:p>
            <w:pPr>
              <w:adjustRightInd w:val="0"/>
              <w:snapToGrid w:val="0"/>
              <w:rPr>
                <w:rFonts w:ascii="Times New Roman" w:hAnsi="Times New Roman"/>
                <w:color w:val="auto"/>
              </w:rPr>
            </w:pPr>
            <w:r>
              <w:rPr>
                <w:rFonts w:ascii="Times New Roman" w:hAnsi="Times New Roman"/>
                <w:color w:val="auto"/>
              </w:rPr>
              <w:t>仅</w:t>
            </w:r>
            <w:r>
              <w:rPr>
                <w:rFonts w:ascii="Times New Roman" w:hAnsi="Times New Roman"/>
                <w:bCs/>
                <w:color w:val="auto"/>
              </w:rPr>
              <w:t>硫包衣缓释复合肥料要求该设备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70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13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559" w:type="dxa"/>
            <w:vMerge w:val="continue"/>
            <w:vAlign w:val="center"/>
          </w:tcPr>
          <w:p>
            <w:pPr>
              <w:adjustRightInd w:val="0"/>
              <w:snapToGrid w:val="0"/>
              <w:jc w:val="center"/>
              <w:rPr>
                <w:rFonts w:ascii="Times New Roman" w:hAnsi="Times New Roman"/>
                <w:bCs/>
                <w:color w:val="auto"/>
              </w:rPr>
            </w:pPr>
          </w:p>
        </w:tc>
        <w:tc>
          <w:tcPr>
            <w:tcW w:w="3261" w:type="dxa"/>
            <w:tcMar>
              <w:top w:w="0" w:type="dxa"/>
              <w:left w:w="108" w:type="dxa"/>
              <w:bottom w:w="0" w:type="dxa"/>
              <w:right w:w="108" w:type="dxa"/>
            </w:tcMar>
            <w:vAlign w:val="center"/>
          </w:tcPr>
          <w:p>
            <w:pPr>
              <w:adjustRightInd w:val="0"/>
              <w:snapToGrid w:val="0"/>
              <w:rPr>
                <w:rFonts w:ascii="Times New Roman" w:hAnsi="Times New Roman"/>
                <w:bCs/>
                <w:color w:val="auto"/>
              </w:rPr>
            </w:pPr>
            <w:r>
              <w:rPr>
                <w:rFonts w:ascii="Times New Roman" w:hAnsi="Times New Roman"/>
                <w:bCs/>
                <w:color w:val="auto"/>
              </w:rPr>
              <w:t>10.封闭剂储存设备</w:t>
            </w:r>
          </w:p>
        </w:tc>
        <w:tc>
          <w:tcPr>
            <w:tcW w:w="2698" w:type="dxa"/>
            <w:tcMar>
              <w:top w:w="0" w:type="dxa"/>
              <w:left w:w="108" w:type="dxa"/>
              <w:bottom w:w="0" w:type="dxa"/>
              <w:right w:w="108" w:type="dxa"/>
            </w:tcMar>
            <w:vAlign w:val="center"/>
          </w:tcPr>
          <w:p>
            <w:pPr>
              <w:adjustRightInd w:val="0"/>
              <w:snapToGrid w:val="0"/>
              <w:rPr>
                <w:rFonts w:ascii="Times New Roman" w:hAnsi="Times New Roman"/>
                <w:color w:val="auto"/>
              </w:rPr>
            </w:pPr>
            <w:r>
              <w:rPr>
                <w:rFonts w:ascii="Times New Roman" w:hAnsi="Times New Roman"/>
                <w:color w:val="auto"/>
              </w:rPr>
              <w:t>仅</w:t>
            </w:r>
            <w:r>
              <w:rPr>
                <w:rFonts w:ascii="Times New Roman" w:hAnsi="Times New Roman"/>
                <w:bCs/>
                <w:color w:val="auto"/>
              </w:rPr>
              <w:t>硫包衣缓释复合肥料要求该设备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70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13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559" w:type="dxa"/>
            <w:vMerge w:val="continue"/>
            <w:vAlign w:val="center"/>
          </w:tcPr>
          <w:p>
            <w:pPr>
              <w:adjustRightInd w:val="0"/>
              <w:snapToGrid w:val="0"/>
              <w:jc w:val="center"/>
              <w:rPr>
                <w:rFonts w:ascii="Times New Roman" w:hAnsi="Times New Roman"/>
                <w:bCs/>
                <w:color w:val="auto"/>
              </w:rPr>
            </w:pPr>
          </w:p>
        </w:tc>
        <w:tc>
          <w:tcPr>
            <w:tcW w:w="3261" w:type="dxa"/>
            <w:tcMar>
              <w:top w:w="0" w:type="dxa"/>
              <w:left w:w="108" w:type="dxa"/>
              <w:bottom w:w="0" w:type="dxa"/>
              <w:right w:w="108" w:type="dxa"/>
            </w:tcMar>
            <w:vAlign w:val="center"/>
          </w:tcPr>
          <w:p>
            <w:pPr>
              <w:adjustRightInd w:val="0"/>
              <w:snapToGrid w:val="0"/>
              <w:rPr>
                <w:rFonts w:ascii="Times New Roman" w:hAnsi="Times New Roman"/>
                <w:bCs/>
                <w:color w:val="auto"/>
              </w:rPr>
            </w:pPr>
            <w:r>
              <w:rPr>
                <w:rFonts w:ascii="Times New Roman" w:hAnsi="Times New Roman"/>
                <w:bCs/>
                <w:color w:val="auto"/>
              </w:rPr>
              <w:t>11.封闭剂计量设备</w:t>
            </w:r>
          </w:p>
        </w:tc>
        <w:tc>
          <w:tcPr>
            <w:tcW w:w="2698" w:type="dxa"/>
            <w:tcMar>
              <w:top w:w="0" w:type="dxa"/>
              <w:left w:w="108" w:type="dxa"/>
              <w:bottom w:w="0" w:type="dxa"/>
              <w:right w:w="108" w:type="dxa"/>
            </w:tcMar>
            <w:vAlign w:val="center"/>
          </w:tcPr>
          <w:p>
            <w:pPr>
              <w:adjustRightInd w:val="0"/>
              <w:snapToGrid w:val="0"/>
              <w:rPr>
                <w:rFonts w:ascii="Times New Roman" w:hAnsi="Times New Roman"/>
                <w:color w:val="auto"/>
              </w:rPr>
            </w:pPr>
            <w:r>
              <w:rPr>
                <w:rFonts w:ascii="Times New Roman" w:hAnsi="Times New Roman"/>
                <w:color w:val="auto"/>
              </w:rPr>
              <w:t>仅</w:t>
            </w:r>
            <w:r>
              <w:rPr>
                <w:rFonts w:ascii="Times New Roman" w:hAnsi="Times New Roman"/>
                <w:bCs/>
                <w:color w:val="auto"/>
              </w:rPr>
              <w:t>硫包衣缓释复合肥料要求该设备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70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13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559" w:type="dxa"/>
            <w:vMerge w:val="restart"/>
            <w:vAlign w:val="center"/>
          </w:tcPr>
          <w:p>
            <w:pPr>
              <w:jc w:val="center"/>
              <w:rPr>
                <w:rFonts w:ascii="Times New Roman" w:hAnsi="Times New Roman"/>
                <w:bCs/>
                <w:color w:val="auto"/>
              </w:rPr>
            </w:pPr>
            <w:r>
              <w:rPr>
                <w:rFonts w:ascii="Times New Roman" w:hAnsi="Times New Roman"/>
                <w:bCs/>
                <w:color w:val="auto"/>
              </w:rPr>
              <w:t>无机包裹型复合肥料</w:t>
            </w:r>
          </w:p>
        </w:tc>
        <w:tc>
          <w:tcPr>
            <w:tcW w:w="3261" w:type="dxa"/>
            <w:tcMar>
              <w:top w:w="0" w:type="dxa"/>
              <w:left w:w="108" w:type="dxa"/>
              <w:bottom w:w="0" w:type="dxa"/>
              <w:right w:w="108" w:type="dxa"/>
            </w:tcMar>
            <w:vAlign w:val="center"/>
          </w:tcPr>
          <w:p>
            <w:pPr>
              <w:adjustRightInd w:val="0"/>
              <w:snapToGrid w:val="0"/>
              <w:rPr>
                <w:rFonts w:ascii="Times New Roman" w:hAnsi="Times New Roman"/>
                <w:bCs/>
                <w:color w:val="auto"/>
              </w:rPr>
            </w:pPr>
            <w:r>
              <w:rPr>
                <w:rFonts w:ascii="Times New Roman" w:hAnsi="Times New Roman"/>
                <w:bCs/>
                <w:color w:val="auto"/>
              </w:rPr>
              <w:t>1.原料粉碎设备</w:t>
            </w:r>
          </w:p>
        </w:tc>
        <w:tc>
          <w:tcPr>
            <w:tcW w:w="2698" w:type="dxa"/>
            <w:tcMar>
              <w:top w:w="0" w:type="dxa"/>
              <w:left w:w="108" w:type="dxa"/>
              <w:bottom w:w="0" w:type="dxa"/>
              <w:right w:w="108"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70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13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559" w:type="dxa"/>
            <w:vMerge w:val="continue"/>
            <w:vAlign w:val="center"/>
          </w:tcPr>
          <w:p>
            <w:pPr>
              <w:adjustRightInd w:val="0"/>
              <w:snapToGrid w:val="0"/>
              <w:jc w:val="center"/>
              <w:rPr>
                <w:rFonts w:ascii="Times New Roman" w:hAnsi="Times New Roman"/>
                <w:bCs/>
                <w:color w:val="auto"/>
              </w:rPr>
            </w:pPr>
          </w:p>
        </w:tc>
        <w:tc>
          <w:tcPr>
            <w:tcW w:w="3261" w:type="dxa"/>
            <w:tcMar>
              <w:top w:w="0" w:type="dxa"/>
              <w:left w:w="108" w:type="dxa"/>
              <w:bottom w:w="0" w:type="dxa"/>
              <w:right w:w="108" w:type="dxa"/>
            </w:tcMar>
            <w:vAlign w:val="center"/>
          </w:tcPr>
          <w:p>
            <w:pPr>
              <w:adjustRightInd w:val="0"/>
              <w:snapToGrid w:val="0"/>
              <w:rPr>
                <w:rFonts w:ascii="Times New Roman" w:hAnsi="Times New Roman"/>
                <w:bCs/>
                <w:color w:val="auto"/>
              </w:rPr>
            </w:pPr>
            <w:r>
              <w:rPr>
                <w:rFonts w:ascii="Times New Roman" w:hAnsi="Times New Roman"/>
                <w:bCs/>
                <w:color w:val="auto"/>
              </w:rPr>
              <w:t>2.配料计量设备</w:t>
            </w:r>
          </w:p>
        </w:tc>
        <w:tc>
          <w:tcPr>
            <w:tcW w:w="2698" w:type="dxa"/>
            <w:tcMar>
              <w:top w:w="0" w:type="dxa"/>
              <w:left w:w="108" w:type="dxa"/>
              <w:bottom w:w="0" w:type="dxa"/>
              <w:right w:w="108"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70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13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559" w:type="dxa"/>
            <w:vMerge w:val="continue"/>
            <w:vAlign w:val="center"/>
          </w:tcPr>
          <w:p>
            <w:pPr>
              <w:adjustRightInd w:val="0"/>
              <w:snapToGrid w:val="0"/>
              <w:jc w:val="center"/>
              <w:rPr>
                <w:rFonts w:ascii="Times New Roman" w:hAnsi="Times New Roman"/>
                <w:bCs/>
                <w:color w:val="auto"/>
              </w:rPr>
            </w:pPr>
          </w:p>
        </w:tc>
        <w:tc>
          <w:tcPr>
            <w:tcW w:w="3261" w:type="dxa"/>
            <w:tcMar>
              <w:top w:w="0" w:type="dxa"/>
              <w:left w:w="108" w:type="dxa"/>
              <w:bottom w:w="0" w:type="dxa"/>
              <w:right w:w="108" w:type="dxa"/>
            </w:tcMar>
            <w:vAlign w:val="center"/>
          </w:tcPr>
          <w:p>
            <w:pPr>
              <w:adjustRightInd w:val="0"/>
              <w:snapToGrid w:val="0"/>
              <w:rPr>
                <w:rFonts w:ascii="Times New Roman" w:hAnsi="Times New Roman"/>
                <w:bCs/>
                <w:color w:val="auto"/>
              </w:rPr>
            </w:pPr>
            <w:r>
              <w:rPr>
                <w:rFonts w:ascii="Times New Roman" w:hAnsi="Times New Roman"/>
                <w:bCs/>
                <w:color w:val="auto"/>
              </w:rPr>
              <w:t>3.包裹设备</w:t>
            </w:r>
          </w:p>
        </w:tc>
        <w:tc>
          <w:tcPr>
            <w:tcW w:w="2698" w:type="dxa"/>
            <w:tcMar>
              <w:top w:w="0" w:type="dxa"/>
              <w:left w:w="108" w:type="dxa"/>
              <w:bottom w:w="0" w:type="dxa"/>
              <w:right w:w="108" w:type="dxa"/>
            </w:tcMar>
            <w:vAlign w:val="center"/>
          </w:tcPr>
          <w:p>
            <w:pPr>
              <w:adjustRightInd w:val="0"/>
              <w:snapToGrid w:val="0"/>
              <w:jc w:val="center"/>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70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13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559" w:type="dxa"/>
            <w:vMerge w:val="continue"/>
            <w:vAlign w:val="center"/>
          </w:tcPr>
          <w:p>
            <w:pPr>
              <w:adjustRightInd w:val="0"/>
              <w:snapToGrid w:val="0"/>
              <w:jc w:val="center"/>
              <w:rPr>
                <w:rFonts w:ascii="Times New Roman" w:hAnsi="Times New Roman"/>
                <w:bCs/>
                <w:color w:val="auto"/>
              </w:rPr>
            </w:pPr>
          </w:p>
        </w:tc>
        <w:tc>
          <w:tcPr>
            <w:tcW w:w="3261" w:type="dxa"/>
            <w:tcMar>
              <w:top w:w="0" w:type="dxa"/>
              <w:left w:w="108" w:type="dxa"/>
              <w:bottom w:w="0" w:type="dxa"/>
              <w:right w:w="108" w:type="dxa"/>
            </w:tcMar>
            <w:vAlign w:val="center"/>
          </w:tcPr>
          <w:p>
            <w:pPr>
              <w:adjustRightInd w:val="0"/>
              <w:snapToGrid w:val="0"/>
              <w:rPr>
                <w:rFonts w:ascii="Times New Roman" w:hAnsi="Times New Roman"/>
                <w:bCs/>
                <w:color w:val="auto"/>
              </w:rPr>
            </w:pPr>
            <w:r>
              <w:rPr>
                <w:rFonts w:ascii="Times New Roman" w:hAnsi="Times New Roman"/>
                <w:bCs/>
                <w:color w:val="auto"/>
              </w:rPr>
              <w:t>4.冷却设备</w:t>
            </w:r>
          </w:p>
        </w:tc>
        <w:tc>
          <w:tcPr>
            <w:tcW w:w="2698" w:type="dxa"/>
            <w:tcMar>
              <w:top w:w="0" w:type="dxa"/>
              <w:left w:w="108" w:type="dxa"/>
              <w:bottom w:w="0" w:type="dxa"/>
              <w:right w:w="108" w:type="dxa"/>
            </w:tcMar>
            <w:vAlign w:val="center"/>
          </w:tcPr>
          <w:p>
            <w:pPr>
              <w:adjustRightInd w:val="0"/>
              <w:snapToGrid w:val="0"/>
              <w:rPr>
                <w:rFonts w:ascii="Times New Roman" w:hAnsi="Times New Roman"/>
                <w:color w:val="auto"/>
              </w:rPr>
            </w:pPr>
            <w:r>
              <w:rPr>
                <w:rFonts w:ascii="Times New Roman" w:hAnsi="Times New Roman"/>
                <w:bCs/>
                <w:color w:val="auto"/>
              </w:rPr>
              <w:t>冷却设备（包装前物料温度≤50℃）：冷却机至少一台，直径≥1.0米，长度≥10米或其他类型冷却设备。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70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13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559" w:type="dxa"/>
            <w:vMerge w:val="continue"/>
            <w:vAlign w:val="center"/>
          </w:tcPr>
          <w:p>
            <w:pPr>
              <w:adjustRightInd w:val="0"/>
              <w:snapToGrid w:val="0"/>
              <w:jc w:val="center"/>
              <w:rPr>
                <w:rFonts w:ascii="Times New Roman" w:hAnsi="Times New Roman"/>
                <w:bCs/>
                <w:color w:val="auto"/>
              </w:rPr>
            </w:pPr>
          </w:p>
        </w:tc>
        <w:tc>
          <w:tcPr>
            <w:tcW w:w="3261" w:type="dxa"/>
            <w:tcMar>
              <w:top w:w="0" w:type="dxa"/>
              <w:left w:w="108" w:type="dxa"/>
              <w:bottom w:w="0" w:type="dxa"/>
              <w:right w:w="108" w:type="dxa"/>
            </w:tcMar>
            <w:vAlign w:val="center"/>
          </w:tcPr>
          <w:p>
            <w:pPr>
              <w:adjustRightInd w:val="0"/>
              <w:snapToGrid w:val="0"/>
              <w:rPr>
                <w:rFonts w:ascii="Times New Roman" w:hAnsi="Times New Roman"/>
                <w:bCs/>
                <w:color w:val="auto"/>
              </w:rPr>
            </w:pPr>
            <w:r>
              <w:rPr>
                <w:rFonts w:ascii="Times New Roman" w:hAnsi="Times New Roman"/>
                <w:bCs/>
                <w:color w:val="auto"/>
              </w:rPr>
              <w:t>5.干燥及温控设备</w:t>
            </w:r>
          </w:p>
        </w:tc>
        <w:tc>
          <w:tcPr>
            <w:tcW w:w="2698" w:type="dxa"/>
            <w:tcMar>
              <w:top w:w="0" w:type="dxa"/>
              <w:left w:w="108" w:type="dxa"/>
              <w:bottom w:w="0" w:type="dxa"/>
              <w:right w:w="108"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70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13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559" w:type="dxa"/>
            <w:vMerge w:val="continue"/>
            <w:vAlign w:val="center"/>
          </w:tcPr>
          <w:p>
            <w:pPr>
              <w:adjustRightInd w:val="0"/>
              <w:snapToGrid w:val="0"/>
              <w:jc w:val="center"/>
              <w:rPr>
                <w:rFonts w:ascii="Times New Roman" w:hAnsi="Times New Roman"/>
                <w:bCs/>
                <w:color w:val="auto"/>
              </w:rPr>
            </w:pPr>
          </w:p>
        </w:tc>
        <w:tc>
          <w:tcPr>
            <w:tcW w:w="3261" w:type="dxa"/>
            <w:tcMar>
              <w:top w:w="0" w:type="dxa"/>
              <w:left w:w="108" w:type="dxa"/>
              <w:bottom w:w="0" w:type="dxa"/>
              <w:right w:w="108" w:type="dxa"/>
            </w:tcMar>
            <w:vAlign w:val="center"/>
          </w:tcPr>
          <w:p>
            <w:pPr>
              <w:adjustRightInd w:val="0"/>
              <w:snapToGrid w:val="0"/>
              <w:rPr>
                <w:rFonts w:ascii="Times New Roman" w:hAnsi="Times New Roman"/>
                <w:bCs/>
                <w:color w:val="auto"/>
              </w:rPr>
            </w:pPr>
            <w:r>
              <w:rPr>
                <w:rFonts w:ascii="Times New Roman" w:hAnsi="Times New Roman"/>
                <w:bCs/>
                <w:color w:val="auto"/>
              </w:rPr>
              <w:t>6.成品筛分设备</w:t>
            </w:r>
          </w:p>
        </w:tc>
        <w:tc>
          <w:tcPr>
            <w:tcW w:w="2698" w:type="dxa"/>
            <w:tcMar>
              <w:top w:w="0" w:type="dxa"/>
              <w:left w:w="108" w:type="dxa"/>
              <w:bottom w:w="0" w:type="dxa"/>
              <w:right w:w="108"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70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13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559" w:type="dxa"/>
            <w:vMerge w:val="continue"/>
            <w:vAlign w:val="center"/>
          </w:tcPr>
          <w:p>
            <w:pPr>
              <w:adjustRightInd w:val="0"/>
              <w:snapToGrid w:val="0"/>
              <w:jc w:val="center"/>
              <w:rPr>
                <w:rFonts w:ascii="Times New Roman" w:hAnsi="Times New Roman"/>
                <w:bCs/>
                <w:color w:val="auto"/>
              </w:rPr>
            </w:pPr>
          </w:p>
        </w:tc>
        <w:tc>
          <w:tcPr>
            <w:tcW w:w="3261" w:type="dxa"/>
            <w:tcMar>
              <w:top w:w="0" w:type="dxa"/>
              <w:left w:w="108" w:type="dxa"/>
              <w:bottom w:w="0" w:type="dxa"/>
              <w:right w:w="108" w:type="dxa"/>
            </w:tcMar>
            <w:vAlign w:val="center"/>
          </w:tcPr>
          <w:p>
            <w:pPr>
              <w:adjustRightInd w:val="0"/>
              <w:snapToGrid w:val="0"/>
              <w:rPr>
                <w:rFonts w:ascii="Times New Roman" w:hAnsi="Times New Roman"/>
                <w:bCs/>
                <w:color w:val="auto"/>
              </w:rPr>
            </w:pPr>
            <w:r>
              <w:rPr>
                <w:rFonts w:ascii="Times New Roman" w:hAnsi="Times New Roman"/>
                <w:bCs/>
                <w:color w:val="auto"/>
              </w:rPr>
              <w:t>7. 从配料计量到产品包装形成连续的机械化生产线</w:t>
            </w:r>
          </w:p>
        </w:tc>
        <w:tc>
          <w:tcPr>
            <w:tcW w:w="2698" w:type="dxa"/>
            <w:tcMar>
              <w:top w:w="0" w:type="dxa"/>
              <w:left w:w="108" w:type="dxa"/>
              <w:bottom w:w="0" w:type="dxa"/>
              <w:right w:w="108"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70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13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559" w:type="dxa"/>
            <w:vMerge w:val="continue"/>
            <w:vAlign w:val="center"/>
          </w:tcPr>
          <w:p>
            <w:pPr>
              <w:adjustRightInd w:val="0"/>
              <w:snapToGrid w:val="0"/>
              <w:jc w:val="center"/>
              <w:rPr>
                <w:rFonts w:ascii="Times New Roman" w:hAnsi="Times New Roman"/>
                <w:bCs/>
                <w:color w:val="auto"/>
              </w:rPr>
            </w:pPr>
          </w:p>
        </w:tc>
        <w:tc>
          <w:tcPr>
            <w:tcW w:w="3261" w:type="dxa"/>
            <w:tcMar>
              <w:top w:w="0" w:type="dxa"/>
              <w:left w:w="108" w:type="dxa"/>
              <w:bottom w:w="0" w:type="dxa"/>
              <w:right w:w="108" w:type="dxa"/>
            </w:tcMar>
            <w:vAlign w:val="center"/>
          </w:tcPr>
          <w:p>
            <w:pPr>
              <w:adjustRightInd w:val="0"/>
              <w:snapToGrid w:val="0"/>
              <w:rPr>
                <w:rFonts w:ascii="Times New Roman" w:hAnsi="Times New Roman"/>
                <w:bCs/>
                <w:color w:val="auto"/>
              </w:rPr>
            </w:pPr>
            <w:r>
              <w:rPr>
                <w:rFonts w:ascii="Times New Roman" w:hAnsi="Times New Roman"/>
                <w:bCs/>
                <w:color w:val="auto"/>
              </w:rPr>
              <w:t>8.尾气处理设备</w:t>
            </w:r>
          </w:p>
        </w:tc>
        <w:tc>
          <w:tcPr>
            <w:tcW w:w="2698" w:type="dxa"/>
            <w:tcMar>
              <w:top w:w="0" w:type="dxa"/>
              <w:left w:w="108" w:type="dxa"/>
              <w:bottom w:w="0" w:type="dxa"/>
              <w:right w:w="108"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704" w:type="dxa"/>
            <w:vMerge w:val="restart"/>
            <w:tcMar>
              <w:top w:w="0" w:type="dxa"/>
              <w:left w:w="108" w:type="dxa"/>
              <w:bottom w:w="0" w:type="dxa"/>
              <w:right w:w="108" w:type="dxa"/>
            </w:tcMar>
            <w:vAlign w:val="center"/>
          </w:tcPr>
          <w:p>
            <w:pPr>
              <w:adjustRightInd w:val="0"/>
              <w:snapToGrid w:val="0"/>
              <w:jc w:val="center"/>
              <w:rPr>
                <w:rFonts w:ascii="Times New Roman" w:hAnsi="Times New Roman"/>
                <w:color w:val="auto"/>
              </w:rPr>
            </w:pPr>
            <w:r>
              <w:rPr>
                <w:rFonts w:ascii="Times New Roman" w:hAnsi="Times New Roman"/>
                <w:color w:val="auto"/>
              </w:rPr>
              <w:t>2</w:t>
            </w:r>
          </w:p>
        </w:tc>
        <w:tc>
          <w:tcPr>
            <w:tcW w:w="1134" w:type="dxa"/>
            <w:vMerge w:val="restart"/>
            <w:tcMar>
              <w:top w:w="0" w:type="dxa"/>
              <w:left w:w="108" w:type="dxa"/>
              <w:bottom w:w="0" w:type="dxa"/>
              <w:right w:w="108" w:type="dxa"/>
            </w:tcMar>
            <w:vAlign w:val="center"/>
          </w:tcPr>
          <w:p>
            <w:pPr>
              <w:adjustRightInd w:val="0"/>
              <w:snapToGrid w:val="0"/>
              <w:jc w:val="center"/>
              <w:rPr>
                <w:rFonts w:ascii="Times New Roman" w:hAnsi="Times New Roman"/>
                <w:color w:val="auto"/>
              </w:rPr>
            </w:pPr>
            <w:r>
              <w:rPr>
                <w:rFonts w:ascii="Times New Roman" w:hAnsi="Times New Roman"/>
                <w:bCs/>
                <w:color w:val="auto"/>
              </w:rPr>
              <w:t>掺混肥料、有机无机掺混肥料</w:t>
            </w:r>
          </w:p>
        </w:tc>
        <w:tc>
          <w:tcPr>
            <w:tcW w:w="1559" w:type="dxa"/>
            <w:vMerge w:val="restart"/>
            <w:vAlign w:val="center"/>
          </w:tcPr>
          <w:p>
            <w:pPr>
              <w:adjustRightInd w:val="0"/>
              <w:snapToGrid w:val="0"/>
              <w:jc w:val="center"/>
              <w:rPr>
                <w:rFonts w:ascii="Times New Roman" w:hAnsi="Times New Roman"/>
                <w:bCs/>
                <w:color w:val="auto"/>
              </w:rPr>
            </w:pPr>
            <w:r>
              <w:rPr>
                <w:rFonts w:ascii="Times New Roman" w:hAnsi="Times New Roman"/>
                <w:bCs/>
                <w:color w:val="auto"/>
              </w:rPr>
              <w:t>掺混肥料、缓释掺混肥料、控释掺混肥料、硫包衣缓释掺混肥料、脲醛缓释掺混肥料、稳定性掺混肥料、无机包裹型掺混肥料、含部分海藻酸包膜尿素的掺混肥料、</w:t>
            </w:r>
            <w:r>
              <w:rPr>
                <w:rFonts w:ascii="Times New Roman" w:hAnsi="Times New Roman"/>
                <w:color w:val="auto"/>
              </w:rPr>
              <w:t>有机无机掺混肥料</w:t>
            </w:r>
          </w:p>
        </w:tc>
        <w:tc>
          <w:tcPr>
            <w:tcW w:w="3261" w:type="dxa"/>
            <w:tcMar>
              <w:top w:w="0" w:type="dxa"/>
              <w:left w:w="108" w:type="dxa"/>
              <w:bottom w:w="0" w:type="dxa"/>
              <w:right w:w="108" w:type="dxa"/>
            </w:tcMar>
            <w:vAlign w:val="center"/>
          </w:tcPr>
          <w:p>
            <w:pPr>
              <w:adjustRightInd w:val="0"/>
              <w:snapToGrid w:val="0"/>
              <w:rPr>
                <w:rFonts w:ascii="Times New Roman" w:hAnsi="Times New Roman"/>
                <w:bCs/>
                <w:color w:val="auto"/>
              </w:rPr>
            </w:pPr>
            <w:r>
              <w:rPr>
                <w:rFonts w:ascii="Times New Roman" w:hAnsi="Times New Roman"/>
                <w:bCs/>
                <w:color w:val="auto"/>
              </w:rPr>
              <w:t>1.筛分设备</w:t>
            </w:r>
          </w:p>
        </w:tc>
        <w:tc>
          <w:tcPr>
            <w:tcW w:w="2698" w:type="dxa"/>
            <w:tcMar>
              <w:top w:w="0" w:type="dxa"/>
              <w:left w:w="108" w:type="dxa"/>
              <w:bottom w:w="0" w:type="dxa"/>
              <w:right w:w="108" w:type="dxa"/>
            </w:tcMar>
            <w:vAlign w:val="center"/>
          </w:tcPr>
          <w:p>
            <w:pPr>
              <w:adjustRightInd w:val="0"/>
              <w:snapToGrid w:val="0"/>
              <w:jc w:val="center"/>
              <w:rPr>
                <w:rFonts w:ascii="Times New Roman" w:hAnsi="Times New Roman"/>
                <w:color w:val="auto"/>
                <w:vertAlign w:val="superscript"/>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70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13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559" w:type="dxa"/>
            <w:vMerge w:val="continue"/>
            <w:vAlign w:val="center"/>
          </w:tcPr>
          <w:p>
            <w:pPr>
              <w:adjustRightInd w:val="0"/>
              <w:snapToGrid w:val="0"/>
              <w:jc w:val="center"/>
              <w:rPr>
                <w:rFonts w:ascii="Times New Roman" w:hAnsi="Times New Roman"/>
                <w:bCs/>
                <w:color w:val="auto"/>
              </w:rPr>
            </w:pPr>
          </w:p>
        </w:tc>
        <w:tc>
          <w:tcPr>
            <w:tcW w:w="3261" w:type="dxa"/>
            <w:tcMar>
              <w:top w:w="0" w:type="dxa"/>
              <w:left w:w="108" w:type="dxa"/>
              <w:bottom w:w="0" w:type="dxa"/>
              <w:right w:w="108" w:type="dxa"/>
            </w:tcMar>
            <w:vAlign w:val="center"/>
          </w:tcPr>
          <w:p>
            <w:pPr>
              <w:adjustRightInd w:val="0"/>
              <w:snapToGrid w:val="0"/>
              <w:rPr>
                <w:rFonts w:ascii="Times New Roman" w:hAnsi="Times New Roman"/>
                <w:color w:val="auto"/>
              </w:rPr>
            </w:pPr>
            <w:r>
              <w:rPr>
                <w:rFonts w:ascii="Times New Roman" w:hAnsi="Times New Roman"/>
                <w:bCs/>
                <w:color w:val="auto"/>
              </w:rPr>
              <w:t>2.自动配料计量设备</w:t>
            </w:r>
          </w:p>
        </w:tc>
        <w:tc>
          <w:tcPr>
            <w:tcW w:w="2698" w:type="dxa"/>
            <w:tcMar>
              <w:top w:w="0" w:type="dxa"/>
              <w:left w:w="108" w:type="dxa"/>
              <w:bottom w:w="0" w:type="dxa"/>
              <w:right w:w="108" w:type="dxa"/>
            </w:tcMar>
            <w:vAlign w:val="center"/>
          </w:tcPr>
          <w:p>
            <w:pPr>
              <w:adjustRightInd w:val="0"/>
              <w:snapToGrid w:val="0"/>
              <w:rPr>
                <w:rFonts w:ascii="Times New Roman" w:hAnsi="Times New Roman"/>
                <w:color w:val="auto"/>
                <w:vertAlign w:val="superscript"/>
              </w:rPr>
            </w:pPr>
            <w:r>
              <w:rPr>
                <w:rFonts w:ascii="Times New Roman" w:hAnsi="Times New Roman"/>
                <w:bCs/>
                <w:color w:val="auto"/>
              </w:rPr>
              <w:t>必须是自动配料装置（有自动控制系统），配料口≥3个。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70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13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559" w:type="dxa"/>
            <w:vMerge w:val="continue"/>
            <w:vAlign w:val="center"/>
          </w:tcPr>
          <w:p>
            <w:pPr>
              <w:adjustRightInd w:val="0"/>
              <w:snapToGrid w:val="0"/>
              <w:jc w:val="center"/>
              <w:rPr>
                <w:rFonts w:ascii="Times New Roman" w:hAnsi="Times New Roman"/>
                <w:bCs/>
                <w:color w:val="auto"/>
              </w:rPr>
            </w:pPr>
          </w:p>
        </w:tc>
        <w:tc>
          <w:tcPr>
            <w:tcW w:w="3261" w:type="dxa"/>
            <w:tcMar>
              <w:top w:w="0" w:type="dxa"/>
              <w:left w:w="108" w:type="dxa"/>
              <w:bottom w:w="0" w:type="dxa"/>
              <w:right w:w="108" w:type="dxa"/>
            </w:tcMar>
            <w:vAlign w:val="center"/>
          </w:tcPr>
          <w:p>
            <w:pPr>
              <w:adjustRightInd w:val="0"/>
              <w:snapToGrid w:val="0"/>
              <w:rPr>
                <w:rFonts w:ascii="Times New Roman" w:hAnsi="Times New Roman"/>
                <w:color w:val="auto"/>
              </w:rPr>
            </w:pPr>
            <w:r>
              <w:rPr>
                <w:rFonts w:ascii="Times New Roman" w:hAnsi="Times New Roman"/>
                <w:bCs/>
                <w:color w:val="auto"/>
              </w:rPr>
              <w:t>3.混合设备</w:t>
            </w:r>
          </w:p>
        </w:tc>
        <w:tc>
          <w:tcPr>
            <w:tcW w:w="2698" w:type="dxa"/>
            <w:tcMar>
              <w:top w:w="0" w:type="dxa"/>
              <w:left w:w="108" w:type="dxa"/>
              <w:bottom w:w="0" w:type="dxa"/>
              <w:right w:w="108"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70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13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559" w:type="dxa"/>
            <w:vMerge w:val="continue"/>
            <w:vAlign w:val="center"/>
          </w:tcPr>
          <w:p>
            <w:pPr>
              <w:adjustRightInd w:val="0"/>
              <w:snapToGrid w:val="0"/>
              <w:jc w:val="center"/>
              <w:rPr>
                <w:rFonts w:ascii="Times New Roman" w:hAnsi="Times New Roman"/>
                <w:bCs/>
                <w:color w:val="auto"/>
              </w:rPr>
            </w:pPr>
          </w:p>
        </w:tc>
        <w:tc>
          <w:tcPr>
            <w:tcW w:w="3261" w:type="dxa"/>
            <w:tcMar>
              <w:top w:w="0" w:type="dxa"/>
              <w:left w:w="108" w:type="dxa"/>
              <w:bottom w:w="0" w:type="dxa"/>
              <w:right w:w="108" w:type="dxa"/>
            </w:tcMar>
            <w:vAlign w:val="center"/>
          </w:tcPr>
          <w:p>
            <w:pPr>
              <w:adjustRightInd w:val="0"/>
              <w:snapToGrid w:val="0"/>
              <w:rPr>
                <w:rFonts w:ascii="Times New Roman" w:hAnsi="Times New Roman"/>
                <w:color w:val="auto"/>
              </w:rPr>
            </w:pPr>
            <w:r>
              <w:rPr>
                <w:rFonts w:ascii="Times New Roman" w:hAnsi="Times New Roman"/>
                <w:bCs/>
                <w:color w:val="auto"/>
              </w:rPr>
              <w:t>4.从自动配料计量到产品包装形成连续的机械化生产线</w:t>
            </w:r>
          </w:p>
        </w:tc>
        <w:tc>
          <w:tcPr>
            <w:tcW w:w="2698" w:type="dxa"/>
            <w:tcMar>
              <w:top w:w="0" w:type="dxa"/>
              <w:left w:w="108" w:type="dxa"/>
              <w:bottom w:w="0" w:type="dxa"/>
              <w:right w:w="108" w:type="dxa"/>
            </w:tcMar>
            <w:vAlign w:val="center"/>
          </w:tcPr>
          <w:p>
            <w:pPr>
              <w:adjustRightInd w:val="0"/>
              <w:snapToGrid w:val="0"/>
              <w:rPr>
                <w:rFonts w:ascii="Times New Roman" w:hAnsi="Times New Roman"/>
                <w:color w:val="auto"/>
              </w:rPr>
            </w:pPr>
            <w:r>
              <w:rPr>
                <w:rFonts w:ascii="Times New Roman" w:hAnsi="Times New Roman"/>
                <w:color w:val="auto"/>
              </w:rPr>
              <w:t>生产线生产能力≥2.8吨/小时或≥2万吨/年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704" w:type="dxa"/>
            <w:vMerge w:val="restart"/>
            <w:tcMar>
              <w:top w:w="0" w:type="dxa"/>
              <w:left w:w="108" w:type="dxa"/>
              <w:bottom w:w="0" w:type="dxa"/>
              <w:right w:w="108" w:type="dxa"/>
            </w:tcMar>
            <w:vAlign w:val="center"/>
          </w:tcPr>
          <w:p>
            <w:pPr>
              <w:adjustRightInd w:val="0"/>
              <w:snapToGrid w:val="0"/>
              <w:jc w:val="center"/>
              <w:rPr>
                <w:rFonts w:ascii="Times New Roman" w:hAnsi="Times New Roman"/>
                <w:color w:val="auto"/>
              </w:rPr>
            </w:pPr>
            <w:r>
              <w:rPr>
                <w:rFonts w:ascii="Times New Roman" w:hAnsi="Times New Roman"/>
                <w:color w:val="auto"/>
              </w:rPr>
              <w:t>3</w:t>
            </w:r>
          </w:p>
        </w:tc>
        <w:tc>
          <w:tcPr>
            <w:tcW w:w="1134" w:type="dxa"/>
            <w:vMerge w:val="restart"/>
            <w:tcMar>
              <w:top w:w="0" w:type="dxa"/>
              <w:left w:w="108" w:type="dxa"/>
              <w:bottom w:w="0" w:type="dxa"/>
              <w:right w:w="108" w:type="dxa"/>
            </w:tcMar>
            <w:vAlign w:val="center"/>
          </w:tcPr>
          <w:p>
            <w:pPr>
              <w:adjustRightInd w:val="0"/>
              <w:snapToGrid w:val="0"/>
              <w:jc w:val="center"/>
              <w:rPr>
                <w:rFonts w:ascii="Times New Roman" w:hAnsi="Times New Roman"/>
                <w:color w:val="auto"/>
              </w:rPr>
            </w:pPr>
            <w:r>
              <w:rPr>
                <w:rFonts w:ascii="Times New Roman" w:hAnsi="Times New Roman"/>
                <w:bCs/>
                <w:color w:val="auto"/>
              </w:rPr>
              <w:t>有机无机复混肥料</w:t>
            </w:r>
          </w:p>
        </w:tc>
        <w:tc>
          <w:tcPr>
            <w:tcW w:w="1559" w:type="dxa"/>
            <w:vMerge w:val="restart"/>
            <w:vAlign w:val="center"/>
          </w:tcPr>
          <w:p>
            <w:pPr>
              <w:adjustRightInd w:val="0"/>
              <w:snapToGrid w:val="0"/>
              <w:jc w:val="center"/>
              <w:rPr>
                <w:rFonts w:ascii="Times New Roman" w:hAnsi="Times New Roman"/>
                <w:color w:val="auto"/>
              </w:rPr>
            </w:pPr>
            <w:r>
              <w:rPr>
                <w:rFonts w:ascii="Times New Roman" w:hAnsi="Times New Roman"/>
                <w:color w:val="auto"/>
              </w:rPr>
              <w:t>有</w:t>
            </w:r>
            <w:r>
              <w:rPr>
                <w:rFonts w:ascii="Times New Roman" w:hAnsi="Times New Roman"/>
                <w:bCs/>
                <w:color w:val="auto"/>
              </w:rPr>
              <w:t>机无机复混肥料、</w:t>
            </w:r>
            <w:r>
              <w:rPr>
                <w:rFonts w:ascii="Times New Roman" w:hAnsi="Times New Roman"/>
                <w:color w:val="auto"/>
              </w:rPr>
              <w:t>腐植酸有机无机复混肥料</w:t>
            </w:r>
          </w:p>
        </w:tc>
        <w:tc>
          <w:tcPr>
            <w:tcW w:w="3261" w:type="dxa"/>
            <w:tcMar>
              <w:top w:w="0" w:type="dxa"/>
              <w:left w:w="108" w:type="dxa"/>
              <w:bottom w:w="0" w:type="dxa"/>
              <w:right w:w="108" w:type="dxa"/>
            </w:tcMar>
            <w:vAlign w:val="center"/>
          </w:tcPr>
          <w:p>
            <w:pPr>
              <w:adjustRightInd w:val="0"/>
              <w:snapToGrid w:val="0"/>
              <w:rPr>
                <w:rFonts w:ascii="Times New Roman" w:hAnsi="Times New Roman"/>
                <w:color w:val="auto"/>
              </w:rPr>
            </w:pPr>
            <w:r>
              <w:rPr>
                <w:rFonts w:ascii="Times New Roman" w:hAnsi="Times New Roman"/>
                <w:color w:val="auto"/>
              </w:rPr>
              <w:t>1.原料粉碎设备</w:t>
            </w:r>
          </w:p>
        </w:tc>
        <w:tc>
          <w:tcPr>
            <w:tcW w:w="2698" w:type="dxa"/>
            <w:tcMar>
              <w:top w:w="0" w:type="dxa"/>
              <w:left w:w="108" w:type="dxa"/>
              <w:bottom w:w="0" w:type="dxa"/>
              <w:right w:w="108"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70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134" w:type="dxa"/>
            <w:vMerge w:val="continue"/>
            <w:tcMar>
              <w:top w:w="0" w:type="dxa"/>
              <w:left w:w="108" w:type="dxa"/>
              <w:bottom w:w="0" w:type="dxa"/>
              <w:right w:w="108" w:type="dxa"/>
            </w:tcMar>
            <w:vAlign w:val="center"/>
          </w:tcPr>
          <w:p>
            <w:pPr>
              <w:adjustRightInd w:val="0"/>
              <w:snapToGrid w:val="0"/>
              <w:jc w:val="center"/>
              <w:rPr>
                <w:rFonts w:ascii="Times New Roman" w:hAnsi="Times New Roman"/>
                <w:bCs/>
                <w:color w:val="auto"/>
              </w:rPr>
            </w:pPr>
          </w:p>
        </w:tc>
        <w:tc>
          <w:tcPr>
            <w:tcW w:w="1559" w:type="dxa"/>
            <w:vMerge w:val="continue"/>
            <w:vAlign w:val="center"/>
          </w:tcPr>
          <w:p>
            <w:pPr>
              <w:adjustRightInd w:val="0"/>
              <w:snapToGrid w:val="0"/>
              <w:jc w:val="center"/>
              <w:rPr>
                <w:rFonts w:ascii="Times New Roman" w:hAnsi="Times New Roman"/>
                <w:bCs/>
                <w:color w:val="auto"/>
              </w:rPr>
            </w:pPr>
          </w:p>
        </w:tc>
        <w:tc>
          <w:tcPr>
            <w:tcW w:w="3261" w:type="dxa"/>
            <w:tcMar>
              <w:top w:w="0" w:type="dxa"/>
              <w:left w:w="108" w:type="dxa"/>
              <w:bottom w:w="0" w:type="dxa"/>
              <w:right w:w="108" w:type="dxa"/>
            </w:tcMar>
            <w:vAlign w:val="center"/>
          </w:tcPr>
          <w:p>
            <w:pPr>
              <w:adjustRightInd w:val="0"/>
              <w:snapToGrid w:val="0"/>
              <w:rPr>
                <w:rFonts w:ascii="Times New Roman" w:hAnsi="Times New Roman"/>
                <w:bCs/>
                <w:color w:val="auto"/>
              </w:rPr>
            </w:pPr>
            <w:r>
              <w:rPr>
                <w:rFonts w:ascii="Times New Roman" w:hAnsi="Times New Roman"/>
                <w:bCs/>
                <w:color w:val="auto"/>
              </w:rPr>
              <w:t>2.配料计量设备</w:t>
            </w:r>
          </w:p>
        </w:tc>
        <w:tc>
          <w:tcPr>
            <w:tcW w:w="2698" w:type="dxa"/>
            <w:tcMar>
              <w:top w:w="0" w:type="dxa"/>
              <w:left w:w="108" w:type="dxa"/>
              <w:bottom w:w="0" w:type="dxa"/>
              <w:right w:w="108"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70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13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559" w:type="dxa"/>
            <w:vMerge w:val="continue"/>
            <w:vAlign w:val="center"/>
          </w:tcPr>
          <w:p>
            <w:pPr>
              <w:adjustRightInd w:val="0"/>
              <w:snapToGrid w:val="0"/>
              <w:jc w:val="center"/>
              <w:rPr>
                <w:rFonts w:ascii="Times New Roman" w:hAnsi="Times New Roman"/>
                <w:bCs/>
                <w:color w:val="auto"/>
              </w:rPr>
            </w:pPr>
          </w:p>
        </w:tc>
        <w:tc>
          <w:tcPr>
            <w:tcW w:w="3261" w:type="dxa"/>
            <w:tcMar>
              <w:top w:w="0" w:type="dxa"/>
              <w:left w:w="108" w:type="dxa"/>
              <w:bottom w:w="0" w:type="dxa"/>
              <w:right w:w="108" w:type="dxa"/>
            </w:tcMar>
            <w:vAlign w:val="center"/>
          </w:tcPr>
          <w:p>
            <w:pPr>
              <w:adjustRightInd w:val="0"/>
              <w:snapToGrid w:val="0"/>
              <w:rPr>
                <w:rFonts w:ascii="Times New Roman" w:hAnsi="Times New Roman"/>
                <w:color w:val="auto"/>
              </w:rPr>
            </w:pPr>
            <w:r>
              <w:rPr>
                <w:rFonts w:ascii="Times New Roman" w:hAnsi="Times New Roman"/>
                <w:bCs/>
                <w:color w:val="auto"/>
              </w:rPr>
              <w:t>3.混合设备</w:t>
            </w:r>
          </w:p>
        </w:tc>
        <w:tc>
          <w:tcPr>
            <w:tcW w:w="2698" w:type="dxa"/>
            <w:tcMar>
              <w:top w:w="0" w:type="dxa"/>
              <w:left w:w="108" w:type="dxa"/>
              <w:bottom w:w="0" w:type="dxa"/>
              <w:right w:w="108"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70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13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559" w:type="dxa"/>
            <w:vMerge w:val="continue"/>
            <w:vAlign w:val="center"/>
          </w:tcPr>
          <w:p>
            <w:pPr>
              <w:adjustRightInd w:val="0"/>
              <w:snapToGrid w:val="0"/>
              <w:jc w:val="center"/>
              <w:rPr>
                <w:rFonts w:ascii="Times New Roman" w:hAnsi="Times New Roman"/>
                <w:bCs/>
                <w:color w:val="auto"/>
              </w:rPr>
            </w:pPr>
          </w:p>
        </w:tc>
        <w:tc>
          <w:tcPr>
            <w:tcW w:w="3261" w:type="dxa"/>
            <w:tcMar>
              <w:top w:w="0" w:type="dxa"/>
              <w:left w:w="108" w:type="dxa"/>
              <w:bottom w:w="0" w:type="dxa"/>
              <w:right w:w="108" w:type="dxa"/>
            </w:tcMar>
            <w:vAlign w:val="center"/>
          </w:tcPr>
          <w:p>
            <w:pPr>
              <w:adjustRightInd w:val="0"/>
              <w:snapToGrid w:val="0"/>
              <w:rPr>
                <w:rFonts w:ascii="Times New Roman" w:hAnsi="Times New Roman"/>
                <w:color w:val="auto"/>
              </w:rPr>
            </w:pPr>
            <w:r>
              <w:rPr>
                <w:rFonts w:ascii="Times New Roman" w:hAnsi="Times New Roman"/>
                <w:bCs/>
                <w:color w:val="auto"/>
              </w:rPr>
              <w:t>4.造粒设备</w:t>
            </w:r>
          </w:p>
        </w:tc>
        <w:tc>
          <w:tcPr>
            <w:tcW w:w="2698" w:type="dxa"/>
            <w:tcMar>
              <w:top w:w="0" w:type="dxa"/>
              <w:left w:w="108" w:type="dxa"/>
              <w:bottom w:w="0" w:type="dxa"/>
              <w:right w:w="108" w:type="dxa"/>
            </w:tcMar>
            <w:vAlign w:val="center"/>
          </w:tcPr>
          <w:p>
            <w:pPr>
              <w:adjustRightInd w:val="0"/>
              <w:snapToGrid w:val="0"/>
              <w:rPr>
                <w:rFonts w:ascii="Times New Roman" w:hAnsi="Times New Roman"/>
                <w:bCs/>
                <w:color w:val="auto"/>
              </w:rPr>
            </w:pPr>
            <w:r>
              <w:rPr>
                <w:rFonts w:ascii="Times New Roman" w:hAnsi="Times New Roman"/>
                <w:bCs/>
                <w:color w:val="auto"/>
              </w:rPr>
              <w:t>造粒设备：采用圆盘造粒工艺的，圆盘直径≥2.8米</w:t>
            </w:r>
            <w:r>
              <w:rPr>
                <w:rFonts w:hint="eastAsia" w:ascii="Times New Roman" w:hAnsi="Times New Roman"/>
                <w:bCs/>
                <w:color w:val="auto"/>
              </w:rPr>
              <w:t>。</w:t>
            </w:r>
          </w:p>
          <w:p>
            <w:pPr>
              <w:adjustRightInd w:val="0"/>
              <w:snapToGrid w:val="0"/>
              <w:rPr>
                <w:rFonts w:ascii="Times New Roman" w:hAnsi="Times New Roman"/>
                <w:bCs/>
                <w:color w:val="auto"/>
              </w:rPr>
            </w:pPr>
            <w:r>
              <w:rPr>
                <w:rFonts w:ascii="Times New Roman" w:hAnsi="Times New Roman"/>
                <w:bCs/>
                <w:color w:val="auto"/>
              </w:rPr>
              <w:t>采用转鼓造粒工艺的，转鼓造粒机直径≥1.2米</w:t>
            </w:r>
            <w:r>
              <w:rPr>
                <w:rFonts w:hint="eastAsia" w:ascii="Times New Roman" w:hAnsi="Times New Roman"/>
                <w:bCs/>
                <w:color w:val="auto"/>
              </w:rPr>
              <w:t>。</w:t>
            </w:r>
          </w:p>
          <w:p>
            <w:pPr>
              <w:adjustRightInd w:val="0"/>
              <w:snapToGrid w:val="0"/>
              <w:rPr>
                <w:rFonts w:ascii="Times New Roman" w:hAnsi="Times New Roman"/>
                <w:color w:val="auto"/>
                <w:vertAlign w:val="superscript"/>
              </w:rPr>
            </w:pPr>
            <w:r>
              <w:rPr>
                <w:rFonts w:hint="eastAsia" w:ascii="Times New Roman" w:hAnsi="Times New Roman"/>
                <w:bCs/>
                <w:color w:val="auto"/>
              </w:rPr>
              <w:t>采用挤压造粒工艺的，配备挤压造粒机，设备型号及额定产能相符。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70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13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559" w:type="dxa"/>
            <w:vMerge w:val="continue"/>
            <w:vAlign w:val="center"/>
          </w:tcPr>
          <w:p>
            <w:pPr>
              <w:adjustRightInd w:val="0"/>
              <w:snapToGrid w:val="0"/>
              <w:jc w:val="center"/>
              <w:rPr>
                <w:rFonts w:ascii="Times New Roman" w:hAnsi="Times New Roman"/>
                <w:bCs/>
                <w:color w:val="auto"/>
              </w:rPr>
            </w:pPr>
          </w:p>
        </w:tc>
        <w:tc>
          <w:tcPr>
            <w:tcW w:w="3261" w:type="dxa"/>
            <w:tcMar>
              <w:top w:w="0" w:type="dxa"/>
              <w:left w:w="108" w:type="dxa"/>
              <w:bottom w:w="0" w:type="dxa"/>
              <w:right w:w="108" w:type="dxa"/>
            </w:tcMar>
            <w:vAlign w:val="center"/>
          </w:tcPr>
          <w:p>
            <w:pPr>
              <w:adjustRightInd w:val="0"/>
              <w:snapToGrid w:val="0"/>
              <w:rPr>
                <w:rFonts w:ascii="Times New Roman" w:hAnsi="Times New Roman"/>
                <w:color w:val="auto"/>
              </w:rPr>
            </w:pPr>
            <w:r>
              <w:rPr>
                <w:rFonts w:ascii="Times New Roman" w:hAnsi="Times New Roman"/>
                <w:bCs/>
                <w:color w:val="auto"/>
              </w:rPr>
              <w:t>5.干燥及温控设备</w:t>
            </w:r>
          </w:p>
        </w:tc>
        <w:tc>
          <w:tcPr>
            <w:tcW w:w="2698" w:type="dxa"/>
            <w:tcMar>
              <w:top w:w="0" w:type="dxa"/>
              <w:left w:w="108" w:type="dxa"/>
              <w:bottom w:w="0" w:type="dxa"/>
              <w:right w:w="108" w:type="dxa"/>
            </w:tcMar>
            <w:vAlign w:val="center"/>
          </w:tcPr>
          <w:p>
            <w:pPr>
              <w:adjustRightInd w:val="0"/>
              <w:snapToGrid w:val="0"/>
              <w:rPr>
                <w:rFonts w:ascii="Times New Roman" w:hAnsi="Times New Roman"/>
                <w:color w:val="auto"/>
                <w:vertAlign w:val="superscript"/>
              </w:rPr>
            </w:pPr>
            <w:r>
              <w:rPr>
                <w:rFonts w:ascii="Times New Roman" w:hAnsi="Times New Roman"/>
                <w:bCs/>
                <w:color w:val="auto"/>
              </w:rPr>
              <w:t>干燥机至少一台，直径≥1.2米，长度≥12米；无干燥工序的不作要求。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70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13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559" w:type="dxa"/>
            <w:vMerge w:val="continue"/>
            <w:vAlign w:val="center"/>
          </w:tcPr>
          <w:p>
            <w:pPr>
              <w:adjustRightInd w:val="0"/>
              <w:snapToGrid w:val="0"/>
              <w:jc w:val="center"/>
              <w:rPr>
                <w:rFonts w:ascii="Times New Roman" w:hAnsi="Times New Roman"/>
                <w:bCs/>
                <w:color w:val="auto"/>
              </w:rPr>
            </w:pPr>
          </w:p>
        </w:tc>
        <w:tc>
          <w:tcPr>
            <w:tcW w:w="3261" w:type="dxa"/>
            <w:tcMar>
              <w:top w:w="0" w:type="dxa"/>
              <w:left w:w="108" w:type="dxa"/>
              <w:bottom w:w="0" w:type="dxa"/>
              <w:right w:w="108" w:type="dxa"/>
            </w:tcMar>
            <w:vAlign w:val="center"/>
          </w:tcPr>
          <w:p>
            <w:pPr>
              <w:adjustRightInd w:val="0"/>
              <w:snapToGrid w:val="0"/>
              <w:rPr>
                <w:rFonts w:ascii="Times New Roman" w:hAnsi="Times New Roman"/>
                <w:bCs/>
                <w:color w:val="auto"/>
              </w:rPr>
            </w:pPr>
            <w:r>
              <w:rPr>
                <w:rFonts w:ascii="Times New Roman" w:hAnsi="Times New Roman"/>
                <w:bCs/>
                <w:color w:val="auto"/>
              </w:rPr>
              <w:t>6.冷却设备</w:t>
            </w:r>
          </w:p>
        </w:tc>
        <w:tc>
          <w:tcPr>
            <w:tcW w:w="2698" w:type="dxa"/>
            <w:tcMar>
              <w:top w:w="0" w:type="dxa"/>
              <w:left w:w="108" w:type="dxa"/>
              <w:bottom w:w="0" w:type="dxa"/>
              <w:right w:w="108" w:type="dxa"/>
            </w:tcMar>
            <w:vAlign w:val="center"/>
          </w:tcPr>
          <w:p>
            <w:pPr>
              <w:adjustRightInd w:val="0"/>
              <w:snapToGrid w:val="0"/>
              <w:rPr>
                <w:rFonts w:ascii="Times New Roman" w:hAnsi="Times New Roman"/>
                <w:color w:val="auto"/>
                <w:vertAlign w:val="superscript"/>
              </w:rPr>
            </w:pPr>
            <w:r>
              <w:rPr>
                <w:rFonts w:ascii="Times New Roman" w:hAnsi="Times New Roman"/>
                <w:bCs/>
                <w:color w:val="auto"/>
              </w:rPr>
              <w:t>冷却设备（包装前物料温度≤50℃）：冷却机至少一台，直径≥1.0米，长度≥10米或其他类型冷却设备；无干燥工序的不作要求。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70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13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559" w:type="dxa"/>
            <w:vMerge w:val="continue"/>
            <w:vAlign w:val="center"/>
          </w:tcPr>
          <w:p>
            <w:pPr>
              <w:adjustRightInd w:val="0"/>
              <w:snapToGrid w:val="0"/>
              <w:jc w:val="center"/>
              <w:rPr>
                <w:rFonts w:ascii="Times New Roman" w:hAnsi="Times New Roman"/>
                <w:bCs/>
                <w:color w:val="auto"/>
              </w:rPr>
            </w:pPr>
          </w:p>
        </w:tc>
        <w:tc>
          <w:tcPr>
            <w:tcW w:w="3261" w:type="dxa"/>
            <w:tcMar>
              <w:top w:w="0" w:type="dxa"/>
              <w:left w:w="108" w:type="dxa"/>
              <w:bottom w:w="0" w:type="dxa"/>
              <w:right w:w="108" w:type="dxa"/>
            </w:tcMar>
            <w:vAlign w:val="center"/>
          </w:tcPr>
          <w:p>
            <w:pPr>
              <w:adjustRightInd w:val="0"/>
              <w:snapToGrid w:val="0"/>
              <w:rPr>
                <w:rFonts w:ascii="Times New Roman" w:hAnsi="Times New Roman"/>
                <w:color w:val="auto"/>
              </w:rPr>
            </w:pPr>
            <w:r>
              <w:rPr>
                <w:rFonts w:ascii="Times New Roman" w:hAnsi="Times New Roman"/>
                <w:bCs/>
                <w:color w:val="auto"/>
              </w:rPr>
              <w:t>7.成品筛分设备</w:t>
            </w:r>
          </w:p>
        </w:tc>
        <w:tc>
          <w:tcPr>
            <w:tcW w:w="2698" w:type="dxa"/>
            <w:tcMar>
              <w:top w:w="0" w:type="dxa"/>
              <w:left w:w="108" w:type="dxa"/>
              <w:bottom w:w="0" w:type="dxa"/>
              <w:right w:w="108" w:type="dxa"/>
            </w:tcMar>
            <w:vAlign w:val="center"/>
          </w:tcPr>
          <w:p>
            <w:pPr>
              <w:adjustRightInd w:val="0"/>
              <w:snapToGrid w:val="0"/>
              <w:jc w:val="center"/>
              <w:rPr>
                <w:rFonts w:ascii="Times New Roman" w:hAnsi="Times New Roman"/>
                <w:color w:val="auto"/>
              </w:rPr>
            </w:pPr>
            <w:bookmarkStart w:id="13" w:name="OLE_LINK1"/>
            <w:r>
              <w:rPr>
                <w:rFonts w:ascii="Times New Roman" w:hAnsi="Times New Roman"/>
                <w:color w:val="auto"/>
              </w:rPr>
              <w:t>——</w:t>
            </w:r>
            <w:bookmarkEnd w:id="13"/>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70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13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559" w:type="dxa"/>
            <w:vMerge w:val="continue"/>
            <w:vAlign w:val="center"/>
          </w:tcPr>
          <w:p>
            <w:pPr>
              <w:adjustRightInd w:val="0"/>
              <w:snapToGrid w:val="0"/>
              <w:jc w:val="center"/>
              <w:rPr>
                <w:rFonts w:ascii="Times New Roman" w:hAnsi="Times New Roman"/>
                <w:bCs/>
                <w:color w:val="auto"/>
              </w:rPr>
            </w:pPr>
          </w:p>
        </w:tc>
        <w:tc>
          <w:tcPr>
            <w:tcW w:w="3261" w:type="dxa"/>
            <w:tcMar>
              <w:top w:w="0" w:type="dxa"/>
              <w:left w:w="108" w:type="dxa"/>
              <w:bottom w:w="0" w:type="dxa"/>
              <w:right w:w="108" w:type="dxa"/>
            </w:tcMar>
            <w:vAlign w:val="center"/>
          </w:tcPr>
          <w:p>
            <w:pPr>
              <w:adjustRightInd w:val="0"/>
              <w:snapToGrid w:val="0"/>
              <w:rPr>
                <w:rFonts w:ascii="Times New Roman" w:hAnsi="Times New Roman"/>
                <w:color w:val="auto"/>
              </w:rPr>
            </w:pPr>
            <w:r>
              <w:rPr>
                <w:rFonts w:ascii="Times New Roman" w:hAnsi="Times New Roman"/>
                <w:bCs/>
                <w:color w:val="auto"/>
              </w:rPr>
              <w:t>8.从配料计量到产品包装形成连续的机械化生产线</w:t>
            </w:r>
          </w:p>
        </w:tc>
        <w:tc>
          <w:tcPr>
            <w:tcW w:w="2698" w:type="dxa"/>
            <w:tcMar>
              <w:top w:w="0" w:type="dxa"/>
              <w:left w:w="108" w:type="dxa"/>
              <w:bottom w:w="0" w:type="dxa"/>
              <w:right w:w="108"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70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13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559" w:type="dxa"/>
            <w:vMerge w:val="continue"/>
            <w:vAlign w:val="center"/>
          </w:tcPr>
          <w:p>
            <w:pPr>
              <w:adjustRightInd w:val="0"/>
              <w:snapToGrid w:val="0"/>
              <w:jc w:val="center"/>
              <w:rPr>
                <w:rFonts w:ascii="Times New Roman" w:hAnsi="Times New Roman"/>
                <w:bCs/>
                <w:color w:val="auto"/>
              </w:rPr>
            </w:pPr>
          </w:p>
        </w:tc>
        <w:tc>
          <w:tcPr>
            <w:tcW w:w="3261" w:type="dxa"/>
            <w:tcMar>
              <w:top w:w="0" w:type="dxa"/>
              <w:left w:w="108" w:type="dxa"/>
              <w:bottom w:w="0" w:type="dxa"/>
              <w:right w:w="108" w:type="dxa"/>
            </w:tcMar>
            <w:vAlign w:val="center"/>
          </w:tcPr>
          <w:p>
            <w:pPr>
              <w:adjustRightInd w:val="0"/>
              <w:snapToGrid w:val="0"/>
              <w:rPr>
                <w:rFonts w:ascii="Times New Roman" w:hAnsi="Times New Roman"/>
                <w:color w:val="auto"/>
              </w:rPr>
            </w:pPr>
            <w:r>
              <w:rPr>
                <w:rFonts w:ascii="Times New Roman" w:hAnsi="Times New Roman"/>
                <w:bCs/>
                <w:color w:val="auto"/>
              </w:rPr>
              <w:t>9.尾气处理设备</w:t>
            </w:r>
          </w:p>
        </w:tc>
        <w:tc>
          <w:tcPr>
            <w:tcW w:w="2698" w:type="dxa"/>
            <w:tcMar>
              <w:top w:w="0" w:type="dxa"/>
              <w:left w:w="108" w:type="dxa"/>
              <w:bottom w:w="0" w:type="dxa"/>
              <w:right w:w="108"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70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134" w:type="dxa"/>
            <w:vMerge w:val="continue"/>
            <w:tcMar>
              <w:top w:w="0" w:type="dxa"/>
              <w:left w:w="108" w:type="dxa"/>
              <w:bottom w:w="0" w:type="dxa"/>
              <w:right w:w="108" w:type="dxa"/>
            </w:tcMar>
            <w:vAlign w:val="center"/>
          </w:tcPr>
          <w:p>
            <w:pPr>
              <w:adjustRightInd w:val="0"/>
              <w:snapToGrid w:val="0"/>
              <w:jc w:val="center"/>
              <w:rPr>
                <w:rFonts w:ascii="Times New Roman" w:hAnsi="Times New Roman"/>
                <w:color w:val="auto"/>
              </w:rPr>
            </w:pPr>
          </w:p>
        </w:tc>
        <w:tc>
          <w:tcPr>
            <w:tcW w:w="1559" w:type="dxa"/>
            <w:vMerge w:val="continue"/>
            <w:vAlign w:val="center"/>
          </w:tcPr>
          <w:p>
            <w:pPr>
              <w:adjustRightInd w:val="0"/>
              <w:snapToGrid w:val="0"/>
              <w:jc w:val="center"/>
              <w:rPr>
                <w:rFonts w:ascii="Times New Roman" w:hAnsi="Times New Roman"/>
                <w:bCs/>
                <w:color w:val="auto"/>
              </w:rPr>
            </w:pPr>
          </w:p>
        </w:tc>
        <w:tc>
          <w:tcPr>
            <w:tcW w:w="3261" w:type="dxa"/>
            <w:tcMar>
              <w:top w:w="0" w:type="dxa"/>
              <w:left w:w="108" w:type="dxa"/>
              <w:bottom w:w="0" w:type="dxa"/>
              <w:right w:w="108" w:type="dxa"/>
            </w:tcMar>
            <w:vAlign w:val="center"/>
          </w:tcPr>
          <w:p>
            <w:pPr>
              <w:adjustRightInd w:val="0"/>
              <w:snapToGrid w:val="0"/>
              <w:rPr>
                <w:rFonts w:ascii="Times New Roman" w:hAnsi="Times New Roman"/>
                <w:bCs/>
                <w:color w:val="auto"/>
              </w:rPr>
            </w:pPr>
            <w:r>
              <w:rPr>
                <w:rFonts w:ascii="Times New Roman" w:hAnsi="Times New Roman"/>
                <w:bCs/>
                <w:color w:val="auto"/>
              </w:rPr>
              <w:t>10.无害化处理设备设施</w:t>
            </w:r>
          </w:p>
        </w:tc>
        <w:tc>
          <w:tcPr>
            <w:tcW w:w="2698" w:type="dxa"/>
            <w:tcMar>
              <w:top w:w="0" w:type="dxa"/>
              <w:left w:w="108" w:type="dxa"/>
              <w:bottom w:w="0" w:type="dxa"/>
              <w:right w:w="108" w:type="dxa"/>
            </w:tcMar>
            <w:vAlign w:val="center"/>
          </w:tcPr>
          <w:p>
            <w:pPr>
              <w:adjustRightInd w:val="0"/>
              <w:snapToGrid w:val="0"/>
              <w:rPr>
                <w:rFonts w:ascii="Times New Roman" w:hAnsi="Times New Roman"/>
                <w:color w:val="auto"/>
              </w:rPr>
            </w:pPr>
            <w:r>
              <w:rPr>
                <w:rFonts w:ascii="Times New Roman" w:hAnsi="Times New Roman"/>
                <w:bCs/>
                <w:color w:val="auto"/>
              </w:rPr>
              <w:t>无害化处理设备设施为有机质原料需要进行无害化处理时适用</w:t>
            </w:r>
          </w:p>
        </w:tc>
      </w:tr>
    </w:tbl>
    <w:p>
      <w:pPr>
        <w:pStyle w:val="54"/>
        <w:spacing w:before="120" w:beforeLines="50"/>
        <w:jc w:val="both"/>
        <w:rPr>
          <w:rFonts w:ascii="Times New Roman" w:hAnsi="Times New Roman"/>
          <w:color w:val="auto"/>
          <w:sz w:val="18"/>
          <w:szCs w:val="18"/>
        </w:rPr>
      </w:pPr>
      <w:r>
        <w:rPr>
          <w:rFonts w:hint="default" w:ascii="Times New Roman" w:hAnsi="Times New Roman" w:eastAsia="黑体" w:cs="Times New Roman"/>
          <w:color w:val="auto"/>
          <w:sz w:val="18"/>
          <w:szCs w:val="18"/>
        </w:rPr>
        <w:t>注：</w:t>
      </w:r>
      <w:r>
        <w:rPr>
          <w:rFonts w:ascii="Times New Roman" w:hAnsi="Times New Roman"/>
          <w:color w:val="auto"/>
          <w:sz w:val="18"/>
          <w:szCs w:val="18"/>
        </w:rPr>
        <w:t>1.以上为典型工艺应必备的生产设备，对于采用非典型生产工艺的企业，按本细则的要求对企业工艺设计文件规定的生产设备进行核查。外购其他类型复肥与常规肥料掺混的其他类型复肥生产企业按照掺混肥料的必备生产设备进行审查。</w:t>
      </w:r>
    </w:p>
    <w:p>
      <w:pPr>
        <w:pStyle w:val="54"/>
        <w:numPr>
          <w:ilvl w:val="0"/>
          <w:numId w:val="2"/>
        </w:numPr>
        <w:spacing w:before="0" w:beforeLines="0"/>
        <w:ind w:firstLine="360" w:firstLineChars="200"/>
        <w:jc w:val="both"/>
        <w:rPr>
          <w:rFonts w:ascii="Times New Roman" w:hAnsi="Times New Roman"/>
          <w:color w:val="auto"/>
          <w:sz w:val="18"/>
          <w:szCs w:val="18"/>
        </w:rPr>
      </w:pPr>
      <w:r>
        <w:rPr>
          <w:rFonts w:ascii="Times New Roman" w:hAnsi="Times New Roman"/>
          <w:color w:val="auto"/>
          <w:sz w:val="18"/>
          <w:szCs w:val="18"/>
        </w:rPr>
        <w:t>本表为企业应具备的基本生产设备，可与上述设备名称不同，但应满足上述设备的功能、性能要求，生产设备必须自有，不得租赁。</w:t>
      </w:r>
    </w:p>
    <w:bookmarkEnd w:id="12"/>
    <w:p>
      <w:pPr>
        <w:snapToGrid w:val="0"/>
        <w:spacing w:before="240" w:beforeLines="100"/>
        <w:jc w:val="center"/>
        <w:rPr>
          <w:rFonts w:ascii="Times New Roman" w:hAnsi="Times New Roman"/>
          <w:b/>
          <w:color w:val="auto"/>
        </w:rPr>
      </w:pPr>
      <w:r>
        <w:rPr>
          <w:rFonts w:ascii="Times New Roman" w:hAnsi="Times New Roman"/>
          <w:b/>
          <w:color w:val="auto"/>
        </w:rPr>
        <w:t>表3-3  应具备的检验检测设备</w:t>
      </w:r>
    </w:p>
    <w:tbl>
      <w:tblPr>
        <w:tblStyle w:val="37"/>
        <w:tblW w:w="1048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7" w:type="dxa"/>
          <w:bottom w:w="0" w:type="dxa"/>
          <w:right w:w="57" w:type="dxa"/>
        </w:tblCellMar>
      </w:tblPr>
      <w:tblGrid>
        <w:gridCol w:w="421"/>
        <w:gridCol w:w="708"/>
        <w:gridCol w:w="993"/>
        <w:gridCol w:w="993"/>
        <w:gridCol w:w="1705"/>
        <w:gridCol w:w="1846"/>
        <w:gridCol w:w="1989"/>
        <w:gridCol w:w="709"/>
        <w:gridCol w:w="11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tblHeader/>
          <w:jc w:val="center"/>
        </w:trPr>
        <w:tc>
          <w:tcPr>
            <w:tcW w:w="421" w:type="dxa"/>
            <w:tcMar>
              <w:top w:w="0" w:type="dxa"/>
              <w:left w:w="57" w:type="dxa"/>
              <w:bottom w:w="0" w:type="dxa"/>
              <w:right w:w="57" w:type="dxa"/>
            </w:tcMar>
            <w:vAlign w:val="center"/>
          </w:tcPr>
          <w:p>
            <w:pPr>
              <w:adjustRightInd w:val="0"/>
              <w:snapToGrid w:val="0"/>
              <w:jc w:val="center"/>
              <w:rPr>
                <w:rFonts w:ascii="Times New Roman" w:hAnsi="Times New Roman"/>
                <w:b/>
                <w:color w:val="auto"/>
              </w:rPr>
            </w:pPr>
            <w:r>
              <w:rPr>
                <w:rFonts w:ascii="Times New Roman" w:hAnsi="Times New Roman"/>
                <w:b/>
                <w:color w:val="auto"/>
              </w:rPr>
              <w:t>序号</w:t>
            </w:r>
          </w:p>
        </w:tc>
        <w:tc>
          <w:tcPr>
            <w:tcW w:w="708" w:type="dxa"/>
            <w:tcMar>
              <w:top w:w="0" w:type="dxa"/>
              <w:left w:w="57" w:type="dxa"/>
              <w:bottom w:w="0" w:type="dxa"/>
              <w:right w:w="57" w:type="dxa"/>
            </w:tcMar>
            <w:vAlign w:val="center"/>
          </w:tcPr>
          <w:p>
            <w:pPr>
              <w:adjustRightInd w:val="0"/>
              <w:snapToGrid w:val="0"/>
              <w:jc w:val="center"/>
              <w:rPr>
                <w:rFonts w:ascii="Times New Roman" w:hAnsi="Times New Roman"/>
                <w:b/>
                <w:color w:val="auto"/>
              </w:rPr>
            </w:pPr>
            <w:r>
              <w:rPr>
                <w:rFonts w:ascii="Times New Roman" w:hAnsi="Times New Roman"/>
                <w:b/>
                <w:color w:val="auto"/>
              </w:rPr>
              <w:t>产品单元</w:t>
            </w:r>
          </w:p>
        </w:tc>
        <w:tc>
          <w:tcPr>
            <w:tcW w:w="993" w:type="dxa"/>
            <w:vAlign w:val="center"/>
          </w:tcPr>
          <w:p>
            <w:pPr>
              <w:adjustRightInd w:val="0"/>
              <w:snapToGrid w:val="0"/>
              <w:jc w:val="center"/>
              <w:rPr>
                <w:rFonts w:ascii="Times New Roman" w:hAnsi="Times New Roman"/>
                <w:b/>
                <w:color w:val="auto"/>
              </w:rPr>
            </w:pPr>
            <w:r>
              <w:rPr>
                <w:rFonts w:ascii="Times New Roman" w:hAnsi="Times New Roman"/>
                <w:b/>
                <w:color w:val="auto"/>
              </w:rPr>
              <w:t>复肥种类</w:t>
            </w:r>
          </w:p>
        </w:tc>
        <w:tc>
          <w:tcPr>
            <w:tcW w:w="993" w:type="dxa"/>
            <w:tcMar>
              <w:top w:w="0" w:type="dxa"/>
              <w:left w:w="57" w:type="dxa"/>
              <w:bottom w:w="0" w:type="dxa"/>
              <w:right w:w="57" w:type="dxa"/>
            </w:tcMar>
            <w:vAlign w:val="center"/>
          </w:tcPr>
          <w:p>
            <w:pPr>
              <w:adjustRightInd w:val="0"/>
              <w:snapToGrid w:val="0"/>
              <w:jc w:val="center"/>
              <w:rPr>
                <w:rFonts w:ascii="Times New Roman" w:hAnsi="Times New Roman"/>
                <w:b/>
                <w:color w:val="auto"/>
              </w:rPr>
            </w:pPr>
            <w:r>
              <w:rPr>
                <w:rFonts w:ascii="Times New Roman" w:hAnsi="Times New Roman"/>
                <w:b/>
                <w:color w:val="auto"/>
              </w:rPr>
              <w:t>检验检测项目</w:t>
            </w:r>
          </w:p>
        </w:tc>
        <w:tc>
          <w:tcPr>
            <w:tcW w:w="1705" w:type="dxa"/>
            <w:tcMar>
              <w:top w:w="0" w:type="dxa"/>
              <w:left w:w="57" w:type="dxa"/>
              <w:bottom w:w="0" w:type="dxa"/>
              <w:right w:w="57" w:type="dxa"/>
            </w:tcMar>
            <w:vAlign w:val="center"/>
          </w:tcPr>
          <w:p>
            <w:pPr>
              <w:adjustRightInd w:val="0"/>
              <w:snapToGrid w:val="0"/>
              <w:jc w:val="center"/>
              <w:rPr>
                <w:rFonts w:ascii="Times New Roman" w:hAnsi="Times New Roman"/>
                <w:b/>
                <w:color w:val="auto"/>
              </w:rPr>
            </w:pPr>
            <w:r>
              <w:rPr>
                <w:rFonts w:ascii="Times New Roman" w:hAnsi="Times New Roman"/>
                <w:b/>
                <w:color w:val="auto"/>
              </w:rPr>
              <w:t>依据标准及条款</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
                <w:color w:val="auto"/>
              </w:rPr>
            </w:pPr>
            <w:r>
              <w:rPr>
                <w:rFonts w:ascii="Times New Roman" w:hAnsi="Times New Roman"/>
                <w:b/>
                <w:color w:val="auto"/>
              </w:rPr>
              <w:t>检验检测设备</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
                <w:color w:val="auto"/>
              </w:rPr>
            </w:pPr>
            <w:r>
              <w:rPr>
                <w:rFonts w:ascii="Times New Roman" w:hAnsi="Times New Roman"/>
                <w:b/>
                <w:color w:val="auto"/>
              </w:rPr>
              <w:t>技术参数</w:t>
            </w:r>
          </w:p>
        </w:tc>
        <w:tc>
          <w:tcPr>
            <w:tcW w:w="709" w:type="dxa"/>
            <w:tcMar>
              <w:top w:w="0" w:type="dxa"/>
              <w:left w:w="57" w:type="dxa"/>
              <w:bottom w:w="0" w:type="dxa"/>
              <w:right w:w="57" w:type="dxa"/>
            </w:tcMar>
            <w:vAlign w:val="center"/>
          </w:tcPr>
          <w:p>
            <w:pPr>
              <w:adjustRightInd w:val="0"/>
              <w:snapToGrid w:val="0"/>
              <w:jc w:val="center"/>
              <w:rPr>
                <w:rFonts w:ascii="Times New Roman" w:hAnsi="Times New Roman"/>
                <w:b/>
                <w:color w:val="auto"/>
              </w:rPr>
            </w:pPr>
            <w:r>
              <w:rPr>
                <w:rFonts w:ascii="Times New Roman" w:hAnsi="Times New Roman"/>
                <w:b/>
                <w:color w:val="auto"/>
              </w:rPr>
              <w:t>检验类别</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
                <w:color w:val="auto"/>
              </w:rPr>
            </w:pPr>
            <w:r>
              <w:rPr>
                <w:rFonts w:ascii="Times New Roman" w:hAnsi="Times New Roman"/>
                <w:b/>
                <w:color w:val="auto"/>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restart"/>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r>
              <w:rPr>
                <w:rFonts w:ascii="Times New Roman" w:hAnsi="Times New Roman"/>
                <w:bCs/>
                <w:color w:val="auto"/>
              </w:rPr>
              <w:t>1</w:t>
            </w:r>
          </w:p>
        </w:tc>
        <w:tc>
          <w:tcPr>
            <w:tcW w:w="708"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复合</w:t>
            </w:r>
          </w:p>
          <w:p>
            <w:pPr>
              <w:adjustRightInd w:val="0"/>
              <w:snapToGrid w:val="0"/>
              <w:jc w:val="center"/>
              <w:rPr>
                <w:rFonts w:ascii="Times New Roman" w:hAnsi="Times New Roman"/>
                <w:bCs/>
                <w:color w:val="auto"/>
              </w:rPr>
            </w:pPr>
            <w:r>
              <w:rPr>
                <w:rFonts w:ascii="Times New Roman" w:hAnsi="Times New Roman"/>
                <w:bCs/>
                <w:color w:val="auto"/>
              </w:rPr>
              <w:t>肥料</w:t>
            </w:r>
          </w:p>
        </w:tc>
        <w:tc>
          <w:tcPr>
            <w:tcW w:w="993" w:type="dxa"/>
            <w:vMerge w:val="restart"/>
            <w:vAlign w:val="center"/>
          </w:tcPr>
          <w:p>
            <w:pPr>
              <w:adjustRightInd w:val="0"/>
              <w:snapToGrid w:val="0"/>
              <w:jc w:val="center"/>
              <w:textAlignment w:val="baseline"/>
              <w:rPr>
                <w:rFonts w:ascii="Times New Roman" w:hAnsi="Times New Roman"/>
                <w:bCs/>
                <w:color w:val="auto"/>
              </w:rPr>
            </w:pPr>
            <w:r>
              <w:rPr>
                <w:rFonts w:ascii="Times New Roman" w:hAnsi="Times New Roman"/>
                <w:bCs/>
                <w:color w:val="auto"/>
              </w:rPr>
              <w:t>复合肥料</w:t>
            </w:r>
          </w:p>
        </w:tc>
        <w:tc>
          <w:tcPr>
            <w:tcW w:w="993" w:type="dxa"/>
            <w:vMerge w:val="restart"/>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r>
              <w:rPr>
                <w:rFonts w:ascii="Times New Roman" w:hAnsi="Times New Roman"/>
                <w:bCs/>
                <w:color w:val="auto"/>
              </w:rPr>
              <w:t>总氮</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15063—2020 复合肥料</w:t>
            </w:r>
          </w:p>
          <w:p>
            <w:pPr>
              <w:adjustRightInd w:val="0"/>
              <w:snapToGrid w:val="0"/>
              <w:jc w:val="left"/>
              <w:rPr>
                <w:rFonts w:ascii="Times New Roman" w:hAnsi="Times New Roman"/>
                <w:bCs/>
                <w:color w:val="auto"/>
              </w:rPr>
            </w:pPr>
            <w:r>
              <w:rPr>
                <w:rFonts w:ascii="Times New Roman" w:hAnsi="Times New Roman"/>
                <w:bCs/>
                <w:color w:val="auto"/>
              </w:rPr>
              <w:t>6.3.1</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消化仪器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1000mL圆底蒸馏烧瓶（与蒸馏仪器配套）和梨形玻璃漏斗</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出厂检验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textAlignment w:val="baseline"/>
              <w:rPr>
                <w:rFonts w:ascii="Times New Roman" w:hAnsi="Times New Roman"/>
                <w:b/>
                <w:color w:val="auto"/>
              </w:rPr>
            </w:pPr>
          </w:p>
        </w:tc>
        <w:tc>
          <w:tcPr>
            <w:tcW w:w="993"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1705"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蒸馏仪器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textAlignment w:val="baseline"/>
              <w:rPr>
                <w:rFonts w:ascii="Times New Roman" w:hAnsi="Times New Roman"/>
                <w:b/>
                <w:color w:val="auto"/>
              </w:rPr>
            </w:pPr>
          </w:p>
        </w:tc>
        <w:tc>
          <w:tcPr>
            <w:tcW w:w="993"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1705"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消化加热装置</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textAlignment w:val="baseline"/>
              <w:rPr>
                <w:rFonts w:ascii="Times New Roman" w:hAnsi="Times New Roman"/>
                <w:b/>
                <w:color w:val="auto"/>
              </w:rPr>
            </w:pPr>
          </w:p>
        </w:tc>
        <w:tc>
          <w:tcPr>
            <w:tcW w:w="993"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1705"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textAlignment w:val="baseline"/>
              <w:rPr>
                <w:rFonts w:ascii="Times New Roman" w:hAnsi="Times New Roman"/>
                <w:b/>
                <w:color w:val="auto"/>
              </w:rPr>
            </w:pPr>
          </w:p>
        </w:tc>
        <w:tc>
          <w:tcPr>
            <w:tcW w:w="993"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1705"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蒸馏加热装置</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textAlignment w:val="baseline"/>
              <w:rPr>
                <w:rFonts w:ascii="Times New Roman" w:hAnsi="Times New Roman"/>
                <w:b/>
                <w:color w:val="auto"/>
              </w:rPr>
            </w:pPr>
          </w:p>
        </w:tc>
        <w:tc>
          <w:tcPr>
            <w:tcW w:w="993"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1705"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滴定管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50mL</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textAlignment w:val="baseline"/>
              <w:rPr>
                <w:rFonts w:ascii="Times New Roman" w:hAnsi="Times New Roman"/>
                <w:b/>
                <w:color w:val="auto"/>
              </w:rPr>
            </w:pPr>
          </w:p>
        </w:tc>
        <w:tc>
          <w:tcPr>
            <w:tcW w:w="993"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1705"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自动定氮仪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具有凯氏蒸馏、自动滴定功能，最小滴定单位为 0.01 mL</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sz w:val="18"/>
              </w:rPr>
              <w:t>仅采用自动分析仪法（定氮仪法）时适用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textAlignment w:val="baseline"/>
              <w:rPr>
                <w:rFonts w:ascii="Times New Roman" w:hAnsi="Times New Roman"/>
                <w:b/>
                <w:color w:val="auto"/>
              </w:rPr>
            </w:pPr>
          </w:p>
        </w:tc>
        <w:tc>
          <w:tcPr>
            <w:tcW w:w="993"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1705"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流动分析仪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sz w:val="18"/>
              </w:rPr>
              <w:t>仅采用自动分析仪法（流动分析仪法）时适用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textAlignment w:val="baseline"/>
              <w:rPr>
                <w:rFonts w:ascii="Times New Roman" w:hAnsi="Times New Roman"/>
                <w:b/>
                <w:color w:val="auto"/>
              </w:rPr>
            </w:pPr>
          </w:p>
        </w:tc>
        <w:tc>
          <w:tcPr>
            <w:tcW w:w="993"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1705"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杜马斯定氮仪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配有热导检测器</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sz w:val="18"/>
              </w:rPr>
              <w:t>仅采用杜马斯燃烧法时适用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tabs>
                <w:tab w:val="left" w:pos="0"/>
              </w:tabs>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tabs>
                <w:tab w:val="left" w:pos="0"/>
              </w:tabs>
              <w:adjustRightInd w:val="0"/>
              <w:snapToGrid w:val="0"/>
              <w:jc w:val="center"/>
              <w:rPr>
                <w:rFonts w:ascii="Times New Roman" w:hAnsi="Times New Roman"/>
                <w:bCs/>
                <w:color w:val="auto"/>
              </w:rPr>
            </w:pPr>
            <w:r>
              <w:rPr>
                <w:rFonts w:ascii="Times New Roman" w:hAnsi="Times New Roman"/>
                <w:bCs/>
                <w:color w:val="auto"/>
              </w:rPr>
              <w:t>有效磷和水溶性磷占有效磷百分率</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15063—2020 复合肥料</w:t>
            </w:r>
          </w:p>
          <w:p>
            <w:pPr>
              <w:adjustRightInd w:val="0"/>
              <w:snapToGrid w:val="0"/>
              <w:jc w:val="left"/>
              <w:rPr>
                <w:rFonts w:ascii="Times New Roman" w:hAnsi="Times New Roman"/>
                <w:bCs/>
                <w:color w:val="auto"/>
              </w:rPr>
            </w:pPr>
            <w:r>
              <w:rPr>
                <w:rFonts w:ascii="Times New Roman" w:hAnsi="Times New Roman"/>
                <w:bCs/>
                <w:color w:val="auto"/>
              </w:rPr>
              <w:t>6.3.2</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电热恒温干燥箱</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（180±2）℃</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出厂检验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textAlignment w:val="baseline"/>
              <w:rPr>
                <w:rFonts w:ascii="Times New Roman" w:hAnsi="Times New Roman"/>
                <w:b/>
                <w:color w:val="auto"/>
              </w:rPr>
            </w:pPr>
          </w:p>
        </w:tc>
        <w:tc>
          <w:tcPr>
            <w:tcW w:w="993"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1705"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玻璃坩埚式滤器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4号，容积30mL</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textAlignment w:val="baseline"/>
              <w:rPr>
                <w:rFonts w:ascii="Times New Roman" w:hAnsi="Times New Roman"/>
                <w:b/>
                <w:color w:val="auto"/>
              </w:rPr>
            </w:pPr>
          </w:p>
        </w:tc>
        <w:tc>
          <w:tcPr>
            <w:tcW w:w="993"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1705"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恒温水浴振荡器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（60±2）℃</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textAlignment w:val="baseline"/>
              <w:rPr>
                <w:rFonts w:ascii="Times New Roman" w:hAnsi="Times New Roman"/>
                <w:b/>
                <w:color w:val="auto"/>
              </w:rPr>
            </w:pPr>
          </w:p>
        </w:tc>
        <w:tc>
          <w:tcPr>
            <w:tcW w:w="993"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1705"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textAlignment w:val="baseline"/>
              <w:rPr>
                <w:rFonts w:ascii="Times New Roman" w:hAnsi="Times New Roman"/>
                <w:b/>
                <w:color w:val="auto"/>
              </w:rPr>
            </w:pPr>
          </w:p>
        </w:tc>
        <w:tc>
          <w:tcPr>
            <w:tcW w:w="993"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1705"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超声波清洗仪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sz w:val="18"/>
              </w:rPr>
              <w:t>仅采用超声提取水溶磷时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textAlignment w:val="baseline"/>
              <w:rPr>
                <w:rFonts w:ascii="Times New Roman" w:hAnsi="Times New Roman"/>
                <w:b/>
                <w:color w:val="auto"/>
              </w:rPr>
            </w:pPr>
          </w:p>
        </w:tc>
        <w:tc>
          <w:tcPr>
            <w:tcW w:w="993"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1705"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等离子体发射光谱仪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sz w:val="18"/>
              </w:rPr>
              <w:t>仅采用等离子体发射光谱法时适用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textAlignment w:val="baseline"/>
              <w:rPr>
                <w:rFonts w:ascii="Times New Roman" w:hAnsi="Times New Roman"/>
                <w:b/>
                <w:color w:val="auto"/>
              </w:rPr>
            </w:pPr>
          </w:p>
        </w:tc>
        <w:tc>
          <w:tcPr>
            <w:tcW w:w="993"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1705" w:type="dxa"/>
            <w:vMerge w:val="continue"/>
            <w:tcMar>
              <w:top w:w="0" w:type="dxa"/>
              <w:left w:w="57" w:type="dxa"/>
              <w:bottom w:w="0" w:type="dxa"/>
              <w:right w:w="57" w:type="dxa"/>
            </w:tcMar>
            <w:vAlign w:val="center"/>
          </w:tcPr>
          <w:p>
            <w:pPr>
              <w:adjustRightInd w:val="0"/>
              <w:snapToGrid w:val="0"/>
              <w:jc w:val="left"/>
              <w:textAlignment w:val="baseline"/>
              <w:rPr>
                <w:rFonts w:ascii="Times New Roman" w:hAnsi="Times New Roman"/>
                <w:b/>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流动分析仪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w:t>
            </w:r>
          </w:p>
        </w:tc>
        <w:tc>
          <w:tcPr>
            <w:tcW w:w="709" w:type="dxa"/>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sz w:val="18"/>
              </w:rPr>
              <w:t>仅采用自动分析仪法时适用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rPr>
                <w:rFonts w:ascii="Times New Roman" w:hAnsi="Times New Roman" w:eastAsia="宋体"/>
                <w:bCs/>
                <w:color w:val="auto"/>
                <w:szCs w:val="21"/>
              </w:rPr>
            </w:pPr>
          </w:p>
        </w:tc>
        <w:tc>
          <w:tcPr>
            <w:tcW w:w="993" w:type="dxa"/>
            <w:vMerge w:val="restart"/>
            <w:tcMar>
              <w:top w:w="0" w:type="dxa"/>
              <w:left w:w="57" w:type="dxa"/>
              <w:bottom w:w="0" w:type="dxa"/>
              <w:right w:w="57" w:type="dxa"/>
            </w:tcMar>
            <w:vAlign w:val="center"/>
          </w:tcPr>
          <w:p>
            <w:pPr>
              <w:pStyle w:val="63"/>
              <w:snapToGrid w:val="0"/>
              <w:jc w:val="center"/>
              <w:rPr>
                <w:rFonts w:ascii="Times New Roman" w:hAnsi="Times New Roman" w:eastAsia="宋体"/>
                <w:bCs/>
                <w:color w:val="auto"/>
                <w:szCs w:val="21"/>
              </w:rPr>
            </w:pPr>
            <w:r>
              <w:rPr>
                <w:rFonts w:ascii="Times New Roman" w:hAnsi="Times New Roman" w:eastAsia="宋体"/>
                <w:bCs/>
                <w:color w:val="auto"/>
                <w:szCs w:val="21"/>
              </w:rPr>
              <w:t>氧化钾</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15063—2020 复合肥料</w:t>
            </w:r>
          </w:p>
          <w:p>
            <w:pPr>
              <w:adjustRightInd w:val="0"/>
              <w:snapToGrid w:val="0"/>
              <w:jc w:val="left"/>
              <w:rPr>
                <w:rFonts w:ascii="Times New Roman" w:hAnsi="Times New Roman"/>
                <w:bCs/>
                <w:color w:val="auto"/>
              </w:rPr>
            </w:pPr>
            <w:r>
              <w:rPr>
                <w:rFonts w:ascii="Times New Roman" w:hAnsi="Times New Roman"/>
                <w:bCs/>
                <w:color w:val="auto"/>
              </w:rPr>
              <w:t>6.3.3</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玻璃坩埚式滤器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4号，容积30mL</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出厂检验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rPr>
                <w:rFonts w:ascii="Times New Roman" w:hAnsi="Times New Roman" w:eastAsia="宋体"/>
                <w:b/>
                <w:color w:val="auto"/>
                <w:szCs w:val="21"/>
              </w:rPr>
            </w:pPr>
          </w:p>
        </w:tc>
        <w:tc>
          <w:tcPr>
            <w:tcW w:w="993" w:type="dxa"/>
            <w:vMerge w:val="continue"/>
            <w:tcMar>
              <w:top w:w="0" w:type="dxa"/>
              <w:left w:w="57" w:type="dxa"/>
              <w:bottom w:w="0" w:type="dxa"/>
              <w:right w:w="57" w:type="dxa"/>
            </w:tcMar>
            <w:vAlign w:val="center"/>
          </w:tcPr>
          <w:p>
            <w:pPr>
              <w:pStyle w:val="63"/>
              <w:snapToGrid w:val="0"/>
              <w:jc w:val="center"/>
              <w:rPr>
                <w:rFonts w:ascii="Times New Roman" w:hAnsi="Times New Roman" w:eastAsia="宋体"/>
                <w:b/>
                <w:color w:val="auto"/>
                <w:szCs w:val="21"/>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电热恒温干燥箱</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（120±5）℃</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流动分析仪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sz w:val="18"/>
              </w:rPr>
              <w:t>仅采用自动分析仪法时适用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火焰光度计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等离子体发射光谱仪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sz w:val="18"/>
              </w:rPr>
              <w:t>仅采用等离子体发射光谱法时适用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restart"/>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r>
              <w:rPr>
                <w:rFonts w:ascii="Times New Roman" w:hAnsi="Times New Roman" w:eastAsia="宋体"/>
                <w:bCs/>
                <w:color w:val="auto"/>
                <w:szCs w:val="21"/>
              </w:rPr>
              <w:t>硝态氮</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15063—2020 复合肥料</w:t>
            </w:r>
          </w:p>
          <w:p>
            <w:pPr>
              <w:adjustRightInd w:val="0"/>
              <w:snapToGrid w:val="0"/>
              <w:jc w:val="left"/>
              <w:rPr>
                <w:rFonts w:ascii="Times New Roman" w:hAnsi="Times New Roman"/>
                <w:bCs/>
                <w:color w:val="auto"/>
              </w:rPr>
            </w:pPr>
            <w:r>
              <w:rPr>
                <w:rFonts w:ascii="Times New Roman" w:hAnsi="Times New Roman"/>
                <w:bCs/>
                <w:color w:val="auto"/>
              </w:rPr>
              <w:t>6.4</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消化仪器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1000mL圆底蒸馏烧瓶（与蒸馏仪器配套）和梨形玻璃漏斗</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出厂检验</w:t>
            </w:r>
          </w:p>
        </w:tc>
        <w:tc>
          <w:tcPr>
            <w:tcW w:w="1121"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sz w:val="18"/>
              </w:rPr>
              <w:t>适用时（仅适用于含铵态氮和硝态氮的产品）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蒸馏仪器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消化加热装置</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蒸馏加热装置</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滴定管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50mL</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玻璃干锅式过滤器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4号、30ml</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sz w:val="18"/>
              </w:rPr>
              <w:t>仅采用氮试剂重量法时适用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干燥箱</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（110±2）℃</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振荡器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冰浴</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0℃-0.5℃</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流动分析仪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sz w:val="18"/>
              </w:rPr>
              <w:t>仅采用自动分析仪法时适用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紫外分光光度计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配1cm石英比色皿</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sz w:val="18"/>
              </w:rPr>
              <w:t>仅采用紫外分光光度法时适用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restart"/>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r>
              <w:rPr>
                <w:rFonts w:ascii="Times New Roman" w:hAnsi="Times New Roman" w:eastAsia="宋体"/>
                <w:bCs/>
                <w:color w:val="auto"/>
                <w:szCs w:val="21"/>
              </w:rPr>
              <w:t>水分</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15063—2020 复合肥料</w:t>
            </w:r>
          </w:p>
          <w:p>
            <w:pPr>
              <w:adjustRightInd w:val="0"/>
              <w:snapToGrid w:val="0"/>
              <w:jc w:val="left"/>
              <w:rPr>
                <w:rFonts w:ascii="Times New Roman" w:hAnsi="Times New Roman"/>
                <w:bCs/>
                <w:color w:val="auto"/>
              </w:rPr>
            </w:pPr>
            <w:r>
              <w:rPr>
                <w:rFonts w:ascii="Times New Roman" w:hAnsi="Times New Roman"/>
                <w:bCs/>
                <w:color w:val="auto"/>
              </w:rPr>
              <w:t>6.5</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电热恒温真空干燥箱（真空烘箱）</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（50±2）℃，真空度可控制在6.4×10</w:t>
            </w:r>
            <w:r>
              <w:rPr>
                <w:rFonts w:ascii="Times New Roman" w:hAnsi="Times New Roman"/>
                <w:bCs/>
                <w:color w:val="auto"/>
                <w:vertAlign w:val="superscript"/>
              </w:rPr>
              <w:t>4</w:t>
            </w:r>
            <w:r>
              <w:rPr>
                <w:rFonts w:ascii="Times New Roman" w:hAnsi="Times New Roman"/>
                <w:bCs/>
                <w:color w:val="auto"/>
              </w:rPr>
              <w:t>pa～7.1×10</w:t>
            </w:r>
            <w:r>
              <w:rPr>
                <w:rFonts w:ascii="Times New Roman" w:hAnsi="Times New Roman"/>
                <w:bCs/>
                <w:color w:val="auto"/>
                <w:vertAlign w:val="superscript"/>
              </w:rPr>
              <w:t>4</w:t>
            </w:r>
            <w:r>
              <w:rPr>
                <w:rFonts w:ascii="Times New Roman" w:hAnsi="Times New Roman"/>
                <w:bCs/>
                <w:color w:val="auto"/>
              </w:rPr>
              <w:t>pa</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出厂检验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Cs w:val="21"/>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带磨口塞称量瓶</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直径50mm，高度30mm</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Cs w:val="21"/>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Cs w:val="21"/>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卡尔费休仪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sz w:val="18"/>
              </w:rPr>
              <w:t>仅采用卡尔费休法时适用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restart"/>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r>
              <w:rPr>
                <w:rFonts w:ascii="Times New Roman" w:hAnsi="Times New Roman" w:eastAsia="宋体"/>
                <w:bCs/>
                <w:color w:val="auto"/>
                <w:szCs w:val="21"/>
              </w:rPr>
              <w:t>粒度</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15063—2020 复合肥料</w:t>
            </w:r>
          </w:p>
          <w:p>
            <w:pPr>
              <w:adjustRightInd w:val="0"/>
              <w:snapToGrid w:val="0"/>
              <w:jc w:val="left"/>
              <w:rPr>
                <w:rFonts w:ascii="Times New Roman" w:hAnsi="Times New Roman"/>
                <w:bCs/>
                <w:color w:val="auto"/>
              </w:rPr>
            </w:pPr>
            <w:r>
              <w:rPr>
                <w:rFonts w:ascii="Times New Roman" w:hAnsi="Times New Roman"/>
                <w:bCs/>
                <w:color w:val="auto"/>
              </w:rPr>
              <w:t>6.6</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试验筛</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孔径为1.00mm、4.75mm或3.35mm、5.60mm</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出厂检验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sz w:val="18"/>
              </w:rPr>
              <w:t>产品为特殊粒径的，需配备相应孔径的试验筛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感量为0.5g</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sz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restart"/>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r>
              <w:rPr>
                <w:rFonts w:ascii="Times New Roman" w:hAnsi="Times New Roman" w:eastAsia="宋体"/>
                <w:bCs/>
                <w:color w:val="auto"/>
                <w:szCs w:val="21"/>
              </w:rPr>
              <w:t>氯离子</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15063—2020 复合肥料</w:t>
            </w:r>
          </w:p>
          <w:p>
            <w:pPr>
              <w:adjustRightInd w:val="0"/>
              <w:snapToGrid w:val="0"/>
              <w:jc w:val="left"/>
              <w:rPr>
                <w:rFonts w:ascii="Times New Roman" w:hAnsi="Times New Roman"/>
                <w:bCs/>
                <w:color w:val="auto"/>
              </w:rPr>
            </w:pPr>
            <w:r>
              <w:rPr>
                <w:rFonts w:ascii="Times New Roman" w:hAnsi="Times New Roman"/>
                <w:bCs/>
                <w:color w:val="auto"/>
              </w:rPr>
              <w:t>6.7</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滴定管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50mL</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出厂检验</w:t>
            </w:r>
          </w:p>
        </w:tc>
        <w:tc>
          <w:tcPr>
            <w:tcW w:w="1121"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sz w:val="18"/>
              </w:rPr>
              <w:t>适用时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自动电位滴定仪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配有银电极</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sz w:val="18"/>
              </w:rPr>
              <w:t>采用自动电位滴定法时适用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restart"/>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r>
              <w:rPr>
                <w:rFonts w:ascii="Times New Roman" w:hAnsi="Times New Roman" w:eastAsia="宋体"/>
                <w:bCs/>
                <w:color w:val="auto"/>
                <w:szCs w:val="21"/>
              </w:rPr>
              <w:t>中量元素（有效钙、有效镁）</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15063—2020 复合肥料</w:t>
            </w:r>
          </w:p>
          <w:p>
            <w:pPr>
              <w:pStyle w:val="63"/>
              <w:snapToGrid w:val="0"/>
              <w:jc w:val="left"/>
              <w:textAlignment w:val="auto"/>
              <w:rPr>
                <w:rFonts w:ascii="Times New Roman" w:hAnsi="Times New Roman" w:eastAsia="宋体"/>
                <w:bCs/>
                <w:color w:val="auto"/>
                <w:szCs w:val="21"/>
              </w:rPr>
            </w:pPr>
            <w:r>
              <w:rPr>
                <w:rFonts w:ascii="Times New Roman" w:hAnsi="Times New Roman" w:eastAsia="宋体"/>
                <w:bCs/>
                <w:color w:val="auto"/>
                <w:szCs w:val="21"/>
              </w:rPr>
              <w:t>6.8</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出厂检验</w:t>
            </w:r>
          </w:p>
        </w:tc>
        <w:tc>
          <w:tcPr>
            <w:tcW w:w="1121"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sz w:val="18"/>
              </w:rPr>
              <w:t>适用时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恒温水浴振荡器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（30±2）℃</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超声波清洗仪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滴定管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bCs/>
                <w:color w:val="auto"/>
              </w:rPr>
              <w:t>50mL</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等离子体发射光谱仪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sz w:val="18"/>
              </w:rPr>
              <w:t>仅采用等离子体发射光谱法时适用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restart"/>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r>
              <w:rPr>
                <w:rFonts w:ascii="Times New Roman" w:hAnsi="Times New Roman" w:eastAsia="宋体"/>
                <w:bCs/>
                <w:color w:val="auto"/>
                <w:szCs w:val="21"/>
              </w:rPr>
              <w:t>中量元素（总硫）</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15063—2020 复合肥料</w:t>
            </w:r>
          </w:p>
          <w:p>
            <w:pPr>
              <w:adjustRightInd w:val="0"/>
              <w:snapToGrid w:val="0"/>
              <w:jc w:val="left"/>
              <w:rPr>
                <w:rFonts w:ascii="Times New Roman" w:hAnsi="Times New Roman"/>
                <w:bCs/>
                <w:color w:val="auto"/>
              </w:rPr>
            </w:pPr>
            <w:r>
              <w:rPr>
                <w:rFonts w:ascii="Times New Roman" w:hAnsi="Times New Roman"/>
                <w:bCs/>
                <w:color w:val="auto"/>
              </w:rPr>
              <w:t>6.8</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出厂检验</w:t>
            </w:r>
          </w:p>
        </w:tc>
        <w:tc>
          <w:tcPr>
            <w:tcW w:w="1121"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sz w:val="18"/>
              </w:rPr>
              <w:t>适用时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干燥箱</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（180±2）℃</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箱式电阻炉</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（800±50）℃</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sz w:val="18"/>
              </w:rPr>
              <w:t>仅采用灼烧法时适用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Cs w:val="21"/>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干燥箱</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（120±2）℃</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restart"/>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r>
              <w:rPr>
                <w:rFonts w:ascii="Times New Roman" w:hAnsi="Times New Roman" w:eastAsia="宋体"/>
                <w:bCs/>
                <w:color w:val="auto"/>
                <w:szCs w:val="21"/>
              </w:rPr>
              <w:t>微量元素（铜、铁、锰、锌）</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15063—2020 复合肥料</w:t>
            </w:r>
          </w:p>
          <w:p>
            <w:pPr>
              <w:pStyle w:val="63"/>
              <w:snapToGrid w:val="0"/>
              <w:jc w:val="left"/>
              <w:textAlignment w:val="auto"/>
              <w:rPr>
                <w:rFonts w:ascii="Times New Roman" w:hAnsi="Times New Roman" w:eastAsia="宋体"/>
                <w:bCs/>
                <w:color w:val="auto"/>
                <w:szCs w:val="21"/>
              </w:rPr>
            </w:pPr>
            <w:r>
              <w:rPr>
                <w:rFonts w:ascii="Times New Roman" w:hAnsi="Times New Roman" w:eastAsia="宋体"/>
                <w:bCs/>
                <w:color w:val="auto"/>
                <w:szCs w:val="21"/>
              </w:rPr>
              <w:t>6.9</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出厂检验</w:t>
            </w:r>
          </w:p>
        </w:tc>
        <w:tc>
          <w:tcPr>
            <w:tcW w:w="1121"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sz w:val="18"/>
              </w:rPr>
              <w:t>适用时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Cs w:val="21"/>
              </w:rPr>
            </w:pPr>
          </w:p>
        </w:tc>
        <w:tc>
          <w:tcPr>
            <w:tcW w:w="1846" w:type="dxa"/>
            <w:tcMar>
              <w:top w:w="0" w:type="dxa"/>
              <w:left w:w="57" w:type="dxa"/>
              <w:bottom w:w="0" w:type="dxa"/>
              <w:right w:w="57" w:type="dxa"/>
            </w:tcMar>
          </w:tcPr>
          <w:p>
            <w:pPr>
              <w:adjustRightInd w:val="0"/>
              <w:snapToGrid w:val="0"/>
              <w:jc w:val="center"/>
              <w:rPr>
                <w:rFonts w:ascii="Times New Roman" w:hAnsi="Times New Roman"/>
                <w:bCs/>
                <w:color w:val="auto"/>
              </w:rPr>
            </w:pPr>
            <w:r>
              <w:rPr>
                <w:rFonts w:ascii="Times New Roman" w:hAnsi="Times New Roman"/>
                <w:color w:val="auto"/>
              </w:rPr>
              <w:t>电热板</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1.8KW-2.4KW</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Cs w:val="21"/>
              </w:rPr>
            </w:pPr>
          </w:p>
        </w:tc>
        <w:tc>
          <w:tcPr>
            <w:tcW w:w="1846" w:type="dxa"/>
            <w:tcMar>
              <w:top w:w="0" w:type="dxa"/>
              <w:left w:w="57" w:type="dxa"/>
              <w:bottom w:w="0" w:type="dxa"/>
              <w:right w:w="57" w:type="dxa"/>
            </w:tcMar>
          </w:tcPr>
          <w:p>
            <w:pPr>
              <w:adjustRightInd w:val="0"/>
              <w:snapToGrid w:val="0"/>
              <w:jc w:val="center"/>
              <w:rPr>
                <w:rFonts w:ascii="Times New Roman" w:hAnsi="Times New Roman"/>
                <w:bCs/>
                <w:color w:val="auto"/>
              </w:rPr>
            </w:pPr>
            <w:r>
              <w:rPr>
                <w:rFonts w:ascii="Times New Roman" w:hAnsi="Times New Roman"/>
                <w:color w:val="auto"/>
              </w:rPr>
              <w:t>原子吸收分光光度计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配有空气-乙炔燃烧器和铜、铁、锰、锌空心阴极灯</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Cs w:val="21"/>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等离子体发射光谱仪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sz w:val="18"/>
              </w:rPr>
              <w:t>采用等离子体发射光谱法时适用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restart"/>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r>
              <w:rPr>
                <w:rFonts w:ascii="Times New Roman" w:hAnsi="Times New Roman" w:eastAsia="宋体"/>
                <w:bCs/>
                <w:color w:val="auto"/>
                <w:szCs w:val="21"/>
              </w:rPr>
              <w:t>微量元素（硼）</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15063—2020 复合肥料</w:t>
            </w:r>
          </w:p>
          <w:p>
            <w:pPr>
              <w:pStyle w:val="63"/>
              <w:snapToGrid w:val="0"/>
              <w:jc w:val="left"/>
              <w:textAlignment w:val="auto"/>
              <w:rPr>
                <w:rFonts w:ascii="Times New Roman" w:hAnsi="Times New Roman" w:eastAsia="宋体"/>
                <w:bCs/>
                <w:color w:val="auto"/>
                <w:szCs w:val="21"/>
              </w:rPr>
            </w:pPr>
            <w:r>
              <w:rPr>
                <w:rFonts w:ascii="Times New Roman" w:hAnsi="Times New Roman" w:eastAsia="宋体"/>
                <w:bCs/>
                <w:color w:val="auto"/>
                <w:szCs w:val="21"/>
              </w:rPr>
              <w:t>6.9</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出厂检验</w:t>
            </w:r>
          </w:p>
        </w:tc>
        <w:tc>
          <w:tcPr>
            <w:tcW w:w="1121"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sz w:val="18"/>
              </w:rPr>
              <w:t>适用时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聚四氟乙烯烧杯</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Cs w:val="21"/>
              </w:rPr>
            </w:pPr>
          </w:p>
        </w:tc>
        <w:tc>
          <w:tcPr>
            <w:tcW w:w="1846" w:type="dxa"/>
            <w:tcMar>
              <w:top w:w="0" w:type="dxa"/>
              <w:left w:w="57" w:type="dxa"/>
              <w:bottom w:w="0" w:type="dxa"/>
              <w:right w:w="57" w:type="dxa"/>
            </w:tcMar>
          </w:tcPr>
          <w:p>
            <w:pPr>
              <w:adjustRightInd w:val="0"/>
              <w:snapToGrid w:val="0"/>
              <w:jc w:val="center"/>
              <w:rPr>
                <w:rFonts w:ascii="Times New Roman" w:hAnsi="Times New Roman"/>
                <w:bCs/>
                <w:color w:val="auto"/>
              </w:rPr>
            </w:pPr>
            <w:r>
              <w:rPr>
                <w:rFonts w:ascii="Times New Roman" w:hAnsi="Times New Roman"/>
                <w:color w:val="auto"/>
              </w:rPr>
              <w:t>电热板</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1.8KW-2.4KW</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Cs w:val="21"/>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分光光度计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带有光程为1cm的石英吸收池</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Cs w:val="21"/>
              </w:rPr>
            </w:pPr>
          </w:p>
        </w:tc>
        <w:tc>
          <w:tcPr>
            <w:tcW w:w="1846" w:type="dxa"/>
            <w:tcMar>
              <w:top w:w="0" w:type="dxa"/>
              <w:left w:w="57" w:type="dxa"/>
              <w:bottom w:w="0" w:type="dxa"/>
              <w:right w:w="57" w:type="dxa"/>
            </w:tcMar>
          </w:tcPr>
          <w:p>
            <w:pPr>
              <w:adjustRightInd w:val="0"/>
              <w:snapToGrid w:val="0"/>
              <w:jc w:val="center"/>
              <w:rPr>
                <w:rFonts w:ascii="Times New Roman" w:hAnsi="Times New Roman"/>
                <w:bCs/>
                <w:color w:val="auto"/>
              </w:rPr>
            </w:pPr>
            <w:r>
              <w:rPr>
                <w:rFonts w:ascii="Times New Roman" w:hAnsi="Times New Roman"/>
                <w:color w:val="auto"/>
              </w:rPr>
              <w:t>酸度计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±0.02pH</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Cs w:val="21"/>
              </w:rPr>
            </w:pPr>
          </w:p>
        </w:tc>
        <w:tc>
          <w:tcPr>
            <w:tcW w:w="1846" w:type="dxa"/>
            <w:tcMar>
              <w:top w:w="0" w:type="dxa"/>
              <w:left w:w="57" w:type="dxa"/>
              <w:bottom w:w="0" w:type="dxa"/>
              <w:right w:w="57" w:type="dxa"/>
            </w:tcMar>
          </w:tcPr>
          <w:p>
            <w:pPr>
              <w:adjustRightInd w:val="0"/>
              <w:snapToGrid w:val="0"/>
              <w:jc w:val="center"/>
              <w:rPr>
                <w:rFonts w:ascii="Times New Roman" w:hAnsi="Times New Roman"/>
                <w:bCs/>
                <w:color w:val="auto"/>
              </w:rPr>
            </w:pPr>
            <w:r>
              <w:rPr>
                <w:rFonts w:ascii="Times New Roman" w:hAnsi="Times New Roman"/>
                <w:color w:val="auto"/>
              </w:rPr>
              <w:t>石英量瓶、石英吸管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Cs w:val="21"/>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等离子体发射光谱仪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sz w:val="18"/>
              </w:rPr>
              <w:t>采用等离子体发射光谱法时适用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restart"/>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r>
              <w:rPr>
                <w:rFonts w:ascii="Times New Roman" w:hAnsi="Times New Roman" w:eastAsia="宋体"/>
                <w:bCs/>
                <w:color w:val="auto"/>
                <w:szCs w:val="21"/>
              </w:rPr>
              <w:t>微量元素（钼）</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15063—2020 复合肥料</w:t>
            </w:r>
          </w:p>
          <w:p>
            <w:pPr>
              <w:pStyle w:val="63"/>
              <w:snapToGrid w:val="0"/>
              <w:jc w:val="left"/>
              <w:textAlignment w:val="auto"/>
              <w:rPr>
                <w:rFonts w:ascii="Times New Roman" w:hAnsi="Times New Roman" w:eastAsia="宋体"/>
                <w:bCs/>
                <w:color w:val="auto"/>
                <w:szCs w:val="21"/>
              </w:rPr>
            </w:pPr>
            <w:r>
              <w:rPr>
                <w:rFonts w:ascii="Times New Roman" w:hAnsi="Times New Roman" w:eastAsia="宋体"/>
                <w:bCs/>
                <w:color w:val="auto"/>
                <w:szCs w:val="21"/>
              </w:rPr>
              <w:t>6.9</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出厂检验</w:t>
            </w:r>
          </w:p>
        </w:tc>
        <w:tc>
          <w:tcPr>
            <w:tcW w:w="1121"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sz w:val="18"/>
              </w:rPr>
              <w:t>适用时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Cs w:val="21"/>
              </w:rPr>
            </w:pPr>
          </w:p>
        </w:tc>
        <w:tc>
          <w:tcPr>
            <w:tcW w:w="1846" w:type="dxa"/>
            <w:tcMar>
              <w:top w:w="0" w:type="dxa"/>
              <w:left w:w="57" w:type="dxa"/>
              <w:bottom w:w="0" w:type="dxa"/>
              <w:right w:w="57" w:type="dxa"/>
            </w:tcMar>
          </w:tcPr>
          <w:p>
            <w:pPr>
              <w:adjustRightInd w:val="0"/>
              <w:snapToGrid w:val="0"/>
              <w:jc w:val="center"/>
              <w:rPr>
                <w:rFonts w:ascii="Times New Roman" w:hAnsi="Times New Roman"/>
                <w:bCs/>
                <w:color w:val="auto"/>
              </w:rPr>
            </w:pPr>
            <w:r>
              <w:rPr>
                <w:rFonts w:ascii="Times New Roman" w:hAnsi="Times New Roman"/>
                <w:color w:val="auto"/>
              </w:rPr>
              <w:t>电热板</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1.8KW-2.4KW</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Cs w:val="21"/>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分光光度计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带有光程为1cm的吸收池</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Cs w:val="21"/>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等离子体发射光谱仪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sz w:val="18"/>
              </w:rPr>
              <w:t>采用等离子体发射光谱法时适用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restart"/>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r>
              <w:rPr>
                <w:rFonts w:ascii="Times New Roman" w:hAnsi="Times New Roman" w:eastAsia="宋体"/>
                <w:bCs/>
                <w:color w:val="auto"/>
                <w:szCs w:val="21"/>
              </w:rPr>
              <w:t>总镉、总铅、总铬</w:t>
            </w:r>
          </w:p>
        </w:tc>
        <w:tc>
          <w:tcPr>
            <w:tcW w:w="1705" w:type="dxa"/>
            <w:vMerge w:val="restart"/>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Cs w:val="21"/>
              </w:rPr>
            </w:pPr>
            <w:r>
              <w:rPr>
                <w:rFonts w:ascii="Times New Roman" w:hAnsi="Times New Roman" w:eastAsia="宋体"/>
                <w:bCs/>
                <w:color w:val="auto"/>
                <w:sz w:val="21"/>
                <w:szCs w:val="21"/>
              </w:rPr>
              <w:t>GB 38400—2019 肥料中有毒有害物质的限量要求5.7</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型式检验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Cs w:val="21"/>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原子吸收分光光度计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有背景校正装置</w:t>
            </w:r>
          </w:p>
          <w:p>
            <w:pPr>
              <w:adjustRightInd w:val="0"/>
              <w:snapToGrid w:val="0"/>
              <w:jc w:val="center"/>
              <w:rPr>
                <w:rFonts w:ascii="Times New Roman" w:hAnsi="Times New Roman"/>
                <w:color w:val="auto"/>
              </w:rPr>
            </w:pPr>
            <w:r>
              <w:rPr>
                <w:rFonts w:ascii="Times New Roman" w:hAnsi="Times New Roman"/>
                <w:color w:val="auto"/>
              </w:rPr>
              <w:t>配有镉、铅、铬空心阴极灯和空气－乙炔燃烧器或石墨炉</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Cs w:val="21"/>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bCs/>
                <w:color w:val="auto"/>
              </w:rPr>
              <w:t>等离子体发射光谱仪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sz w:val="18"/>
              </w:rPr>
              <w:t>采用等离子体发射光谱法时适用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rPr>
                <w:rFonts w:ascii="Times New Roman" w:hAnsi="Times New Roman" w:eastAsia="宋体"/>
                <w:bCs/>
                <w:color w:val="auto"/>
                <w:szCs w:val="21"/>
              </w:rPr>
            </w:pPr>
          </w:p>
        </w:tc>
        <w:tc>
          <w:tcPr>
            <w:tcW w:w="993" w:type="dxa"/>
            <w:vMerge w:val="restart"/>
            <w:tcMar>
              <w:top w:w="0" w:type="dxa"/>
              <w:left w:w="57" w:type="dxa"/>
              <w:bottom w:w="0" w:type="dxa"/>
              <w:right w:w="57" w:type="dxa"/>
            </w:tcMar>
            <w:vAlign w:val="center"/>
          </w:tcPr>
          <w:p>
            <w:pPr>
              <w:pStyle w:val="63"/>
              <w:snapToGrid w:val="0"/>
              <w:jc w:val="center"/>
              <w:rPr>
                <w:rFonts w:ascii="Times New Roman" w:hAnsi="Times New Roman" w:eastAsia="宋体"/>
                <w:bCs/>
                <w:color w:val="auto"/>
                <w:szCs w:val="21"/>
              </w:rPr>
            </w:pPr>
            <w:r>
              <w:rPr>
                <w:rFonts w:ascii="Times New Roman" w:hAnsi="Times New Roman" w:eastAsia="宋体"/>
                <w:bCs/>
                <w:color w:val="auto"/>
                <w:szCs w:val="21"/>
              </w:rPr>
              <w:t>总汞</w:t>
            </w:r>
          </w:p>
        </w:tc>
        <w:tc>
          <w:tcPr>
            <w:tcW w:w="1705"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Cs w:val="21"/>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型式检验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Cs w:val="21"/>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原子吸收分光光度计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配有氢化物发生器、汞空心阴极灯</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Cs w:val="21"/>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原子荧光光谱</w:t>
            </w:r>
            <w:r>
              <w:rPr>
                <w:rFonts w:ascii="Times New Roman" w:hAnsi="Times New Roman"/>
                <w:bCs/>
                <w:color w:val="auto"/>
              </w:rPr>
              <w:t>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sz w:val="18"/>
              </w:rPr>
              <w:t>采用原子荧光光谱法时适用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Cs w:val="21"/>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bCs/>
                <w:color w:val="auto"/>
              </w:rPr>
              <w:t>等离子体发射光谱仪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sz w:val="18"/>
              </w:rPr>
              <w:t>采用等离子体发射光谱法时适用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rPr>
                <w:rFonts w:ascii="Times New Roman" w:hAnsi="Times New Roman" w:eastAsia="宋体"/>
                <w:bCs/>
                <w:color w:val="auto"/>
                <w:szCs w:val="21"/>
              </w:rPr>
            </w:pPr>
          </w:p>
        </w:tc>
        <w:tc>
          <w:tcPr>
            <w:tcW w:w="993" w:type="dxa"/>
            <w:vMerge w:val="restart"/>
            <w:tcMar>
              <w:top w:w="0" w:type="dxa"/>
              <w:left w:w="57" w:type="dxa"/>
              <w:bottom w:w="0" w:type="dxa"/>
              <w:right w:w="57" w:type="dxa"/>
            </w:tcMar>
            <w:vAlign w:val="center"/>
          </w:tcPr>
          <w:p>
            <w:pPr>
              <w:pStyle w:val="63"/>
              <w:snapToGrid w:val="0"/>
              <w:jc w:val="center"/>
              <w:rPr>
                <w:rFonts w:ascii="Times New Roman" w:hAnsi="Times New Roman" w:eastAsia="宋体"/>
                <w:bCs/>
                <w:color w:val="auto"/>
                <w:szCs w:val="21"/>
              </w:rPr>
            </w:pPr>
            <w:r>
              <w:rPr>
                <w:rFonts w:ascii="Times New Roman" w:hAnsi="Times New Roman" w:eastAsia="宋体"/>
                <w:bCs/>
                <w:color w:val="auto"/>
                <w:szCs w:val="21"/>
              </w:rPr>
              <w:t>总砷</w:t>
            </w:r>
          </w:p>
        </w:tc>
        <w:tc>
          <w:tcPr>
            <w:tcW w:w="1705"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Cs w:val="21"/>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型式检验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Cs w:val="21"/>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定砷仪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Cs w:val="21"/>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分光光度计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1cm吸收池</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Cs w:val="21"/>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原子荧光光谱</w:t>
            </w:r>
            <w:r>
              <w:rPr>
                <w:rFonts w:ascii="Times New Roman" w:hAnsi="Times New Roman"/>
                <w:bCs/>
                <w:color w:val="auto"/>
              </w:rPr>
              <w:t>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sz w:val="18"/>
              </w:rPr>
              <w:t>采用原子荧光光谱法时适用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Cs w:val="21"/>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bCs/>
                <w:color w:val="auto"/>
              </w:rPr>
              <w:t>等离子体发射光谱仪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sz w:val="18"/>
              </w:rPr>
              <w:t>采用等离子体发射光谱法时适用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rPr>
                <w:rFonts w:ascii="Times New Roman" w:hAnsi="Times New Roman" w:eastAsia="宋体"/>
                <w:bCs/>
                <w:color w:val="auto"/>
                <w:szCs w:val="21"/>
              </w:rPr>
            </w:pPr>
          </w:p>
        </w:tc>
        <w:tc>
          <w:tcPr>
            <w:tcW w:w="993" w:type="dxa"/>
            <w:vMerge w:val="restart"/>
            <w:tcMar>
              <w:top w:w="0" w:type="dxa"/>
              <w:left w:w="57" w:type="dxa"/>
              <w:bottom w:w="0" w:type="dxa"/>
              <w:right w:w="57" w:type="dxa"/>
            </w:tcMar>
            <w:vAlign w:val="center"/>
          </w:tcPr>
          <w:p>
            <w:pPr>
              <w:pStyle w:val="63"/>
              <w:snapToGrid w:val="0"/>
              <w:jc w:val="center"/>
              <w:rPr>
                <w:rFonts w:ascii="Times New Roman" w:hAnsi="Times New Roman" w:eastAsia="宋体"/>
                <w:bCs/>
                <w:color w:val="auto"/>
                <w:szCs w:val="21"/>
              </w:rPr>
            </w:pPr>
            <w:r>
              <w:rPr>
                <w:rFonts w:ascii="Times New Roman" w:hAnsi="Times New Roman" w:eastAsia="宋体"/>
                <w:bCs/>
                <w:color w:val="auto"/>
                <w:szCs w:val="21"/>
              </w:rPr>
              <w:t>总铊</w:t>
            </w:r>
          </w:p>
        </w:tc>
        <w:tc>
          <w:tcPr>
            <w:tcW w:w="1705" w:type="dxa"/>
            <w:vMerge w:val="restart"/>
            <w:tcMar>
              <w:top w:w="0" w:type="dxa"/>
              <w:left w:w="57" w:type="dxa"/>
              <w:bottom w:w="0" w:type="dxa"/>
              <w:right w:w="57" w:type="dxa"/>
            </w:tcMar>
            <w:vAlign w:val="center"/>
          </w:tcPr>
          <w:p>
            <w:pPr>
              <w:pStyle w:val="63"/>
              <w:snapToGrid w:val="0"/>
              <w:jc w:val="left"/>
              <w:rPr>
                <w:rFonts w:ascii="Times New Roman" w:hAnsi="Times New Roman" w:eastAsia="宋体"/>
                <w:bCs/>
                <w:color w:val="auto"/>
                <w:sz w:val="21"/>
                <w:szCs w:val="21"/>
              </w:rPr>
            </w:pPr>
            <w:r>
              <w:rPr>
                <w:rFonts w:ascii="Times New Roman" w:hAnsi="Times New Roman" w:eastAsia="宋体"/>
                <w:bCs/>
                <w:color w:val="auto"/>
                <w:sz w:val="21"/>
                <w:szCs w:val="21"/>
              </w:rPr>
              <w:t>GB 38400—2019 肥料中有毒有害物质的限量要求5.8</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型式检验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 w:val="21"/>
                <w:szCs w:val="21"/>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等离子体发射光谱仪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restart"/>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r>
              <w:rPr>
                <w:rFonts w:ascii="Times New Roman" w:hAnsi="Times New Roman" w:eastAsia="宋体"/>
                <w:bCs/>
                <w:color w:val="auto"/>
                <w:szCs w:val="21"/>
              </w:rPr>
              <w:t>缩二脲</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 38400—2019 肥料中有毒有害物质的限量要求5.9</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电热恒温干燥箱</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（105±2）℃</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型式检验</w:t>
            </w:r>
          </w:p>
        </w:tc>
        <w:tc>
          <w:tcPr>
            <w:tcW w:w="1121" w:type="dxa"/>
            <w:vMerge w:val="restart"/>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sz w:val="18"/>
              </w:rPr>
              <w:t>适用时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Cs w:val="21"/>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超声波清洗器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Cs w:val="21"/>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恒温水浴</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（30±5）℃</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Cs w:val="21"/>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分光光度计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可在550nm处测量</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pStyle w:val="63"/>
              <w:snapToGrid w:val="0"/>
              <w:jc w:val="center"/>
              <w:textAlignment w:val="auto"/>
              <w:rPr>
                <w:rFonts w:ascii="Times New Roman" w:hAnsi="Times New Roman" w:eastAsia="宋体"/>
                <w:bCs/>
                <w:color w:val="auto"/>
                <w:szCs w:val="21"/>
              </w:rPr>
            </w:pPr>
          </w:p>
        </w:tc>
        <w:tc>
          <w:tcPr>
            <w:tcW w:w="993" w:type="dxa"/>
            <w:vMerge w:val="continue"/>
            <w:tcMar>
              <w:top w:w="0" w:type="dxa"/>
              <w:left w:w="57" w:type="dxa"/>
              <w:bottom w:w="0" w:type="dxa"/>
              <w:right w:w="57" w:type="dxa"/>
            </w:tcMar>
            <w:vAlign w:val="center"/>
          </w:tcPr>
          <w:p>
            <w:pPr>
              <w:pStyle w:val="63"/>
              <w:snapToGrid w:val="0"/>
              <w:jc w:val="center"/>
              <w:textAlignment w:val="auto"/>
              <w:rPr>
                <w:rFonts w:ascii="Times New Roman" w:hAnsi="Times New Roman" w:eastAsia="宋体"/>
                <w:bCs/>
                <w:color w:val="auto"/>
                <w:szCs w:val="21"/>
              </w:rPr>
            </w:pPr>
          </w:p>
        </w:tc>
        <w:tc>
          <w:tcPr>
            <w:tcW w:w="1705" w:type="dxa"/>
            <w:vMerge w:val="continue"/>
            <w:tcMar>
              <w:top w:w="0" w:type="dxa"/>
              <w:left w:w="57" w:type="dxa"/>
              <w:bottom w:w="0" w:type="dxa"/>
              <w:right w:w="57" w:type="dxa"/>
            </w:tcMar>
            <w:vAlign w:val="center"/>
          </w:tcPr>
          <w:p>
            <w:pPr>
              <w:pStyle w:val="63"/>
              <w:snapToGrid w:val="0"/>
              <w:jc w:val="left"/>
              <w:textAlignment w:val="auto"/>
              <w:rPr>
                <w:rFonts w:ascii="Times New Roman" w:hAnsi="Times New Roman" w:eastAsia="宋体"/>
                <w:bCs/>
                <w:color w:val="auto"/>
                <w:szCs w:val="21"/>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高效液相色谱仪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带紫外检测器</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color w:val="auto"/>
                <w:sz w:val="18"/>
              </w:rPr>
            </w:pPr>
            <w:r>
              <w:rPr>
                <w:rFonts w:ascii="Times New Roman" w:hAnsi="Times New Roman"/>
                <w:color w:val="auto"/>
                <w:sz w:val="18"/>
              </w:rPr>
              <w:t>采用液相色谱法时适用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6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restart"/>
            <w:vAlign w:val="center"/>
          </w:tcPr>
          <w:p>
            <w:pPr>
              <w:adjustRightInd w:val="0"/>
              <w:snapToGrid w:val="0"/>
              <w:jc w:val="center"/>
              <w:rPr>
                <w:rFonts w:ascii="Times New Roman" w:hAnsi="Times New Roman"/>
                <w:bCs/>
                <w:color w:val="auto"/>
              </w:rPr>
            </w:pPr>
            <w:r>
              <w:rPr>
                <w:rFonts w:ascii="Times New Roman" w:hAnsi="Times New Roman"/>
                <w:bCs/>
                <w:color w:val="auto"/>
              </w:rPr>
              <w:t>硝基复合肥</w:t>
            </w: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硫（S）的质量分数</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HG/T 4851—2016 硝基复合肥料 5.9</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出厂检验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6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干燥箱</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温度可控制在（120±2）℃或(和)（180±2）℃</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6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箱式电阻炉</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温度可控制在（800±50）℃</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适用时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6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玻璃坩埚式滤器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4号,容积30mL</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其他项目</w:t>
            </w:r>
          </w:p>
        </w:tc>
        <w:tc>
          <w:tcPr>
            <w:tcW w:w="1705" w:type="dxa"/>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15063—2020 复合肥料 6.3-6.9</w:t>
            </w:r>
          </w:p>
          <w:p>
            <w:pPr>
              <w:adjustRightInd w:val="0"/>
              <w:snapToGrid w:val="0"/>
              <w:jc w:val="left"/>
              <w:rPr>
                <w:rFonts w:ascii="Times New Roman" w:hAnsi="Times New Roman"/>
                <w:bCs/>
                <w:color w:val="auto"/>
              </w:rPr>
            </w:pPr>
            <w:r>
              <w:rPr>
                <w:rFonts w:ascii="Times New Roman" w:hAnsi="Times New Roman"/>
                <w:bCs/>
                <w:color w:val="auto"/>
              </w:rPr>
              <w:t>GB 38400—2019肥料中有毒有害物质的限量要求 5.7-5.9</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见标准相关规定</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见标准相关规定</w:t>
            </w:r>
          </w:p>
        </w:tc>
        <w:tc>
          <w:tcPr>
            <w:tcW w:w="70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符合产品标准要求</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符合产品标准要求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88"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restart"/>
            <w:vAlign w:val="center"/>
          </w:tcPr>
          <w:p>
            <w:pPr>
              <w:adjustRightInd w:val="0"/>
              <w:snapToGrid w:val="0"/>
              <w:jc w:val="center"/>
              <w:rPr>
                <w:rFonts w:ascii="Times New Roman" w:hAnsi="Times New Roman"/>
                <w:bCs/>
                <w:color w:val="auto"/>
              </w:rPr>
            </w:pPr>
            <w:r>
              <w:rPr>
                <w:rFonts w:ascii="Times New Roman" w:hAnsi="Times New Roman"/>
                <w:bCs/>
                <w:color w:val="auto"/>
              </w:rPr>
              <w:t>缓释复合肥料</w:t>
            </w: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初期养分释放率</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23348—2009 缓释肥料 6.7</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生化恒温培养箱</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温度可以控制在(25±1)℃、 (40±1)℃</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出厂检验</w:t>
            </w:r>
          </w:p>
        </w:tc>
        <w:tc>
          <w:tcPr>
            <w:tcW w:w="1121"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86"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凯氏定氮仪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86"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火焰光度计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86"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电导率仪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86"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分光光度计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156"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28天累积养分释放率</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23348—2009 缓释肥料 6.7</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生化恒温培养箱</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温度可以控制在(25±1)℃、 (40±1)℃</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型式检验</w:t>
            </w:r>
          </w:p>
        </w:tc>
        <w:tc>
          <w:tcPr>
            <w:tcW w:w="1121"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156"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凯氏定氮仪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156"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火焰光度计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156"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电导率仪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156"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分光光度计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其他项目</w:t>
            </w:r>
          </w:p>
        </w:tc>
        <w:tc>
          <w:tcPr>
            <w:tcW w:w="1705" w:type="dxa"/>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15063—2020 复合肥料 6.3-6.9</w:t>
            </w:r>
          </w:p>
          <w:p>
            <w:pPr>
              <w:adjustRightInd w:val="0"/>
              <w:snapToGrid w:val="0"/>
              <w:jc w:val="left"/>
              <w:rPr>
                <w:rFonts w:ascii="Times New Roman" w:hAnsi="Times New Roman"/>
                <w:bCs/>
                <w:color w:val="auto"/>
              </w:rPr>
            </w:pPr>
            <w:r>
              <w:rPr>
                <w:rFonts w:ascii="Times New Roman" w:hAnsi="Times New Roman"/>
                <w:bCs/>
                <w:color w:val="auto"/>
              </w:rPr>
              <w:t>GB 38400—2019 肥料中有毒有害物质的限量要求 5.7-5.9</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见标准相关规定</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见标准相关规定</w:t>
            </w:r>
          </w:p>
        </w:tc>
        <w:tc>
          <w:tcPr>
            <w:tcW w:w="70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符合产品标准要求</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符合产品标准要求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106"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restart"/>
            <w:vAlign w:val="center"/>
          </w:tcPr>
          <w:p>
            <w:pPr>
              <w:adjustRightInd w:val="0"/>
              <w:snapToGrid w:val="0"/>
              <w:jc w:val="center"/>
              <w:rPr>
                <w:rFonts w:ascii="Times New Roman" w:hAnsi="Times New Roman"/>
                <w:bCs/>
                <w:color w:val="auto"/>
              </w:rPr>
            </w:pPr>
            <w:r>
              <w:rPr>
                <w:rFonts w:ascii="Times New Roman" w:hAnsi="Times New Roman"/>
                <w:bCs/>
                <w:color w:val="auto"/>
              </w:rPr>
              <w:t>控释复合肥料</w:t>
            </w: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初期养分释放率</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HG/T 4215—2011 控释肥料6.7</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生化恒温培养箱</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温度可以控制在(15±1)℃、 (25±1)℃、(60±1)℃</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出厂检验</w:t>
            </w:r>
          </w:p>
        </w:tc>
        <w:tc>
          <w:tcPr>
            <w:tcW w:w="1121"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103"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凯氏定氮仪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103"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火焰光度计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103"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电导率仪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103"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分光光度计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156"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28天累积养分释放率</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HG/T 4215—2011 控释肥料6.7</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生化恒温培养箱</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温度可以控制在(15±1)℃、 (25±1)℃、(60±1)℃</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出厂检验</w:t>
            </w:r>
          </w:p>
        </w:tc>
        <w:tc>
          <w:tcPr>
            <w:tcW w:w="1121"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156"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凯氏定氮仪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156"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火焰光度计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156"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电导率仪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156"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分光光度计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其他项目</w:t>
            </w:r>
          </w:p>
        </w:tc>
        <w:tc>
          <w:tcPr>
            <w:tcW w:w="1705" w:type="dxa"/>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15063—2020 复合肥料 6.3-6.9</w:t>
            </w:r>
          </w:p>
          <w:p>
            <w:pPr>
              <w:adjustRightInd w:val="0"/>
              <w:snapToGrid w:val="0"/>
              <w:jc w:val="left"/>
              <w:rPr>
                <w:rFonts w:ascii="Times New Roman" w:hAnsi="Times New Roman"/>
                <w:bCs/>
                <w:color w:val="auto"/>
              </w:rPr>
            </w:pPr>
            <w:r>
              <w:rPr>
                <w:rFonts w:ascii="Times New Roman" w:hAnsi="Times New Roman"/>
                <w:bCs/>
                <w:color w:val="auto"/>
              </w:rPr>
              <w:t>GB 38400—2019 肥料中有毒有害物质的限量要求 5.7-5.9</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见标准相关规定</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见标准相关规定</w:t>
            </w:r>
          </w:p>
        </w:tc>
        <w:tc>
          <w:tcPr>
            <w:tcW w:w="70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符合产品标准要求</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符合产品标准要求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92"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restart"/>
            <w:vAlign w:val="center"/>
          </w:tcPr>
          <w:p>
            <w:pPr>
              <w:adjustRightInd w:val="0"/>
              <w:snapToGrid w:val="0"/>
              <w:jc w:val="center"/>
              <w:rPr>
                <w:rFonts w:ascii="Times New Roman" w:hAnsi="Times New Roman"/>
                <w:bCs/>
                <w:color w:val="auto"/>
              </w:rPr>
            </w:pPr>
            <w:r>
              <w:rPr>
                <w:rFonts w:ascii="Times New Roman" w:hAnsi="Times New Roman"/>
                <w:bCs/>
                <w:color w:val="auto"/>
              </w:rPr>
              <w:t>硫包衣缓释复合肥料</w:t>
            </w: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缓释氮养分量</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29401—2020 硫包衣尿素 6.4</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消化仪器</w:t>
            </w:r>
          </w:p>
        </w:tc>
        <w:tc>
          <w:tcPr>
            <w:tcW w:w="1989" w:type="dxa"/>
            <w:vAlign w:val="center"/>
          </w:tcPr>
          <w:p>
            <w:pPr>
              <w:adjustRightInd w:val="0"/>
              <w:snapToGrid w:val="0"/>
              <w:jc w:val="center"/>
              <w:rPr>
                <w:rFonts w:ascii="Times New Roman" w:hAnsi="Times New Roman"/>
                <w:bCs/>
                <w:color w:val="auto"/>
              </w:rPr>
            </w:pPr>
            <w:r>
              <w:rPr>
                <w:rFonts w:ascii="Times New Roman" w:hAnsi="Times New Roman"/>
                <w:bCs/>
                <w:color w:val="auto"/>
              </w:rPr>
              <w:t>1000mL圆底蒸馏烧瓶（与蒸馏仪器配套）和梨形玻璃漏斗</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出厂检验</w:t>
            </w:r>
          </w:p>
        </w:tc>
        <w:tc>
          <w:tcPr>
            <w:tcW w:w="1121"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86"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蒸馏仪器</w:t>
            </w:r>
          </w:p>
        </w:tc>
        <w:tc>
          <w:tcPr>
            <w:tcW w:w="1989" w:type="dxa"/>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86"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消化加热装置</w:t>
            </w:r>
          </w:p>
        </w:tc>
        <w:tc>
          <w:tcPr>
            <w:tcW w:w="1989" w:type="dxa"/>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86"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86"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蒸馏加热装置</w:t>
            </w:r>
          </w:p>
        </w:tc>
        <w:tc>
          <w:tcPr>
            <w:tcW w:w="1989" w:type="dxa"/>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86"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滴定管</w:t>
            </w:r>
          </w:p>
        </w:tc>
        <w:tc>
          <w:tcPr>
            <w:tcW w:w="1989" w:type="dxa"/>
            <w:vAlign w:val="center"/>
          </w:tcPr>
          <w:p>
            <w:pPr>
              <w:adjustRightInd w:val="0"/>
              <w:snapToGrid w:val="0"/>
              <w:jc w:val="center"/>
              <w:rPr>
                <w:rFonts w:ascii="Times New Roman" w:hAnsi="Times New Roman"/>
                <w:bCs/>
                <w:color w:val="auto"/>
              </w:rPr>
            </w:pPr>
            <w:r>
              <w:rPr>
                <w:rFonts w:ascii="Times New Roman" w:hAnsi="Times New Roman"/>
                <w:bCs/>
                <w:color w:val="auto"/>
              </w:rPr>
              <w:t>50mL</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86"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自动定氮仪</w:t>
            </w:r>
          </w:p>
        </w:tc>
        <w:tc>
          <w:tcPr>
            <w:tcW w:w="1989" w:type="dxa"/>
            <w:vAlign w:val="center"/>
          </w:tcPr>
          <w:p>
            <w:pPr>
              <w:adjustRightInd w:val="0"/>
              <w:snapToGrid w:val="0"/>
              <w:jc w:val="center"/>
              <w:rPr>
                <w:rFonts w:ascii="Times New Roman" w:hAnsi="Times New Roman"/>
                <w:bCs/>
                <w:color w:val="auto"/>
              </w:rPr>
            </w:pPr>
            <w:r>
              <w:rPr>
                <w:rFonts w:ascii="Times New Roman" w:hAnsi="Times New Roman"/>
                <w:bCs/>
                <w:color w:val="auto"/>
              </w:rPr>
              <w:t>具有凯氏蒸馏、自动滴定功能，最小滴定单位为 0.01 mL</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86"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流动分析仪</w:t>
            </w:r>
          </w:p>
        </w:tc>
        <w:tc>
          <w:tcPr>
            <w:tcW w:w="1989" w:type="dxa"/>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86"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杜马斯定氮仪</w:t>
            </w:r>
          </w:p>
        </w:tc>
        <w:tc>
          <w:tcPr>
            <w:tcW w:w="1989" w:type="dxa"/>
            <w:vAlign w:val="center"/>
          </w:tcPr>
          <w:p>
            <w:pPr>
              <w:adjustRightInd w:val="0"/>
              <w:snapToGrid w:val="0"/>
              <w:jc w:val="center"/>
              <w:rPr>
                <w:rFonts w:ascii="Times New Roman" w:hAnsi="Times New Roman"/>
                <w:bCs/>
                <w:color w:val="auto"/>
              </w:rPr>
            </w:pPr>
            <w:r>
              <w:rPr>
                <w:rFonts w:ascii="Times New Roman" w:hAnsi="Times New Roman"/>
                <w:bCs/>
                <w:color w:val="auto"/>
              </w:rPr>
              <w:t>配有热导检测器</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86"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恒温箱</w:t>
            </w:r>
          </w:p>
        </w:tc>
        <w:tc>
          <w:tcPr>
            <w:tcW w:w="1989" w:type="dxa"/>
            <w:vAlign w:val="center"/>
          </w:tcPr>
          <w:p>
            <w:pPr>
              <w:adjustRightInd w:val="0"/>
              <w:snapToGrid w:val="0"/>
              <w:jc w:val="center"/>
              <w:rPr>
                <w:rFonts w:ascii="Times New Roman" w:hAnsi="Times New Roman"/>
                <w:bCs/>
                <w:color w:val="auto"/>
              </w:rPr>
            </w:pPr>
            <w:r>
              <w:rPr>
                <w:rFonts w:ascii="Times New Roman" w:hAnsi="Times New Roman"/>
                <w:bCs/>
                <w:color w:val="auto"/>
              </w:rPr>
              <w:t>（38±1）℃</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86"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硫</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29401—2020 硫包衣尿素 6.5</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玻璃坩埚式滤器</w:t>
            </w:r>
          </w:p>
        </w:tc>
        <w:tc>
          <w:tcPr>
            <w:tcW w:w="1989" w:type="dxa"/>
            <w:vAlign w:val="center"/>
          </w:tcPr>
          <w:p>
            <w:pPr>
              <w:adjustRightInd w:val="0"/>
              <w:snapToGrid w:val="0"/>
              <w:jc w:val="center"/>
              <w:rPr>
                <w:rFonts w:ascii="Times New Roman" w:hAnsi="Times New Roman"/>
                <w:bCs/>
                <w:color w:val="auto"/>
              </w:rPr>
            </w:pPr>
            <w:r>
              <w:rPr>
                <w:rFonts w:ascii="Times New Roman" w:hAnsi="Times New Roman"/>
                <w:bCs/>
                <w:color w:val="auto"/>
              </w:rPr>
              <w:t>4号,容积30mL</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型式检验</w:t>
            </w:r>
          </w:p>
        </w:tc>
        <w:tc>
          <w:tcPr>
            <w:tcW w:w="1121"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86"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干燥箱</w:t>
            </w:r>
          </w:p>
        </w:tc>
        <w:tc>
          <w:tcPr>
            <w:tcW w:w="1989" w:type="dxa"/>
            <w:vAlign w:val="center"/>
          </w:tcPr>
          <w:p>
            <w:pPr>
              <w:adjustRightInd w:val="0"/>
              <w:snapToGrid w:val="0"/>
              <w:jc w:val="center"/>
              <w:rPr>
                <w:rFonts w:ascii="Times New Roman" w:hAnsi="Times New Roman"/>
                <w:bCs/>
                <w:color w:val="auto"/>
              </w:rPr>
            </w:pPr>
            <w:r>
              <w:rPr>
                <w:rFonts w:ascii="Times New Roman" w:hAnsi="Times New Roman"/>
                <w:bCs/>
                <w:color w:val="auto"/>
              </w:rPr>
              <w:t>温度可控制在（100±2）℃</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其他项目</w:t>
            </w:r>
          </w:p>
        </w:tc>
        <w:tc>
          <w:tcPr>
            <w:tcW w:w="1705" w:type="dxa"/>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15063—2020 复合肥料 6.3-6.9</w:t>
            </w:r>
          </w:p>
          <w:p>
            <w:pPr>
              <w:adjustRightInd w:val="0"/>
              <w:snapToGrid w:val="0"/>
              <w:jc w:val="left"/>
              <w:rPr>
                <w:rFonts w:ascii="Times New Roman" w:hAnsi="Times New Roman"/>
                <w:bCs/>
                <w:color w:val="auto"/>
              </w:rPr>
            </w:pPr>
            <w:r>
              <w:rPr>
                <w:rFonts w:ascii="Times New Roman" w:hAnsi="Times New Roman"/>
                <w:bCs/>
                <w:color w:val="auto"/>
              </w:rPr>
              <w:t>GB 38400—2019 肥料中有毒有害物质的限量要求 5.7-5.9</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见标准相关规定</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见标准相关规定</w:t>
            </w:r>
          </w:p>
        </w:tc>
        <w:tc>
          <w:tcPr>
            <w:tcW w:w="70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符合产品标准要求</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符合产品标准要求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restart"/>
            <w:vAlign w:val="center"/>
          </w:tcPr>
          <w:p>
            <w:pPr>
              <w:adjustRightInd w:val="0"/>
              <w:snapToGrid w:val="0"/>
              <w:jc w:val="center"/>
              <w:rPr>
                <w:rFonts w:ascii="Times New Roman" w:hAnsi="Times New Roman"/>
                <w:bCs/>
                <w:color w:val="auto"/>
              </w:rPr>
            </w:pPr>
            <w:r>
              <w:rPr>
                <w:rFonts w:ascii="Times New Roman" w:hAnsi="Times New Roman"/>
                <w:bCs/>
                <w:color w:val="auto"/>
              </w:rPr>
              <w:t>脲醛缓释复合肥料</w:t>
            </w: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缓释有效氮的质量分数</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34763—2017 脲醛缓释肥料 5.8</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出厂检验</w:t>
            </w:r>
          </w:p>
        </w:tc>
        <w:tc>
          <w:tcPr>
            <w:tcW w:w="1121"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水浴</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（40±2）℃</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振荡器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往复式，频率60次/min</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蒸馏仪器及加热装置</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按GB/T 8572配置,磨口连接处应涂硅脂密封</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其他项目</w:t>
            </w:r>
          </w:p>
        </w:tc>
        <w:tc>
          <w:tcPr>
            <w:tcW w:w="1705" w:type="dxa"/>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15063—2020 复合肥料 6.3-6.9</w:t>
            </w:r>
          </w:p>
          <w:p>
            <w:pPr>
              <w:adjustRightInd w:val="0"/>
              <w:snapToGrid w:val="0"/>
              <w:jc w:val="left"/>
              <w:rPr>
                <w:rFonts w:ascii="Times New Roman" w:hAnsi="Times New Roman"/>
                <w:bCs/>
                <w:color w:val="auto"/>
              </w:rPr>
            </w:pPr>
            <w:r>
              <w:rPr>
                <w:rFonts w:ascii="Times New Roman" w:hAnsi="Times New Roman"/>
                <w:bCs/>
                <w:color w:val="auto"/>
              </w:rPr>
              <w:t>GB 38400—2019 肥料中有毒有害物质的限量要求 5.7-5.9</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见标准相关规定</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见标准相关规定</w:t>
            </w:r>
          </w:p>
        </w:tc>
        <w:tc>
          <w:tcPr>
            <w:tcW w:w="70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符合产品标准要求</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符合产品标准要求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restart"/>
            <w:vAlign w:val="center"/>
          </w:tcPr>
          <w:p>
            <w:pPr>
              <w:adjustRightInd w:val="0"/>
              <w:snapToGrid w:val="0"/>
              <w:jc w:val="center"/>
              <w:rPr>
                <w:rFonts w:ascii="Times New Roman" w:hAnsi="Times New Roman"/>
                <w:bCs/>
                <w:color w:val="auto"/>
              </w:rPr>
            </w:pPr>
            <w:r>
              <w:rPr>
                <w:rFonts w:ascii="Times New Roman" w:hAnsi="Times New Roman"/>
                <w:bCs/>
                <w:color w:val="auto"/>
              </w:rPr>
              <w:t>稳定性复合肥料</w:t>
            </w: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尿素残留差异率</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35113—2017 稳定性肥料5.2.4.4</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分光光度计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型式检验</w:t>
            </w:r>
          </w:p>
        </w:tc>
        <w:tc>
          <w:tcPr>
            <w:tcW w:w="1121"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恒温培养振荡器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空气式或水浴式均可,转速≥180r/min</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硝化抑制率</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35113—2017 稳定性肥料5.3</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分光光度计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型式检验</w:t>
            </w:r>
          </w:p>
        </w:tc>
        <w:tc>
          <w:tcPr>
            <w:tcW w:w="1121"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恒温培养振荡器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空气式或水浴式均可,转速≥180r/min</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氮含量测定蒸馏装置</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微量滴定管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最小分度值为0.01mL</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其他项目</w:t>
            </w:r>
          </w:p>
        </w:tc>
        <w:tc>
          <w:tcPr>
            <w:tcW w:w="1705" w:type="dxa"/>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15063—2020 复合肥料 6.3-6.9</w:t>
            </w:r>
          </w:p>
          <w:p>
            <w:pPr>
              <w:adjustRightInd w:val="0"/>
              <w:snapToGrid w:val="0"/>
              <w:jc w:val="left"/>
              <w:rPr>
                <w:rFonts w:ascii="Times New Roman" w:hAnsi="Times New Roman"/>
                <w:bCs/>
                <w:color w:val="auto"/>
              </w:rPr>
            </w:pPr>
            <w:r>
              <w:rPr>
                <w:rFonts w:ascii="Times New Roman" w:hAnsi="Times New Roman"/>
                <w:bCs/>
                <w:color w:val="auto"/>
              </w:rPr>
              <w:t>GB 38400—2019 肥料中有毒有害物质的限量要求 5.7-5.9</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见标准相关规定</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见标准相关规定</w:t>
            </w:r>
          </w:p>
        </w:tc>
        <w:tc>
          <w:tcPr>
            <w:tcW w:w="70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符合产品标准要求</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符合产品标准要求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restart"/>
            <w:vAlign w:val="center"/>
          </w:tcPr>
          <w:p>
            <w:pPr>
              <w:adjustRightInd w:val="0"/>
              <w:snapToGrid w:val="0"/>
              <w:jc w:val="center"/>
              <w:rPr>
                <w:rFonts w:ascii="Times New Roman" w:hAnsi="Times New Roman"/>
                <w:bCs/>
                <w:color w:val="auto"/>
              </w:rPr>
            </w:pPr>
            <w:r>
              <w:rPr>
                <w:rFonts w:ascii="Times New Roman" w:hAnsi="Times New Roman"/>
                <w:bCs/>
                <w:color w:val="auto"/>
              </w:rPr>
              <w:t>无机包裹型复合肥料</w:t>
            </w: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缓释氮占总氮的质量分数</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HG/T 4217—2011 无机包裹型复混肥料</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出厂检验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抽提管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长度为250mm玻璃管，内径10mm，外径12mm，在一端收缩为（3-4）mm</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其他项目</w:t>
            </w:r>
          </w:p>
        </w:tc>
        <w:tc>
          <w:tcPr>
            <w:tcW w:w="1705" w:type="dxa"/>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15063—2020 复合肥料 6.3-6.9</w:t>
            </w:r>
          </w:p>
          <w:p>
            <w:pPr>
              <w:adjustRightInd w:val="0"/>
              <w:snapToGrid w:val="0"/>
              <w:jc w:val="left"/>
              <w:rPr>
                <w:rFonts w:ascii="Times New Roman" w:hAnsi="Times New Roman"/>
                <w:bCs/>
                <w:color w:val="auto"/>
              </w:rPr>
            </w:pPr>
            <w:r>
              <w:rPr>
                <w:rFonts w:ascii="Times New Roman" w:hAnsi="Times New Roman"/>
                <w:bCs/>
                <w:color w:val="auto"/>
              </w:rPr>
              <w:t>GB 38400—2019 肥料中有毒有害物质的限量要求 5.7-5.9</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见标准相关规定</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见标准相关规定</w:t>
            </w:r>
          </w:p>
        </w:tc>
        <w:tc>
          <w:tcPr>
            <w:tcW w:w="70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符合产品标准要求</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符合产品标准要求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restart"/>
            <w:vAlign w:val="center"/>
          </w:tcPr>
          <w:p>
            <w:pPr>
              <w:adjustRightInd w:val="0"/>
              <w:snapToGrid w:val="0"/>
              <w:jc w:val="center"/>
              <w:rPr>
                <w:rFonts w:ascii="Times New Roman" w:hAnsi="Times New Roman"/>
                <w:bCs/>
                <w:color w:val="auto"/>
              </w:rPr>
            </w:pPr>
            <w:r>
              <w:rPr>
                <w:rFonts w:ascii="Times New Roman" w:hAnsi="Times New Roman"/>
                <w:bCs/>
                <w:color w:val="auto"/>
              </w:rPr>
              <w:t>腐植酸复合肥料</w:t>
            </w: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活化腐植酸含量</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HG/T 5046—2016 腐植酸复合肥料5.7</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精度0.001g</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出厂检验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水浴恒温振荡器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温度控制范围在室温~100℃；转速振幅启动0r/min~50r/min</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水环真空泵</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玻璃层析柱</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30mm×300mm，标准磨口24，G3砂芯，聚四氟活塞</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玻璃储液瓶</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V=500mL，标准磨口24</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离心机</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最低转速2000r/min，离心杯容积大于400mL</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滤纸</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中速定性滤纸</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pH计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精度±0.01pH单位</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总腐植酸含量</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HG/T 5046—2016 腐植酸复合肥料5.8</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水浴恒温振荡器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温度控制范围在室温~100℃；转速振幅启动0r/min~50r/min</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出厂检验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离心机</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最低转速2000r/min，离心杯容积大于400mL</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滤纸</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中速定性滤纸</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pH计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精度±0.01pH单位</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旋转蒸发仪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V=1000mL</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水环真空泵</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玻璃层析住</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30mm×300mm，标准磨口24，G3砂芯，聚四氟活塞</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玻璃储液瓶</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V=500mL，标准磨口24</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其他项目</w:t>
            </w:r>
          </w:p>
        </w:tc>
        <w:tc>
          <w:tcPr>
            <w:tcW w:w="1705" w:type="dxa"/>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15063—2020 复合肥料 6.3-6.9</w:t>
            </w:r>
          </w:p>
          <w:p>
            <w:pPr>
              <w:adjustRightInd w:val="0"/>
              <w:snapToGrid w:val="0"/>
              <w:jc w:val="left"/>
              <w:rPr>
                <w:rFonts w:ascii="Times New Roman" w:hAnsi="Times New Roman"/>
                <w:bCs/>
                <w:color w:val="auto"/>
              </w:rPr>
            </w:pPr>
            <w:r>
              <w:rPr>
                <w:rFonts w:ascii="Times New Roman" w:hAnsi="Times New Roman"/>
                <w:bCs/>
                <w:color w:val="auto"/>
              </w:rPr>
              <w:t>GB 38400—2019 肥料中有毒有害物质的限量要求 5.7-5.9</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见标准相关规定</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见标准相关规定</w:t>
            </w:r>
          </w:p>
        </w:tc>
        <w:tc>
          <w:tcPr>
            <w:tcW w:w="70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符合产品标准要求</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符合产品标准要求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restart"/>
            <w:vAlign w:val="center"/>
          </w:tcPr>
          <w:p>
            <w:pPr>
              <w:adjustRightInd w:val="0"/>
              <w:snapToGrid w:val="0"/>
              <w:jc w:val="center"/>
              <w:rPr>
                <w:rFonts w:ascii="Times New Roman" w:hAnsi="Times New Roman"/>
                <w:bCs/>
                <w:color w:val="auto"/>
              </w:rPr>
            </w:pPr>
            <w:r>
              <w:rPr>
                <w:rFonts w:ascii="Times New Roman" w:hAnsi="Times New Roman"/>
                <w:bCs/>
                <w:color w:val="auto"/>
              </w:rPr>
              <w:t>海藻酸复合肥料</w:t>
            </w: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海藻酸的质量分数</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HG/T 5050—2016 海藻酸类肥料6.5</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精度0.001g</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出厂检验</w:t>
            </w:r>
          </w:p>
        </w:tc>
        <w:tc>
          <w:tcPr>
            <w:tcW w:w="1121"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分光光度计: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带光程为1cm的吸收池，可在520nm波长处测量</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氨挥发抑制率</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HG/T 5050—2016 海藻酸类肥料6.6</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恒温水浴锅</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型式检验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适用时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气泵</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适用时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其他项目</w:t>
            </w:r>
          </w:p>
        </w:tc>
        <w:tc>
          <w:tcPr>
            <w:tcW w:w="1705" w:type="dxa"/>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15063—2020 复合肥料 6.3-6.9</w:t>
            </w:r>
          </w:p>
          <w:p>
            <w:pPr>
              <w:adjustRightInd w:val="0"/>
              <w:snapToGrid w:val="0"/>
              <w:jc w:val="left"/>
              <w:rPr>
                <w:rFonts w:ascii="Times New Roman" w:hAnsi="Times New Roman"/>
                <w:bCs/>
                <w:color w:val="auto"/>
              </w:rPr>
            </w:pPr>
            <w:r>
              <w:rPr>
                <w:rFonts w:ascii="Times New Roman" w:hAnsi="Times New Roman"/>
                <w:bCs/>
                <w:color w:val="auto"/>
              </w:rPr>
              <w:t>GB 38400—2019 肥料中有毒有害物质的限量要求 5.7-5.9</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见标准相关规定</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见标准相关规定</w:t>
            </w:r>
          </w:p>
        </w:tc>
        <w:tc>
          <w:tcPr>
            <w:tcW w:w="70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符合产品标准要求</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符合产品标准要求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restart"/>
            <w:vAlign w:val="center"/>
          </w:tcPr>
          <w:p>
            <w:pPr>
              <w:adjustRightInd w:val="0"/>
              <w:snapToGrid w:val="0"/>
              <w:jc w:val="center"/>
              <w:rPr>
                <w:rFonts w:ascii="Times New Roman" w:hAnsi="Times New Roman"/>
                <w:bCs/>
                <w:color w:val="auto"/>
              </w:rPr>
            </w:pPr>
            <w:r>
              <w:rPr>
                <w:rFonts w:ascii="Times New Roman" w:hAnsi="Times New Roman"/>
                <w:bCs/>
                <w:color w:val="auto"/>
              </w:rPr>
              <w:t>含硫酸脲复合肥料</w:t>
            </w: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酰胺态氮占总氮的百分率</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HG/T 5516—2019 含硫酸脲复合肥料5.6</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精度0.001g</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出厂检验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分光光度计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pH</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HG/T 5516—2019 含硫酸脲复合肥料5.11</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精度0.001g</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出厂检验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355"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pH计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灵敏度为0.01pH单位</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氨挥发氮占总氮的百分率</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HG/T 5516—2019 含硫酸脲复合肥料5.8</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精度0.001g</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出厂检验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分光光度计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恒温箱</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可控温度（40±1）℃</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扩散皿</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外室内径90mm，高度22mm，内室内径45mm，高度14mm</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其他项目</w:t>
            </w:r>
          </w:p>
        </w:tc>
        <w:tc>
          <w:tcPr>
            <w:tcW w:w="1705" w:type="dxa"/>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15063—2020 复合肥料 6.3-6.9</w:t>
            </w:r>
          </w:p>
          <w:p>
            <w:pPr>
              <w:adjustRightInd w:val="0"/>
              <w:snapToGrid w:val="0"/>
              <w:jc w:val="left"/>
              <w:rPr>
                <w:rFonts w:ascii="Times New Roman" w:hAnsi="Times New Roman"/>
                <w:bCs/>
                <w:color w:val="auto"/>
              </w:rPr>
            </w:pPr>
            <w:r>
              <w:rPr>
                <w:rFonts w:ascii="Times New Roman" w:hAnsi="Times New Roman"/>
                <w:bCs/>
                <w:color w:val="auto"/>
              </w:rPr>
              <w:t>GB 38400—2019 肥料中有毒有害物质的限量要求 5.7-5.9</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见标准相关规定</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见标准相关规定</w:t>
            </w:r>
          </w:p>
        </w:tc>
        <w:tc>
          <w:tcPr>
            <w:tcW w:w="70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符合产品标准要求</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符合产品标准要求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2</w:t>
            </w:r>
          </w:p>
        </w:tc>
        <w:tc>
          <w:tcPr>
            <w:tcW w:w="708"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掺混</w:t>
            </w:r>
          </w:p>
          <w:p>
            <w:pPr>
              <w:adjustRightInd w:val="0"/>
              <w:snapToGrid w:val="0"/>
              <w:jc w:val="center"/>
              <w:rPr>
                <w:rFonts w:ascii="Times New Roman" w:hAnsi="Times New Roman"/>
                <w:bCs/>
                <w:color w:val="auto"/>
              </w:rPr>
            </w:pPr>
            <w:r>
              <w:rPr>
                <w:rFonts w:ascii="Times New Roman" w:hAnsi="Times New Roman"/>
                <w:bCs/>
                <w:color w:val="auto"/>
              </w:rPr>
              <w:t>肥料</w:t>
            </w:r>
          </w:p>
        </w:tc>
        <w:tc>
          <w:tcPr>
            <w:tcW w:w="993" w:type="dxa"/>
            <w:vMerge w:val="restart"/>
            <w:vAlign w:val="center"/>
          </w:tcPr>
          <w:p>
            <w:pPr>
              <w:adjustRightInd w:val="0"/>
              <w:snapToGrid w:val="0"/>
              <w:jc w:val="center"/>
              <w:rPr>
                <w:rFonts w:ascii="Times New Roman" w:hAnsi="Times New Roman"/>
                <w:bCs/>
                <w:color w:val="auto"/>
              </w:rPr>
            </w:pPr>
            <w:r>
              <w:rPr>
                <w:rFonts w:ascii="Times New Roman" w:hAnsi="Times New Roman"/>
                <w:bCs/>
                <w:color w:val="auto"/>
              </w:rPr>
              <w:t>掺混肥料</w:t>
            </w: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总氮</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21633—2020 掺混肥料（BB肥）</w:t>
            </w:r>
          </w:p>
          <w:p>
            <w:pPr>
              <w:adjustRightInd w:val="0"/>
              <w:snapToGrid w:val="0"/>
              <w:jc w:val="left"/>
              <w:rPr>
                <w:rFonts w:ascii="Times New Roman" w:hAnsi="Times New Roman"/>
                <w:bCs/>
                <w:color w:val="auto"/>
              </w:rPr>
            </w:pPr>
            <w:r>
              <w:rPr>
                <w:rFonts w:ascii="Times New Roman" w:hAnsi="Times New Roman"/>
                <w:bCs/>
                <w:color w:val="auto"/>
              </w:rPr>
              <w:t>6.3.1</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消化仪器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1000mL圆底蒸馏烧瓶（与蒸馏仪器配套）和梨形玻璃漏斗</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出厂检验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蒸馏仪器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消化加热装置</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蒸馏加热装置</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滴定管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50mL</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自动定氮仪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具有凯氏蒸馏、自动滴定功能，最小滴定单位为 0.01 mL</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仅采用自动分析仪法（定氮仪法）时适用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流动分析仪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仅采用自动分析仪法（流动分析仪法）时适用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杜马斯定氮仪</w:t>
            </w:r>
          </w:p>
          <w:p>
            <w:pPr>
              <w:adjustRightInd w:val="0"/>
              <w:snapToGrid w:val="0"/>
              <w:jc w:val="center"/>
              <w:rPr>
                <w:rFonts w:ascii="Times New Roman" w:hAnsi="Times New Roman"/>
                <w:bCs/>
                <w:color w:val="auto"/>
              </w:rPr>
            </w:pPr>
            <w:r>
              <w:rPr>
                <w:rFonts w:ascii="Times New Roman" w:hAnsi="Times New Roman"/>
                <w:bCs/>
                <w:color w:val="auto"/>
              </w:rPr>
              <w:t>（配有热导检测器）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仅采用杜马斯燃烧法时适用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有效磷和水溶性磷占有效磷百分率</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21633—2020 掺混肥料（BB肥）</w:t>
            </w:r>
          </w:p>
          <w:p>
            <w:pPr>
              <w:adjustRightInd w:val="0"/>
              <w:snapToGrid w:val="0"/>
              <w:jc w:val="left"/>
              <w:rPr>
                <w:rFonts w:ascii="Times New Roman" w:hAnsi="Times New Roman"/>
                <w:bCs/>
                <w:color w:val="auto"/>
              </w:rPr>
            </w:pPr>
            <w:r>
              <w:rPr>
                <w:rFonts w:ascii="Times New Roman" w:hAnsi="Times New Roman"/>
                <w:bCs/>
                <w:color w:val="auto"/>
              </w:rPr>
              <w:t>6.3.2</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电热恒温干燥箱</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（180±2）℃</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出厂检验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玻璃坩埚式滤器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4号，容积30mL</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恒温水浴振荡器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（60±2）℃</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超声波清洗仪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仅采用超声提取水溶磷时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等离子体发射光谱仪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采用等离子体发射光谱法测定有效磷含量时适用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流动分析仪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仅采用自动分析仪法时适用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氧化钾</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21633—2020 掺混肥料（BB肥）</w:t>
            </w:r>
          </w:p>
          <w:p>
            <w:pPr>
              <w:adjustRightInd w:val="0"/>
              <w:snapToGrid w:val="0"/>
              <w:jc w:val="left"/>
              <w:rPr>
                <w:rFonts w:ascii="Times New Roman" w:hAnsi="Times New Roman"/>
                <w:bCs/>
                <w:color w:val="auto"/>
              </w:rPr>
            </w:pPr>
            <w:r>
              <w:rPr>
                <w:rFonts w:ascii="Times New Roman" w:hAnsi="Times New Roman"/>
                <w:bCs/>
                <w:color w:val="auto"/>
              </w:rPr>
              <w:t>6.3.3</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玻璃坩埚式滤器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4号，容积30mL</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出厂检验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电热恒温干燥箱</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（120±5）℃</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流动分析仪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仅采用自动分析仪法时适用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火焰光度计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等离子体发射光谱仪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仅采用等离子体发射光谱法时适用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水分</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21633—2020 掺混肥料（BB肥）</w:t>
            </w:r>
          </w:p>
          <w:p>
            <w:pPr>
              <w:adjustRightInd w:val="0"/>
              <w:snapToGrid w:val="0"/>
              <w:jc w:val="left"/>
              <w:rPr>
                <w:rFonts w:ascii="Times New Roman" w:hAnsi="Times New Roman"/>
                <w:bCs/>
                <w:color w:val="auto"/>
              </w:rPr>
            </w:pPr>
            <w:r>
              <w:rPr>
                <w:rFonts w:ascii="Times New Roman" w:hAnsi="Times New Roman"/>
                <w:bCs/>
                <w:color w:val="auto"/>
              </w:rPr>
              <w:t>6.4</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电热恒温真空干燥箱（真空烘箱）</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（50±2）℃，真空度可控制在6.4×104pa～7.1×104pa</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出厂检验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带磨口塞称量瓶</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直径50mm，高度30mm</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卡尔费休仪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仅采用卡尔费休法时适用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粒度</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21633—2020 掺混肥料（BB肥）</w:t>
            </w:r>
          </w:p>
          <w:p>
            <w:pPr>
              <w:adjustRightInd w:val="0"/>
              <w:snapToGrid w:val="0"/>
              <w:jc w:val="left"/>
              <w:rPr>
                <w:rFonts w:ascii="Times New Roman" w:hAnsi="Times New Roman"/>
                <w:bCs/>
                <w:color w:val="auto"/>
              </w:rPr>
            </w:pPr>
            <w:r>
              <w:rPr>
                <w:rFonts w:ascii="Times New Roman" w:hAnsi="Times New Roman"/>
                <w:bCs/>
                <w:color w:val="auto"/>
              </w:rPr>
              <w:t>6.5</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试验筛</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孔径为2.00mm和4.75mm</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出厂检验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感量为0.5g</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氯离子</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21633—2020 掺混肥料（BB肥）</w:t>
            </w:r>
          </w:p>
          <w:p>
            <w:pPr>
              <w:adjustRightInd w:val="0"/>
              <w:snapToGrid w:val="0"/>
              <w:jc w:val="left"/>
              <w:rPr>
                <w:rFonts w:ascii="Times New Roman" w:hAnsi="Times New Roman"/>
                <w:bCs/>
                <w:color w:val="auto"/>
              </w:rPr>
            </w:pPr>
            <w:r>
              <w:rPr>
                <w:rFonts w:ascii="Times New Roman" w:hAnsi="Times New Roman"/>
                <w:bCs/>
                <w:color w:val="auto"/>
              </w:rPr>
              <w:t>6.6</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滴定管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50mL</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出厂检验</w:t>
            </w:r>
          </w:p>
        </w:tc>
        <w:tc>
          <w:tcPr>
            <w:tcW w:w="1121"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适用时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自动电位滴定仪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配有银电极</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采用自动电位滴定法时适用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中量元素（有效钙、有效镁）</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21633—2020 掺混肥料（BB肥）</w:t>
            </w:r>
          </w:p>
          <w:p>
            <w:pPr>
              <w:adjustRightInd w:val="0"/>
              <w:snapToGrid w:val="0"/>
              <w:jc w:val="left"/>
              <w:rPr>
                <w:rFonts w:ascii="Times New Roman" w:hAnsi="Times New Roman"/>
                <w:bCs/>
                <w:color w:val="auto"/>
              </w:rPr>
            </w:pPr>
            <w:r>
              <w:rPr>
                <w:rFonts w:ascii="Times New Roman" w:hAnsi="Times New Roman"/>
                <w:bCs/>
                <w:color w:val="auto"/>
              </w:rPr>
              <w:t>6.7</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出厂检验</w:t>
            </w:r>
          </w:p>
        </w:tc>
        <w:tc>
          <w:tcPr>
            <w:tcW w:w="1121"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适用时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恒温水浴振荡器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（30±2）℃</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超声波清洗仪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滴定管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50mL</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等离子体发射光谱仪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仅采用等离子体发射光谱法时适用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中量元素（总硫）</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21633—2020 掺混肥料（BB肥）</w:t>
            </w:r>
          </w:p>
          <w:p>
            <w:pPr>
              <w:adjustRightInd w:val="0"/>
              <w:snapToGrid w:val="0"/>
              <w:jc w:val="left"/>
              <w:rPr>
                <w:rFonts w:ascii="Times New Roman" w:hAnsi="Times New Roman"/>
                <w:bCs/>
                <w:color w:val="auto"/>
              </w:rPr>
            </w:pPr>
            <w:r>
              <w:rPr>
                <w:rFonts w:ascii="Times New Roman" w:hAnsi="Times New Roman"/>
                <w:bCs/>
                <w:color w:val="auto"/>
              </w:rPr>
              <w:t>6.7</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出厂检验</w:t>
            </w:r>
          </w:p>
        </w:tc>
        <w:tc>
          <w:tcPr>
            <w:tcW w:w="1121"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适用时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干燥箱</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（180±2）℃</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箱式电阻炉</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（800±50）℃</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仅采用灼烧法时适用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干燥箱</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（120±2）℃</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微量元素（铜、铁、锰、锌）</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21633—2020 掺混肥料（BB肥）</w:t>
            </w:r>
          </w:p>
          <w:p>
            <w:pPr>
              <w:adjustRightInd w:val="0"/>
              <w:snapToGrid w:val="0"/>
              <w:jc w:val="left"/>
              <w:rPr>
                <w:rFonts w:ascii="Times New Roman" w:hAnsi="Times New Roman"/>
                <w:bCs/>
                <w:color w:val="auto"/>
              </w:rPr>
            </w:pPr>
            <w:r>
              <w:rPr>
                <w:rFonts w:ascii="Times New Roman" w:hAnsi="Times New Roman"/>
                <w:bCs/>
                <w:color w:val="auto"/>
              </w:rPr>
              <w:t>6.8</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出厂检验</w:t>
            </w:r>
          </w:p>
        </w:tc>
        <w:tc>
          <w:tcPr>
            <w:tcW w:w="1121"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适用时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tcPr>
          <w:p>
            <w:pPr>
              <w:adjustRightInd w:val="0"/>
              <w:snapToGrid w:val="0"/>
              <w:jc w:val="center"/>
              <w:rPr>
                <w:rFonts w:ascii="Times New Roman" w:hAnsi="Times New Roman"/>
                <w:bCs/>
                <w:color w:val="auto"/>
              </w:rPr>
            </w:pPr>
            <w:r>
              <w:rPr>
                <w:rFonts w:ascii="Times New Roman" w:hAnsi="Times New Roman"/>
                <w:bCs/>
                <w:color w:val="auto"/>
              </w:rPr>
              <w:t>电热板</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1.8KW-2.4KW</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tcPr>
          <w:p>
            <w:pPr>
              <w:adjustRightInd w:val="0"/>
              <w:snapToGrid w:val="0"/>
              <w:jc w:val="center"/>
              <w:rPr>
                <w:rFonts w:ascii="Times New Roman" w:hAnsi="Times New Roman"/>
                <w:bCs/>
                <w:color w:val="auto"/>
              </w:rPr>
            </w:pPr>
            <w:r>
              <w:rPr>
                <w:rFonts w:ascii="Times New Roman" w:hAnsi="Times New Roman"/>
                <w:bCs/>
                <w:color w:val="auto"/>
              </w:rPr>
              <w:t>原子吸收分光光度计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配有空气-乙炔燃烧器和铜、铁、锰、锌空心阴极灯</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等离子体发射光谱仪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采用等离子体发射光谱法时适用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微量元素（硼）</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21633—2020 掺混肥料（BB肥）</w:t>
            </w:r>
          </w:p>
          <w:p>
            <w:pPr>
              <w:adjustRightInd w:val="0"/>
              <w:snapToGrid w:val="0"/>
              <w:jc w:val="left"/>
              <w:rPr>
                <w:rFonts w:ascii="Times New Roman" w:hAnsi="Times New Roman"/>
                <w:bCs/>
                <w:color w:val="auto"/>
              </w:rPr>
            </w:pPr>
            <w:r>
              <w:rPr>
                <w:rFonts w:ascii="Times New Roman" w:hAnsi="Times New Roman"/>
                <w:bCs/>
                <w:color w:val="auto"/>
              </w:rPr>
              <w:t>6.8</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出厂检验</w:t>
            </w:r>
          </w:p>
        </w:tc>
        <w:tc>
          <w:tcPr>
            <w:tcW w:w="1121"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适用时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聚四氟乙烯烧杯</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tcPr>
          <w:p>
            <w:pPr>
              <w:adjustRightInd w:val="0"/>
              <w:snapToGrid w:val="0"/>
              <w:jc w:val="center"/>
              <w:rPr>
                <w:rFonts w:ascii="Times New Roman" w:hAnsi="Times New Roman"/>
                <w:bCs/>
                <w:color w:val="auto"/>
              </w:rPr>
            </w:pPr>
            <w:r>
              <w:rPr>
                <w:rFonts w:ascii="Times New Roman" w:hAnsi="Times New Roman"/>
                <w:bCs/>
                <w:color w:val="auto"/>
              </w:rPr>
              <w:t>电热板</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1.8KW-2.4KW</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分光光度计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带有光程为1cm的石英吸收池</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tcPr>
          <w:p>
            <w:pPr>
              <w:adjustRightInd w:val="0"/>
              <w:snapToGrid w:val="0"/>
              <w:jc w:val="center"/>
              <w:rPr>
                <w:rFonts w:ascii="Times New Roman" w:hAnsi="Times New Roman"/>
                <w:bCs/>
                <w:color w:val="auto"/>
              </w:rPr>
            </w:pPr>
            <w:r>
              <w:rPr>
                <w:rFonts w:ascii="Times New Roman" w:hAnsi="Times New Roman"/>
                <w:bCs/>
                <w:color w:val="auto"/>
              </w:rPr>
              <w:t>酸度计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±0.02pH</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tcPr>
          <w:p>
            <w:pPr>
              <w:adjustRightInd w:val="0"/>
              <w:snapToGrid w:val="0"/>
              <w:jc w:val="center"/>
              <w:rPr>
                <w:rFonts w:ascii="Times New Roman" w:hAnsi="Times New Roman"/>
                <w:bCs/>
                <w:color w:val="auto"/>
              </w:rPr>
            </w:pPr>
            <w:r>
              <w:rPr>
                <w:rFonts w:ascii="Times New Roman" w:hAnsi="Times New Roman"/>
                <w:bCs/>
                <w:color w:val="auto"/>
              </w:rPr>
              <w:t>石英量瓶、石英吸管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等离子体发射光谱仪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采用等离子体发射光谱法时适用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微量元素（钼）</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21633—2020 掺混肥料（BB肥）</w:t>
            </w:r>
          </w:p>
          <w:p>
            <w:pPr>
              <w:adjustRightInd w:val="0"/>
              <w:snapToGrid w:val="0"/>
              <w:jc w:val="left"/>
              <w:rPr>
                <w:rFonts w:ascii="Times New Roman" w:hAnsi="Times New Roman"/>
                <w:bCs/>
                <w:color w:val="auto"/>
              </w:rPr>
            </w:pPr>
            <w:r>
              <w:rPr>
                <w:rFonts w:ascii="Times New Roman" w:hAnsi="Times New Roman"/>
                <w:bCs/>
                <w:color w:val="auto"/>
              </w:rPr>
              <w:t>6.8</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出厂检验</w:t>
            </w:r>
          </w:p>
        </w:tc>
        <w:tc>
          <w:tcPr>
            <w:tcW w:w="1121"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适用时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tcPr>
          <w:p>
            <w:pPr>
              <w:adjustRightInd w:val="0"/>
              <w:snapToGrid w:val="0"/>
              <w:jc w:val="center"/>
              <w:rPr>
                <w:rFonts w:ascii="Times New Roman" w:hAnsi="Times New Roman"/>
                <w:bCs/>
                <w:color w:val="auto"/>
              </w:rPr>
            </w:pPr>
            <w:r>
              <w:rPr>
                <w:rFonts w:ascii="Times New Roman" w:hAnsi="Times New Roman"/>
                <w:bCs/>
                <w:color w:val="auto"/>
              </w:rPr>
              <w:t>电热板</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1.8KW-2.4KW</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分光光度计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带有光程为1cm的吸收池</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等离子体发射光谱仪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采用等离子体发射光谱法时适用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总镉、总铅、总铬</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 38400—2019 肥料中有毒有害物质的限量要求5.7</w:t>
            </w:r>
          </w:p>
        </w:tc>
        <w:tc>
          <w:tcPr>
            <w:tcW w:w="1846" w:type="dxa"/>
            <w:shd w:val="clear" w:color="auto" w:fill="auto"/>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原子吸收分光光度计</w:t>
            </w:r>
          </w:p>
        </w:tc>
        <w:tc>
          <w:tcPr>
            <w:tcW w:w="1989" w:type="dxa"/>
            <w:shd w:val="clear" w:color="auto" w:fill="auto"/>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有背景校正装置</w:t>
            </w:r>
          </w:p>
          <w:p>
            <w:pPr>
              <w:adjustRightInd w:val="0"/>
              <w:snapToGrid w:val="0"/>
              <w:jc w:val="center"/>
              <w:rPr>
                <w:rFonts w:ascii="Times New Roman" w:hAnsi="Times New Roman"/>
                <w:bCs/>
                <w:color w:val="auto"/>
              </w:rPr>
            </w:pPr>
            <w:r>
              <w:rPr>
                <w:rFonts w:ascii="Times New Roman" w:hAnsi="Times New Roman"/>
                <w:bCs/>
                <w:color w:val="auto"/>
              </w:rPr>
              <w:t>配有镉、铅、铬空心阴极灯和空气－乙炔燃烧器或石墨炉</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型式检验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等离子体发射光谱仪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采用等离子体发射光谱法时适用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总汞</w:t>
            </w: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原子吸收分光光度计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配有氢化物发生器、汞空心阴极灯</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型式检验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原子荧光光谱仪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bookmarkStart w:id="14" w:name="OLE_LINK2"/>
            <w:r>
              <w:rPr>
                <w:rFonts w:ascii="Times New Roman" w:hAnsi="Times New Roman"/>
                <w:bCs/>
                <w:color w:val="auto"/>
              </w:rPr>
              <w:t>——</w:t>
            </w:r>
            <w:bookmarkEnd w:id="14"/>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采用原子荧光光谱法时适用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等离子体发射光谱仪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采用等离子体发射光谱法时适用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总砷</w:t>
            </w: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定砷仪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型式检验</w:t>
            </w:r>
          </w:p>
        </w:tc>
        <w:tc>
          <w:tcPr>
            <w:tcW w:w="1121"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分光光度计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1cm吸收池</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原子荧光光谱仪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采用原子荧光光谱法时适用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等离子体发射光谱仪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采用等离子体发射光谱法时适用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总铊</w:t>
            </w:r>
          </w:p>
        </w:tc>
        <w:tc>
          <w:tcPr>
            <w:tcW w:w="1705" w:type="dxa"/>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 38400—2019 肥料中有毒有害物质的限量要求5.8</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等离子体发射光谱仪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型式检验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缩二脲</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 38400—2019 肥料中有毒有害物质的限量要求5.9</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电热恒温干燥箱</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（105±2）℃</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型式检验</w:t>
            </w:r>
          </w:p>
        </w:tc>
        <w:tc>
          <w:tcPr>
            <w:tcW w:w="1121"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适用时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超声波清洗器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恒温水浴</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（30±5）℃</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分光光度计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可在550nm处测量</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高效液相色谱仪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带紫外检测器</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采用液相色谱法时适用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restart"/>
            <w:vAlign w:val="center"/>
          </w:tcPr>
          <w:p>
            <w:pPr>
              <w:adjustRightInd w:val="0"/>
              <w:snapToGrid w:val="0"/>
              <w:jc w:val="center"/>
              <w:rPr>
                <w:rFonts w:ascii="Times New Roman" w:hAnsi="Times New Roman"/>
                <w:bCs/>
                <w:color w:val="auto"/>
              </w:rPr>
            </w:pPr>
            <w:r>
              <w:rPr>
                <w:rFonts w:ascii="Times New Roman" w:hAnsi="Times New Roman"/>
                <w:bCs/>
                <w:color w:val="auto"/>
              </w:rPr>
              <w:t>缓释掺混肥料</w:t>
            </w: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缓释养分量、缓释养分28天的累积养分释放率</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23348—2009 缓释肥料6.7</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出厂检验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生化培养箱</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温度可以控制在（25±1）℃、（40±1）℃</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适用时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凯式定氮仪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火焰光度计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适用时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电导率仪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适用时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分光光度计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适用时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其他项目</w:t>
            </w:r>
          </w:p>
        </w:tc>
        <w:tc>
          <w:tcPr>
            <w:tcW w:w="1705" w:type="dxa"/>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21633—2020 掺混肥料（BB肥） 6.3-6.8</w:t>
            </w:r>
          </w:p>
          <w:p>
            <w:pPr>
              <w:adjustRightInd w:val="0"/>
              <w:snapToGrid w:val="0"/>
              <w:jc w:val="left"/>
              <w:rPr>
                <w:rFonts w:ascii="Times New Roman" w:hAnsi="Times New Roman"/>
                <w:bCs/>
                <w:color w:val="auto"/>
              </w:rPr>
            </w:pPr>
            <w:r>
              <w:rPr>
                <w:rFonts w:ascii="Times New Roman" w:hAnsi="Times New Roman"/>
                <w:bCs/>
                <w:color w:val="auto"/>
              </w:rPr>
              <w:t>GB 38400—2019 肥料中有毒有害物质的限量要求 5.7-5.9</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见标准相关规定</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见标准相关规定</w:t>
            </w:r>
          </w:p>
        </w:tc>
        <w:tc>
          <w:tcPr>
            <w:tcW w:w="70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符合产品标准要求</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符合产品标准要求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restart"/>
            <w:vAlign w:val="center"/>
          </w:tcPr>
          <w:p>
            <w:pPr>
              <w:adjustRightInd w:val="0"/>
              <w:snapToGrid w:val="0"/>
              <w:jc w:val="center"/>
              <w:rPr>
                <w:rFonts w:ascii="Times New Roman" w:hAnsi="Times New Roman"/>
                <w:bCs/>
                <w:color w:val="auto"/>
              </w:rPr>
            </w:pPr>
            <w:r>
              <w:rPr>
                <w:rFonts w:ascii="Times New Roman" w:hAnsi="Times New Roman"/>
                <w:bCs/>
                <w:color w:val="auto"/>
              </w:rPr>
              <w:t>控释掺混肥料</w:t>
            </w: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控释养分量、控释养分28d的累积养分释放率</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HG/T 4215—2011 控释肥料6.7</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出厂检验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生化培养箱</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温度可以控制在（25±1）℃、（40±1）℃</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凯式定氮仪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火焰光度计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适用时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电导率仪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适用时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分光光度计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适用时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其他项目</w:t>
            </w:r>
          </w:p>
        </w:tc>
        <w:tc>
          <w:tcPr>
            <w:tcW w:w="1705" w:type="dxa"/>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21633—2020 掺混肥料（BB肥） 6.3-6.8</w:t>
            </w:r>
          </w:p>
          <w:p>
            <w:pPr>
              <w:adjustRightInd w:val="0"/>
              <w:snapToGrid w:val="0"/>
              <w:jc w:val="left"/>
              <w:rPr>
                <w:rFonts w:ascii="Times New Roman" w:hAnsi="Times New Roman"/>
                <w:bCs/>
                <w:color w:val="auto"/>
              </w:rPr>
            </w:pPr>
            <w:r>
              <w:rPr>
                <w:rFonts w:ascii="Times New Roman" w:hAnsi="Times New Roman"/>
                <w:bCs/>
                <w:color w:val="auto"/>
              </w:rPr>
              <w:t>GB 38400—2019 肥料中有毒有害物质的限量要求 5.7-5.9</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见标准相关规定</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见标准相关规定</w:t>
            </w:r>
          </w:p>
        </w:tc>
        <w:tc>
          <w:tcPr>
            <w:tcW w:w="70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符合产品标准要求</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符合产品标准要求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restart"/>
            <w:vAlign w:val="center"/>
          </w:tcPr>
          <w:p>
            <w:pPr>
              <w:adjustRightInd w:val="0"/>
              <w:snapToGrid w:val="0"/>
              <w:jc w:val="center"/>
              <w:rPr>
                <w:rFonts w:ascii="Times New Roman" w:hAnsi="Times New Roman"/>
                <w:bCs/>
                <w:color w:val="auto"/>
              </w:rPr>
            </w:pPr>
            <w:r>
              <w:rPr>
                <w:rFonts w:ascii="Times New Roman" w:hAnsi="Times New Roman"/>
                <w:bCs/>
                <w:color w:val="auto"/>
              </w:rPr>
              <w:t>硫包衣缓释掺混肥料</w:t>
            </w: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缓释氮养分量</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29401—2020 硫包衣尿素6.9</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消化仪器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1000mL圆底蒸馏烧瓶（与蒸馏仪器配套）和梨形玻璃漏斗</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出厂检验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蒸馏仪器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消化加热装置</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蒸馏加热装置</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滴定管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50mL</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自动定氮仪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具有凯氏蒸馏、自动滴定功能，最小滴定单位为 0.01 mL</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仅采用自动分析仪法（定氮仪法）时适用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流动分析仪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仅采用自动分析仪法（流动分析仪法）时适用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杜马斯定氮仪</w:t>
            </w:r>
          </w:p>
          <w:p>
            <w:pPr>
              <w:adjustRightInd w:val="0"/>
              <w:snapToGrid w:val="0"/>
              <w:jc w:val="center"/>
              <w:rPr>
                <w:rFonts w:ascii="Times New Roman" w:hAnsi="Times New Roman"/>
                <w:bCs/>
                <w:color w:val="auto"/>
              </w:rPr>
            </w:pPr>
            <w:r>
              <w:rPr>
                <w:rFonts w:ascii="Times New Roman" w:hAnsi="Times New Roman"/>
                <w:bCs/>
                <w:color w:val="auto"/>
              </w:rPr>
              <w:t>（配有热导检测器）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仅采用杜马斯燃烧法时适用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恒温箱</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（25±1）℃</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其他项目</w:t>
            </w:r>
          </w:p>
        </w:tc>
        <w:tc>
          <w:tcPr>
            <w:tcW w:w="1705" w:type="dxa"/>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21633—2020 掺混肥料（BB肥） 6.3-6.8</w:t>
            </w:r>
          </w:p>
          <w:p>
            <w:pPr>
              <w:adjustRightInd w:val="0"/>
              <w:snapToGrid w:val="0"/>
              <w:jc w:val="left"/>
              <w:rPr>
                <w:rFonts w:ascii="Times New Roman" w:hAnsi="Times New Roman"/>
                <w:bCs/>
                <w:color w:val="auto"/>
              </w:rPr>
            </w:pPr>
            <w:r>
              <w:rPr>
                <w:rFonts w:ascii="Times New Roman" w:hAnsi="Times New Roman"/>
                <w:bCs/>
                <w:color w:val="auto"/>
              </w:rPr>
              <w:t>GB 38400—2019 肥料中有毒有害物质的限量要求 5.7-5.9</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见标准相关规定</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见标准相关规定</w:t>
            </w:r>
          </w:p>
        </w:tc>
        <w:tc>
          <w:tcPr>
            <w:tcW w:w="70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符合产品标准要求</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符合产品标准要求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restart"/>
            <w:vAlign w:val="center"/>
          </w:tcPr>
          <w:p>
            <w:pPr>
              <w:adjustRightInd w:val="0"/>
              <w:snapToGrid w:val="0"/>
              <w:jc w:val="center"/>
              <w:rPr>
                <w:rFonts w:ascii="Times New Roman" w:hAnsi="Times New Roman"/>
                <w:bCs/>
                <w:color w:val="auto"/>
              </w:rPr>
            </w:pPr>
            <w:r>
              <w:rPr>
                <w:rFonts w:ascii="Times New Roman" w:hAnsi="Times New Roman"/>
                <w:bCs/>
                <w:color w:val="auto"/>
              </w:rPr>
              <w:t>脲醛缓释掺混肥料</w:t>
            </w: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缓释有效氮的质量分数</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34763—2017 脲醛缓释肥料5.6</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出厂检验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消化仪器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1000mL圆底蒸馏烧瓶（与蒸馏仪器配套）和梨形玻璃漏斗</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蒸馏仪器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消化加热装置</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蒸馏加热装置</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滴定管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50mL</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水浴</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温度可控制在（25±2）℃</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其他项目</w:t>
            </w:r>
          </w:p>
        </w:tc>
        <w:tc>
          <w:tcPr>
            <w:tcW w:w="1705" w:type="dxa"/>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21633—2020 掺混肥料（BB肥） 6.3-6.8</w:t>
            </w:r>
          </w:p>
          <w:p>
            <w:pPr>
              <w:adjustRightInd w:val="0"/>
              <w:snapToGrid w:val="0"/>
              <w:jc w:val="left"/>
              <w:rPr>
                <w:rFonts w:ascii="Times New Roman" w:hAnsi="Times New Roman"/>
                <w:bCs/>
                <w:color w:val="auto"/>
              </w:rPr>
            </w:pPr>
            <w:r>
              <w:rPr>
                <w:rFonts w:ascii="Times New Roman" w:hAnsi="Times New Roman"/>
                <w:bCs/>
                <w:color w:val="auto"/>
              </w:rPr>
              <w:t>GB 38400—2019 肥料中有毒有害物质的限量要求 5.7-5.9</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见标准相关规定</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见标准相关规定</w:t>
            </w:r>
          </w:p>
        </w:tc>
        <w:tc>
          <w:tcPr>
            <w:tcW w:w="70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符合产品标准要求</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符合产品标准要求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restart"/>
            <w:vAlign w:val="center"/>
          </w:tcPr>
          <w:p>
            <w:pPr>
              <w:adjustRightInd w:val="0"/>
              <w:snapToGrid w:val="0"/>
              <w:jc w:val="center"/>
              <w:rPr>
                <w:rFonts w:ascii="Times New Roman" w:hAnsi="Times New Roman"/>
                <w:bCs/>
                <w:color w:val="auto"/>
              </w:rPr>
            </w:pPr>
            <w:r>
              <w:rPr>
                <w:rFonts w:ascii="Times New Roman" w:hAnsi="Times New Roman"/>
                <w:bCs/>
                <w:color w:val="auto"/>
              </w:rPr>
              <w:t>稳定性掺混肥料</w:t>
            </w: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尿素残留差异率</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35113—2017 稳定性肥料5.2</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分光光度计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型式检验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恒温培养振荡器: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空气式或水浴式均可,转速≥180 r/min</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感量0.0001g</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冰箱</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硝化抑制率</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35113—2017 稳定性肥料5.3</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分光光度计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型式检验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恒温培养振荡器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空气式或水浴式均可,转速≥180r/min</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氮含量测定蒸馏装置</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微量滴定管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最小分度值为0.01mL</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其他项目</w:t>
            </w:r>
          </w:p>
        </w:tc>
        <w:tc>
          <w:tcPr>
            <w:tcW w:w="1705" w:type="dxa"/>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21633—2020 掺混肥料（BB肥） 6.3-6.8</w:t>
            </w:r>
          </w:p>
          <w:p>
            <w:pPr>
              <w:adjustRightInd w:val="0"/>
              <w:snapToGrid w:val="0"/>
              <w:jc w:val="left"/>
              <w:rPr>
                <w:rFonts w:ascii="Times New Roman" w:hAnsi="Times New Roman"/>
                <w:bCs/>
                <w:color w:val="auto"/>
              </w:rPr>
            </w:pPr>
            <w:r>
              <w:rPr>
                <w:rFonts w:ascii="Times New Roman" w:hAnsi="Times New Roman"/>
                <w:bCs/>
                <w:color w:val="auto"/>
              </w:rPr>
              <w:t>GB 38400—2019 肥料中有毒有害物质的限量要求 5.7-5.9</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见标准相关规定</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见标准相关规定</w:t>
            </w:r>
          </w:p>
        </w:tc>
        <w:tc>
          <w:tcPr>
            <w:tcW w:w="70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符合产品标准要求</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符合产品标准要求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restart"/>
            <w:vAlign w:val="center"/>
          </w:tcPr>
          <w:p>
            <w:pPr>
              <w:adjustRightInd w:val="0"/>
              <w:snapToGrid w:val="0"/>
              <w:jc w:val="center"/>
              <w:rPr>
                <w:rFonts w:ascii="Times New Roman" w:hAnsi="Times New Roman"/>
                <w:bCs/>
                <w:color w:val="auto"/>
              </w:rPr>
            </w:pPr>
            <w:r>
              <w:rPr>
                <w:rFonts w:ascii="Times New Roman" w:hAnsi="Times New Roman"/>
                <w:bCs/>
                <w:color w:val="auto"/>
              </w:rPr>
              <w:t>无机包裹型掺混肥料</w:t>
            </w: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缓释氮的质量分数</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HG/T 4217—2011 无机包裹型复混肥料 6.7、6.8</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出厂检验</w:t>
            </w:r>
          </w:p>
        </w:tc>
        <w:tc>
          <w:tcPr>
            <w:tcW w:w="1121"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抽提管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长度为250mm玻璃管，内径10mm，外径12mm，在一端收缩为3-4mm</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其他项目</w:t>
            </w:r>
          </w:p>
        </w:tc>
        <w:tc>
          <w:tcPr>
            <w:tcW w:w="1705" w:type="dxa"/>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21633—2020 掺混肥料（BB肥） 6.3-6.8</w:t>
            </w:r>
          </w:p>
          <w:p>
            <w:pPr>
              <w:adjustRightInd w:val="0"/>
              <w:snapToGrid w:val="0"/>
              <w:jc w:val="left"/>
              <w:rPr>
                <w:rFonts w:ascii="Times New Roman" w:hAnsi="Times New Roman"/>
                <w:bCs/>
                <w:color w:val="auto"/>
              </w:rPr>
            </w:pPr>
            <w:r>
              <w:rPr>
                <w:rFonts w:ascii="Times New Roman" w:hAnsi="Times New Roman"/>
                <w:bCs/>
                <w:color w:val="auto"/>
              </w:rPr>
              <w:t>GB 38400—2019 肥料中有毒有害物质的限量要求 5.7-5.9</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见标准相关规定</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见标准相关规定</w:t>
            </w:r>
          </w:p>
        </w:tc>
        <w:tc>
          <w:tcPr>
            <w:tcW w:w="70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符合产品标准要求</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符合产品标准要求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restart"/>
            <w:vAlign w:val="center"/>
          </w:tcPr>
          <w:p>
            <w:pPr>
              <w:adjustRightInd w:val="0"/>
              <w:snapToGrid w:val="0"/>
              <w:jc w:val="center"/>
              <w:rPr>
                <w:rFonts w:ascii="Times New Roman" w:hAnsi="Times New Roman"/>
                <w:bCs/>
                <w:color w:val="auto"/>
              </w:rPr>
            </w:pPr>
            <w:r>
              <w:rPr>
                <w:rFonts w:ascii="Times New Roman" w:hAnsi="Times New Roman"/>
                <w:bCs/>
                <w:color w:val="auto"/>
              </w:rPr>
              <w:t>含部分海藻酸包膜尿素的掺混肥料</w:t>
            </w: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海藻酸的质量分数</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HG/T 5050—2016 海藻酸类肥料6.3</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出厂检验</w:t>
            </w:r>
          </w:p>
        </w:tc>
        <w:tc>
          <w:tcPr>
            <w:tcW w:w="1121"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分光光度计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带光程为1cm的吸收池，可在520nm波长处测量</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color w:val="auto"/>
              </w:rPr>
              <w:t>海藻酸包膜尿素氮占尿素总氮的质量分数</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HG/T 5050—2016 海藻酸类肥料 6.4</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出厂检验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消化仪器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1000mL圆底蒸馏烧瓶（与蒸馏仪器配套）和梨形玻璃漏斗</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蒸馏仪器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消化加热装置</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蒸馏加热装置</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滴定管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50mL</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其他项目</w:t>
            </w:r>
          </w:p>
        </w:tc>
        <w:tc>
          <w:tcPr>
            <w:tcW w:w="1705" w:type="dxa"/>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21633—2020 掺混肥料（BB肥） 6.3-6.8</w:t>
            </w:r>
          </w:p>
          <w:p>
            <w:pPr>
              <w:adjustRightInd w:val="0"/>
              <w:snapToGrid w:val="0"/>
              <w:jc w:val="left"/>
              <w:rPr>
                <w:rFonts w:ascii="Times New Roman" w:hAnsi="Times New Roman"/>
                <w:bCs/>
                <w:color w:val="auto"/>
              </w:rPr>
            </w:pPr>
            <w:r>
              <w:rPr>
                <w:rFonts w:ascii="Times New Roman" w:hAnsi="Times New Roman"/>
                <w:bCs/>
                <w:color w:val="auto"/>
              </w:rPr>
              <w:t>GB 38400—2019 肥料中有毒有害物质的限量要求 5.7-5.9</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见标准相关规定</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见标准相关规定</w:t>
            </w:r>
          </w:p>
        </w:tc>
        <w:tc>
          <w:tcPr>
            <w:tcW w:w="70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符合产品标准要求</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符合产品标准要求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restart"/>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r>
              <w:rPr>
                <w:rFonts w:ascii="Times New Roman" w:hAnsi="Times New Roman"/>
                <w:bCs/>
                <w:color w:val="auto"/>
              </w:rPr>
              <w:t>3</w:t>
            </w:r>
          </w:p>
        </w:tc>
        <w:tc>
          <w:tcPr>
            <w:tcW w:w="708" w:type="dxa"/>
            <w:vMerge w:val="restart"/>
            <w:tcMar>
              <w:top w:w="0" w:type="dxa"/>
              <w:left w:w="57" w:type="dxa"/>
              <w:bottom w:w="0" w:type="dxa"/>
              <w:right w:w="57" w:type="dxa"/>
            </w:tcMar>
            <w:vAlign w:val="center"/>
          </w:tcPr>
          <w:p>
            <w:pPr>
              <w:adjustRightInd w:val="0"/>
              <w:snapToGrid w:val="0"/>
              <w:jc w:val="center"/>
              <w:rPr>
                <w:rFonts w:ascii="Times New Roman" w:hAnsi="Times New Roman"/>
                <w:b/>
                <w:color w:val="auto"/>
              </w:rPr>
            </w:pPr>
            <w:r>
              <w:rPr>
                <w:rFonts w:ascii="Times New Roman" w:hAnsi="Times New Roman"/>
                <w:bCs/>
                <w:color w:val="auto"/>
              </w:rPr>
              <w:t>有机无机复混肥料</w:t>
            </w:r>
          </w:p>
        </w:tc>
        <w:tc>
          <w:tcPr>
            <w:tcW w:w="993" w:type="dxa"/>
            <w:vMerge w:val="restart"/>
            <w:vAlign w:val="center"/>
          </w:tcPr>
          <w:p>
            <w:pPr>
              <w:adjustRightInd w:val="0"/>
              <w:snapToGrid w:val="0"/>
              <w:jc w:val="center"/>
              <w:rPr>
                <w:rFonts w:ascii="Times New Roman" w:hAnsi="Times New Roman"/>
                <w:bCs/>
                <w:color w:val="auto"/>
              </w:rPr>
            </w:pPr>
            <w:r>
              <w:rPr>
                <w:rFonts w:ascii="Times New Roman" w:hAnsi="Times New Roman"/>
                <w:bCs/>
                <w:color w:val="auto"/>
              </w:rPr>
              <w:t>有机无机复混肥料</w:t>
            </w: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有机质</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18877—2020 有机无机复混肥料</w:t>
            </w:r>
            <w:r>
              <w:rPr>
                <w:rFonts w:hint="eastAsia" w:ascii="Times New Roman" w:hAnsi="Times New Roman"/>
                <w:bCs/>
                <w:color w:val="auto"/>
              </w:rPr>
              <w:t>（含第1号修改单）</w:t>
            </w:r>
          </w:p>
          <w:p>
            <w:pPr>
              <w:adjustRightInd w:val="0"/>
              <w:snapToGrid w:val="0"/>
              <w:jc w:val="left"/>
              <w:rPr>
                <w:rFonts w:ascii="Times New Roman" w:hAnsi="Times New Roman"/>
                <w:bCs/>
                <w:color w:val="auto"/>
              </w:rPr>
            </w:pPr>
            <w:r>
              <w:rPr>
                <w:rFonts w:ascii="Times New Roman" w:hAnsi="Times New Roman"/>
                <w:bCs/>
                <w:color w:val="auto"/>
              </w:rPr>
              <w:t>6.4</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水浴锅</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出厂检验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滴定管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50mL</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Cs/>
                <w:color w:val="auto"/>
              </w:rPr>
            </w:pPr>
          </w:p>
        </w:tc>
        <w:tc>
          <w:tcPr>
            <w:tcW w:w="708" w:type="dxa"/>
            <w:vMerge w:val="continue"/>
            <w:tcMar>
              <w:top w:w="0" w:type="dxa"/>
              <w:left w:w="57" w:type="dxa"/>
              <w:bottom w:w="0" w:type="dxa"/>
              <w:right w:w="57" w:type="dxa"/>
            </w:tcMar>
            <w:vAlign w:val="center"/>
          </w:tcPr>
          <w:p>
            <w:pPr>
              <w:adjustRightInd w:val="0"/>
              <w:snapToGrid w:val="0"/>
              <w:jc w:val="center"/>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总氮</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18877—2020 有机无机复混肥料</w:t>
            </w:r>
            <w:r>
              <w:rPr>
                <w:rFonts w:hint="eastAsia" w:ascii="Times New Roman" w:hAnsi="Times New Roman"/>
                <w:bCs/>
                <w:color w:val="auto"/>
              </w:rPr>
              <w:t>（含第1号修改单）</w:t>
            </w:r>
          </w:p>
          <w:p>
            <w:pPr>
              <w:adjustRightInd w:val="0"/>
              <w:snapToGrid w:val="0"/>
              <w:jc w:val="left"/>
              <w:rPr>
                <w:rFonts w:ascii="Times New Roman" w:hAnsi="Times New Roman"/>
                <w:bCs/>
                <w:color w:val="auto"/>
              </w:rPr>
            </w:pPr>
            <w:r>
              <w:rPr>
                <w:rFonts w:ascii="Times New Roman" w:hAnsi="Times New Roman"/>
                <w:bCs/>
                <w:color w:val="auto"/>
              </w:rPr>
              <w:t>6.5.1</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消化仪器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1000mL圆底蒸馏烧瓶</w:t>
            </w:r>
          </w:p>
          <w:p>
            <w:pPr>
              <w:adjustRightInd w:val="0"/>
              <w:snapToGrid w:val="0"/>
              <w:jc w:val="center"/>
              <w:rPr>
                <w:rFonts w:ascii="Times New Roman" w:hAnsi="Times New Roman"/>
                <w:bCs/>
                <w:color w:val="auto"/>
              </w:rPr>
            </w:pPr>
            <w:r>
              <w:rPr>
                <w:rFonts w:ascii="Times New Roman" w:hAnsi="Times New Roman"/>
                <w:bCs/>
                <w:color w:val="auto"/>
              </w:rPr>
              <w:t>（与蒸馏仪器配套）和梨形玻璃漏斗</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出厂检验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蒸馏仪器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消化加热装置</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蒸馏加热装置</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滴定管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50mL</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自动定氮仪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具有凯氏蒸馏、自动滴定功能，最小滴定单位为 0.01 mL</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仅采用自动分析仪法时适用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有效磷</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18877—2020 有机无机复混肥料</w:t>
            </w:r>
            <w:r>
              <w:rPr>
                <w:rFonts w:hint="eastAsia" w:ascii="Times New Roman" w:hAnsi="Times New Roman"/>
                <w:bCs/>
                <w:color w:val="auto"/>
              </w:rPr>
              <w:t>（含第1号修改单）</w:t>
            </w:r>
          </w:p>
          <w:p>
            <w:pPr>
              <w:adjustRightInd w:val="0"/>
              <w:snapToGrid w:val="0"/>
              <w:jc w:val="left"/>
              <w:rPr>
                <w:rFonts w:ascii="Times New Roman" w:hAnsi="Times New Roman"/>
                <w:bCs/>
                <w:color w:val="auto"/>
              </w:rPr>
            </w:pPr>
            <w:r>
              <w:rPr>
                <w:rFonts w:ascii="Times New Roman" w:hAnsi="Times New Roman"/>
                <w:bCs/>
                <w:color w:val="auto"/>
              </w:rPr>
              <w:t>6.5.2</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电热恒温干燥箱</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（180±2）℃</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出厂检验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玻璃坩埚式滤器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4号，容积30mL</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恒温水浴振荡器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（60±2）℃</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等离子体发射光谱仪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仅采用等离子体发射光谱法测定有效磷含量时适用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氧化钾</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18877—2020 有机无机复混肥料</w:t>
            </w:r>
            <w:r>
              <w:rPr>
                <w:rFonts w:hint="eastAsia" w:ascii="Times New Roman" w:hAnsi="Times New Roman"/>
                <w:bCs/>
                <w:color w:val="auto"/>
              </w:rPr>
              <w:t>（含第1号修改单）</w:t>
            </w:r>
          </w:p>
          <w:p>
            <w:pPr>
              <w:pStyle w:val="63"/>
              <w:tabs>
                <w:tab w:val="center" w:pos="4363"/>
              </w:tabs>
              <w:snapToGrid w:val="0"/>
              <w:jc w:val="left"/>
              <w:textAlignment w:val="auto"/>
              <w:rPr>
                <w:rFonts w:ascii="Times New Roman" w:hAnsi="Times New Roman" w:eastAsia="宋体"/>
                <w:bCs/>
                <w:color w:val="auto"/>
                <w:sz w:val="21"/>
                <w:szCs w:val="21"/>
              </w:rPr>
            </w:pPr>
            <w:r>
              <w:rPr>
                <w:rFonts w:ascii="Times New Roman" w:hAnsi="Times New Roman" w:eastAsia="宋体"/>
                <w:bCs/>
                <w:color w:val="auto"/>
                <w:sz w:val="21"/>
                <w:szCs w:val="21"/>
              </w:rPr>
              <w:t>6.5.3</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玻璃坩埚式滤器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4号，容积30mL</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出厂检验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电热恒温干燥箱</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（120±5）℃</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水分</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18877—2020 有机无机复混肥料</w:t>
            </w:r>
            <w:r>
              <w:rPr>
                <w:rFonts w:hint="eastAsia" w:ascii="Times New Roman" w:hAnsi="Times New Roman"/>
                <w:bCs/>
                <w:color w:val="auto"/>
              </w:rPr>
              <w:t>（含第1号修改单）</w:t>
            </w:r>
          </w:p>
          <w:p>
            <w:pPr>
              <w:adjustRightInd w:val="0"/>
              <w:snapToGrid w:val="0"/>
              <w:jc w:val="left"/>
              <w:rPr>
                <w:rFonts w:ascii="Times New Roman" w:hAnsi="Times New Roman"/>
                <w:bCs/>
                <w:color w:val="auto"/>
              </w:rPr>
            </w:pPr>
            <w:r>
              <w:rPr>
                <w:rFonts w:ascii="Times New Roman" w:hAnsi="Times New Roman"/>
                <w:bCs/>
                <w:color w:val="auto"/>
              </w:rPr>
              <w:t>6.6</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电热恒温真空干燥箱（真空烘箱）</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（50±2）℃，真空度可控制在6.4×104pa～7.1×104pa</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出厂检验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带磨口塞称量瓶</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直径50mm，高度30mm</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卡尔费休仪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仅采用卡尔费休法时适用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酸碱度</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18877—2020 有机无机复混肥料</w:t>
            </w:r>
            <w:r>
              <w:rPr>
                <w:rFonts w:hint="eastAsia" w:ascii="Times New Roman" w:hAnsi="Times New Roman"/>
                <w:bCs/>
                <w:color w:val="auto"/>
              </w:rPr>
              <w:t>（含第1号修改单）</w:t>
            </w:r>
          </w:p>
          <w:p>
            <w:pPr>
              <w:adjustRightInd w:val="0"/>
              <w:snapToGrid w:val="0"/>
              <w:jc w:val="left"/>
              <w:rPr>
                <w:rFonts w:ascii="Times New Roman" w:hAnsi="Times New Roman"/>
                <w:bCs/>
                <w:color w:val="auto"/>
              </w:rPr>
            </w:pPr>
            <w:r>
              <w:rPr>
                <w:rFonts w:ascii="Times New Roman" w:hAnsi="Times New Roman"/>
                <w:bCs/>
                <w:color w:val="auto"/>
              </w:rPr>
              <w:t>6.7</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pH酸度计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灵敏度为0.01pH单位</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出厂检验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精度0.01g</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粒度</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18877—2020 有机无机复混肥料</w:t>
            </w:r>
            <w:r>
              <w:rPr>
                <w:rFonts w:hint="eastAsia" w:ascii="Times New Roman" w:hAnsi="Times New Roman"/>
                <w:bCs/>
                <w:color w:val="auto"/>
              </w:rPr>
              <w:t>（含第1号修改单）</w:t>
            </w:r>
          </w:p>
          <w:p>
            <w:pPr>
              <w:adjustRightInd w:val="0"/>
              <w:snapToGrid w:val="0"/>
              <w:jc w:val="left"/>
              <w:rPr>
                <w:rFonts w:ascii="Times New Roman" w:hAnsi="Times New Roman"/>
                <w:bCs/>
                <w:color w:val="auto"/>
              </w:rPr>
            </w:pPr>
            <w:r>
              <w:rPr>
                <w:rFonts w:ascii="Times New Roman" w:hAnsi="Times New Roman"/>
                <w:bCs/>
                <w:color w:val="auto"/>
              </w:rPr>
              <w:t>6.8</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试验筛</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孔径为1.00mm.4.75mm</w:t>
            </w:r>
          </w:p>
          <w:p>
            <w:pPr>
              <w:adjustRightInd w:val="0"/>
              <w:snapToGrid w:val="0"/>
              <w:jc w:val="center"/>
              <w:rPr>
                <w:rFonts w:ascii="Times New Roman" w:hAnsi="Times New Roman"/>
                <w:bCs/>
                <w:color w:val="auto"/>
              </w:rPr>
            </w:pPr>
            <w:r>
              <w:rPr>
                <w:rFonts w:ascii="Times New Roman" w:hAnsi="Times New Roman"/>
                <w:bCs/>
                <w:color w:val="auto"/>
              </w:rPr>
              <w:t>或3.35mm.5.60mm</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出厂检验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产品为特殊粒径的，需配备相应孔径的试验筛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感量为0.5g</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氯离子</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18877—2020 有机无机复混肥料</w:t>
            </w:r>
            <w:r>
              <w:rPr>
                <w:rFonts w:hint="eastAsia" w:ascii="Times New Roman" w:hAnsi="Times New Roman"/>
                <w:bCs/>
                <w:color w:val="auto"/>
              </w:rPr>
              <w:t>（含第1号修改单）</w:t>
            </w:r>
          </w:p>
          <w:p>
            <w:pPr>
              <w:adjustRightInd w:val="0"/>
              <w:snapToGrid w:val="0"/>
              <w:jc w:val="left"/>
              <w:rPr>
                <w:rFonts w:ascii="Times New Roman" w:hAnsi="Times New Roman"/>
                <w:bCs/>
                <w:color w:val="auto"/>
              </w:rPr>
            </w:pPr>
            <w:r>
              <w:rPr>
                <w:rFonts w:ascii="Times New Roman" w:hAnsi="Times New Roman"/>
                <w:bCs/>
                <w:color w:val="auto"/>
              </w:rPr>
              <w:t>6.11</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滴定管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50mL</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出厂检验</w:t>
            </w:r>
          </w:p>
        </w:tc>
        <w:tc>
          <w:tcPr>
            <w:tcW w:w="1121"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适用时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自动电位滴定仪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配有银电极</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采用自动电位滴定法测定氯离子含量适用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钠离子</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18877—2020 有机无机复混肥料</w:t>
            </w:r>
            <w:r>
              <w:rPr>
                <w:rFonts w:hint="eastAsia" w:ascii="Times New Roman" w:hAnsi="Times New Roman"/>
                <w:bCs/>
                <w:color w:val="auto"/>
              </w:rPr>
              <w:t>（含第1号修改单）</w:t>
            </w:r>
          </w:p>
          <w:p>
            <w:pPr>
              <w:adjustRightInd w:val="0"/>
              <w:snapToGrid w:val="0"/>
              <w:jc w:val="left"/>
              <w:rPr>
                <w:rFonts w:ascii="Times New Roman" w:hAnsi="Times New Roman"/>
                <w:bCs/>
                <w:color w:val="auto"/>
              </w:rPr>
            </w:pPr>
            <w:r>
              <w:rPr>
                <w:rFonts w:ascii="Times New Roman" w:hAnsi="Times New Roman"/>
                <w:bCs/>
                <w:color w:val="auto"/>
              </w:rPr>
              <w:t>6.13</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出厂检验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水平往复式振荡器或水浴恒温振荡器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火焰光度计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采用火焰光度法测定钠离子含量适用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等离子体发射光谱仪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采用等离子体发射光谱法测定钠离子含量适用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原子吸收分光光度计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附有空气-乙炔燃烧器</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采用原子吸收分光光度法测定钠离子含量适用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蛔虫卵死亡率</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18877—2020 有机无机复混肥料</w:t>
            </w:r>
            <w:r>
              <w:rPr>
                <w:rFonts w:hint="eastAsia" w:ascii="Times New Roman" w:hAnsi="Times New Roman"/>
                <w:bCs/>
                <w:color w:val="auto"/>
              </w:rPr>
              <w:t>（含第1号修改单）</w:t>
            </w:r>
          </w:p>
          <w:p>
            <w:pPr>
              <w:adjustRightInd w:val="0"/>
              <w:snapToGrid w:val="0"/>
              <w:jc w:val="left"/>
              <w:rPr>
                <w:rFonts w:ascii="Times New Roman" w:hAnsi="Times New Roman"/>
                <w:bCs/>
                <w:color w:val="auto"/>
              </w:rPr>
            </w:pPr>
            <w:r>
              <w:rPr>
                <w:rFonts w:ascii="Times New Roman" w:hAnsi="Times New Roman"/>
                <w:bCs/>
                <w:color w:val="auto"/>
              </w:rPr>
              <w:t>6.9</w:t>
            </w:r>
          </w:p>
        </w:tc>
        <w:tc>
          <w:tcPr>
            <w:tcW w:w="1846" w:type="dxa"/>
            <w:tcMar>
              <w:top w:w="0" w:type="dxa"/>
              <w:left w:w="57" w:type="dxa"/>
              <w:bottom w:w="0" w:type="dxa"/>
              <w:right w:w="57" w:type="dxa"/>
            </w:tcMar>
          </w:tcPr>
          <w:p>
            <w:pPr>
              <w:adjustRightInd w:val="0"/>
              <w:snapToGrid w:val="0"/>
              <w:jc w:val="center"/>
              <w:rPr>
                <w:rFonts w:ascii="Times New Roman" w:hAnsi="Times New Roman"/>
                <w:bCs/>
                <w:color w:val="auto"/>
              </w:rPr>
            </w:pPr>
            <w:r>
              <w:rPr>
                <w:rFonts w:ascii="Times New Roman" w:hAnsi="Times New Roman"/>
                <w:bCs/>
                <w:color w:val="auto"/>
              </w:rPr>
              <w:t>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0.1g</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型式检验</w:t>
            </w:r>
          </w:p>
        </w:tc>
        <w:tc>
          <w:tcPr>
            <w:tcW w:w="1121"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适用时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tcPr>
          <w:p>
            <w:pPr>
              <w:adjustRightInd w:val="0"/>
              <w:snapToGrid w:val="0"/>
              <w:jc w:val="center"/>
              <w:rPr>
                <w:rFonts w:ascii="Times New Roman" w:hAnsi="Times New Roman"/>
                <w:bCs/>
                <w:color w:val="auto"/>
              </w:rPr>
            </w:pPr>
            <w:r>
              <w:rPr>
                <w:rFonts w:ascii="Times New Roman" w:hAnsi="Times New Roman"/>
                <w:bCs/>
                <w:color w:val="auto"/>
              </w:rPr>
              <w:t>离心机</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tcPr>
          <w:p>
            <w:pPr>
              <w:adjustRightInd w:val="0"/>
              <w:snapToGrid w:val="0"/>
              <w:jc w:val="center"/>
              <w:rPr>
                <w:rFonts w:ascii="Times New Roman" w:hAnsi="Times New Roman"/>
                <w:bCs/>
                <w:color w:val="auto"/>
              </w:rPr>
            </w:pPr>
            <w:r>
              <w:rPr>
                <w:rFonts w:ascii="Times New Roman" w:hAnsi="Times New Roman"/>
                <w:bCs/>
                <w:color w:val="auto"/>
              </w:rPr>
              <w:t>往复振荡器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恒温培养箱</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28℃～30℃</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351"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显微镜</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0.1g</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粪大肠菌群数</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18877—2020 有机无机复混肥料</w:t>
            </w:r>
            <w:r>
              <w:rPr>
                <w:rFonts w:hint="eastAsia" w:ascii="Times New Roman" w:hAnsi="Times New Roman"/>
                <w:bCs/>
                <w:color w:val="auto"/>
              </w:rPr>
              <w:t>（含第1号修改单）</w:t>
            </w:r>
          </w:p>
          <w:p>
            <w:pPr>
              <w:adjustRightInd w:val="0"/>
              <w:snapToGrid w:val="0"/>
              <w:jc w:val="left"/>
              <w:rPr>
                <w:rFonts w:ascii="Times New Roman" w:hAnsi="Times New Roman"/>
                <w:bCs/>
                <w:color w:val="auto"/>
              </w:rPr>
            </w:pPr>
            <w:r>
              <w:rPr>
                <w:rFonts w:ascii="Times New Roman" w:hAnsi="Times New Roman"/>
                <w:bCs/>
                <w:color w:val="auto"/>
              </w:rPr>
              <w:t>6.10</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高压蒸汽灭菌器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型式检验</w:t>
            </w:r>
          </w:p>
        </w:tc>
        <w:tc>
          <w:tcPr>
            <w:tcW w:w="1121"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适用时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显微镜</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恒温水浴或隔水式培养箱</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（44.5±0.5）℃</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恒温旋转式摇床</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干燥箱</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0.1g</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酸度计或精密pH试纸</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总镉、总铅、总铬</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 38400—2019 肥料中有毒有害物质的限量要求5.7</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原子吸收分光光度计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有背景校正装置</w:t>
            </w:r>
          </w:p>
          <w:p>
            <w:pPr>
              <w:adjustRightInd w:val="0"/>
              <w:snapToGrid w:val="0"/>
              <w:jc w:val="center"/>
              <w:rPr>
                <w:rFonts w:ascii="Times New Roman" w:hAnsi="Times New Roman"/>
                <w:bCs/>
                <w:color w:val="auto"/>
              </w:rPr>
            </w:pPr>
            <w:r>
              <w:rPr>
                <w:rFonts w:ascii="Times New Roman" w:hAnsi="Times New Roman"/>
                <w:color w:val="auto"/>
              </w:rPr>
              <w:t>配有镉、铅、铬空心阴极灯和空气－乙炔燃烧器或石墨炉</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型式检验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等离子体发射光谱仪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采用等离子体发射光谱法时适用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总汞</w:t>
            </w: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原子吸收分光光度计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配有氢化物发生器、汞空心阴极灯</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型式检验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原子荧光光谱仪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采用原子荧光光谱法时适用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总砷</w:t>
            </w: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定砷仪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型式检验</w:t>
            </w:r>
          </w:p>
        </w:tc>
        <w:tc>
          <w:tcPr>
            <w:tcW w:w="1121"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分光光度计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1cm吸收池</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原子荧光光谱仪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采用原子荧光光谱法时适用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缩二脲</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18877—2020 有机无机复混肥料</w:t>
            </w:r>
            <w:r>
              <w:rPr>
                <w:rFonts w:hint="eastAsia" w:ascii="Times New Roman" w:hAnsi="Times New Roman"/>
                <w:bCs/>
                <w:color w:val="auto"/>
              </w:rPr>
              <w:t>（含第1号修改单）</w:t>
            </w:r>
          </w:p>
          <w:p>
            <w:pPr>
              <w:adjustRightInd w:val="0"/>
              <w:snapToGrid w:val="0"/>
              <w:jc w:val="left"/>
              <w:rPr>
                <w:rFonts w:ascii="Times New Roman" w:hAnsi="Times New Roman"/>
                <w:bCs/>
                <w:color w:val="auto"/>
              </w:rPr>
            </w:pPr>
            <w:r>
              <w:rPr>
                <w:rFonts w:ascii="Times New Roman" w:hAnsi="Times New Roman"/>
                <w:bCs/>
                <w:color w:val="auto"/>
              </w:rPr>
              <w:t>6.14</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电子天平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精度0.2mg</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型式检验</w:t>
            </w:r>
          </w:p>
        </w:tc>
        <w:tc>
          <w:tcPr>
            <w:tcW w:w="1121"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适用时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超声波清洗器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高效液相色谱仪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带紫外检测器</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总铊</w:t>
            </w:r>
          </w:p>
        </w:tc>
        <w:tc>
          <w:tcPr>
            <w:tcW w:w="1705" w:type="dxa"/>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 38400—2019 肥料中有毒有害物质的限量要求5.8</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等离子体发射光谱仪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型式检验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restart"/>
            <w:vAlign w:val="center"/>
          </w:tcPr>
          <w:p>
            <w:pPr>
              <w:adjustRightInd w:val="0"/>
              <w:snapToGrid w:val="0"/>
              <w:jc w:val="center"/>
              <w:rPr>
                <w:rFonts w:ascii="Times New Roman" w:hAnsi="Times New Roman"/>
                <w:bCs/>
                <w:color w:val="auto"/>
              </w:rPr>
            </w:pPr>
            <w:r>
              <w:rPr>
                <w:rFonts w:ascii="Times New Roman" w:hAnsi="Times New Roman"/>
                <w:bCs/>
                <w:color w:val="auto"/>
              </w:rPr>
              <w:t>腐植酸有机无机复混肥料</w:t>
            </w: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总腐植酸的质量分数</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HG/T 5933—2021 腐植酸有机无机复混肥料5.6</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真空烘干箱</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出厂检验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精度0.0001g</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pH 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 0.01</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可调电炉</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功率适用范围在0W~2000W</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离心机</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3000r/min~4000r/min</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箱式电阻炉</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额定温度1200℃</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可溶性腐植酸的质量分数</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HG/T 5933—2021 腐植酸有机无机复混肥料5.7</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电热恒温干燥箱</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温度可控制在（110±5）℃</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出厂检验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精度0.0001g</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pH 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 0.01</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可调电炉</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温度适用范围为室温~400℃</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离心机</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3000r/min~4000r/min</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箱式电阻炉</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额定温度1200℃</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其他项目</w:t>
            </w:r>
          </w:p>
        </w:tc>
        <w:tc>
          <w:tcPr>
            <w:tcW w:w="1705" w:type="dxa"/>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18877—2020 有机无机复混肥料</w:t>
            </w:r>
            <w:r>
              <w:rPr>
                <w:rFonts w:hint="eastAsia" w:ascii="Times New Roman" w:hAnsi="Times New Roman"/>
                <w:bCs/>
                <w:color w:val="auto"/>
              </w:rPr>
              <w:t>（含第1号修改单）</w:t>
            </w:r>
          </w:p>
          <w:p>
            <w:pPr>
              <w:adjustRightInd w:val="0"/>
              <w:snapToGrid w:val="0"/>
              <w:jc w:val="left"/>
              <w:rPr>
                <w:rFonts w:ascii="Times New Roman" w:hAnsi="Times New Roman"/>
                <w:bCs/>
                <w:color w:val="auto"/>
              </w:rPr>
            </w:pPr>
            <w:r>
              <w:rPr>
                <w:rFonts w:ascii="Times New Roman" w:hAnsi="Times New Roman"/>
                <w:bCs/>
                <w:color w:val="auto"/>
              </w:rPr>
              <w:t>6.5-6.14</w:t>
            </w:r>
          </w:p>
          <w:p>
            <w:pPr>
              <w:adjustRightInd w:val="0"/>
              <w:snapToGrid w:val="0"/>
              <w:jc w:val="left"/>
              <w:rPr>
                <w:rFonts w:ascii="Times New Roman" w:hAnsi="Times New Roman"/>
                <w:bCs/>
                <w:color w:val="auto"/>
              </w:rPr>
            </w:pPr>
            <w:r>
              <w:rPr>
                <w:rFonts w:ascii="Times New Roman" w:hAnsi="Times New Roman"/>
                <w:bCs/>
                <w:color w:val="auto"/>
              </w:rPr>
              <w:t>GB 38400—2019 肥料中有毒有害物质的限量要求 5.7-5.8</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见标准相关规定</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见标准相关规定</w:t>
            </w:r>
          </w:p>
        </w:tc>
        <w:tc>
          <w:tcPr>
            <w:tcW w:w="70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符合产品标准要求</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符合产品标准要求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restart"/>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r>
              <w:rPr>
                <w:rFonts w:ascii="Times New Roman" w:hAnsi="Times New Roman"/>
                <w:b/>
                <w:color w:val="auto"/>
              </w:rPr>
              <w:t>4</w:t>
            </w:r>
          </w:p>
        </w:tc>
        <w:tc>
          <w:tcPr>
            <w:tcW w:w="708" w:type="dxa"/>
            <w:vMerge w:val="restart"/>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r>
              <w:rPr>
                <w:rFonts w:ascii="Times New Roman" w:hAnsi="Times New Roman"/>
                <w:color w:val="auto"/>
              </w:rPr>
              <w:t>有机无机掺混肥料</w:t>
            </w:r>
          </w:p>
        </w:tc>
        <w:tc>
          <w:tcPr>
            <w:tcW w:w="993" w:type="dxa"/>
            <w:vMerge w:val="restart"/>
            <w:vAlign w:val="center"/>
          </w:tcPr>
          <w:p>
            <w:pPr>
              <w:adjustRightInd w:val="0"/>
              <w:snapToGrid w:val="0"/>
              <w:jc w:val="center"/>
              <w:rPr>
                <w:rFonts w:ascii="Times New Roman" w:hAnsi="Times New Roman"/>
                <w:bCs/>
                <w:color w:val="auto"/>
              </w:rPr>
            </w:pPr>
            <w:r>
              <w:rPr>
                <w:rFonts w:ascii="Times New Roman" w:hAnsi="Times New Roman"/>
                <w:bCs/>
                <w:color w:val="auto"/>
              </w:rPr>
              <w:t>有机无机掺混肥料</w:t>
            </w: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总氮</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18877—2020 有机无机复混肥料</w:t>
            </w:r>
            <w:r>
              <w:rPr>
                <w:rFonts w:hint="eastAsia" w:ascii="Times New Roman" w:hAnsi="Times New Roman"/>
                <w:bCs/>
                <w:color w:val="auto"/>
              </w:rPr>
              <w:t>（含第1号修改单）</w:t>
            </w:r>
          </w:p>
          <w:p>
            <w:pPr>
              <w:adjustRightInd w:val="0"/>
              <w:snapToGrid w:val="0"/>
              <w:jc w:val="left"/>
              <w:rPr>
                <w:rFonts w:ascii="Times New Roman" w:hAnsi="Times New Roman"/>
                <w:bCs/>
                <w:color w:val="auto"/>
              </w:rPr>
            </w:pPr>
            <w:r>
              <w:rPr>
                <w:rFonts w:ascii="Times New Roman" w:hAnsi="Times New Roman"/>
                <w:bCs/>
                <w:color w:val="auto"/>
              </w:rPr>
              <w:t>6.5.1</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消化仪器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1000mL圆底蒸馏烧瓶</w:t>
            </w:r>
          </w:p>
          <w:p>
            <w:pPr>
              <w:adjustRightInd w:val="0"/>
              <w:snapToGrid w:val="0"/>
              <w:jc w:val="center"/>
              <w:rPr>
                <w:rFonts w:ascii="Times New Roman" w:hAnsi="Times New Roman"/>
                <w:bCs/>
                <w:color w:val="auto"/>
              </w:rPr>
            </w:pPr>
            <w:r>
              <w:rPr>
                <w:rFonts w:ascii="Times New Roman" w:hAnsi="Times New Roman"/>
                <w:bCs/>
                <w:color w:val="auto"/>
              </w:rPr>
              <w:t>（与蒸馏仪器配套）和梨形玻璃漏斗</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出厂检验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蒸馏仪器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消化加热装置</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蒸馏加热装置</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滴定管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50mL</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自动定氮仪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具有凯氏蒸馏、自动滴定功能，最小滴定单位为 0.01 mL</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仅采用自动分析仪法时适用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有效磷</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18877—2020 有机无机复混肥料</w:t>
            </w:r>
            <w:r>
              <w:rPr>
                <w:rFonts w:hint="eastAsia" w:ascii="Times New Roman" w:hAnsi="Times New Roman"/>
                <w:bCs/>
                <w:color w:val="auto"/>
              </w:rPr>
              <w:t>（含第1号修改单）</w:t>
            </w:r>
          </w:p>
          <w:p>
            <w:pPr>
              <w:adjustRightInd w:val="0"/>
              <w:snapToGrid w:val="0"/>
              <w:jc w:val="left"/>
              <w:rPr>
                <w:rFonts w:ascii="Times New Roman" w:hAnsi="Times New Roman"/>
                <w:bCs/>
                <w:color w:val="auto"/>
              </w:rPr>
            </w:pPr>
            <w:r>
              <w:rPr>
                <w:rFonts w:ascii="Times New Roman" w:hAnsi="Times New Roman"/>
                <w:bCs/>
                <w:color w:val="auto"/>
              </w:rPr>
              <w:t>6.5.2</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电热恒温干燥箱</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（180±2）℃</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出厂检验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玻璃坩埚式滤器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4号，容积30mL</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恒温水浴振荡器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（60±2）℃</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等离子体发射光谱仪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仅采用等离子体发射光谱法测定有效磷含量时适用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氧化钾</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18877—2020 有机无机复混肥料</w:t>
            </w:r>
            <w:r>
              <w:rPr>
                <w:rFonts w:hint="eastAsia" w:ascii="Times New Roman" w:hAnsi="Times New Roman"/>
                <w:bCs/>
                <w:color w:val="auto"/>
              </w:rPr>
              <w:t>（含第1号修改单）</w:t>
            </w:r>
            <w:r>
              <w:rPr>
                <w:rFonts w:ascii="Times New Roman" w:hAnsi="Times New Roman"/>
                <w:bCs/>
                <w:color w:val="auto"/>
              </w:rPr>
              <w:t>6.5.3</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玻璃坩埚式滤器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4号，容积30mL</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出厂检验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电热恒温干燥箱</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（120±5）℃</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水分</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18877—2020 有机无机复混肥料</w:t>
            </w:r>
            <w:r>
              <w:rPr>
                <w:rFonts w:hint="eastAsia" w:ascii="Times New Roman" w:hAnsi="Times New Roman"/>
                <w:bCs/>
                <w:color w:val="auto"/>
              </w:rPr>
              <w:t>（含第1号修改单）</w:t>
            </w:r>
          </w:p>
          <w:p>
            <w:pPr>
              <w:adjustRightInd w:val="0"/>
              <w:snapToGrid w:val="0"/>
              <w:jc w:val="left"/>
              <w:rPr>
                <w:rFonts w:ascii="Times New Roman" w:hAnsi="Times New Roman"/>
                <w:bCs/>
                <w:color w:val="auto"/>
              </w:rPr>
            </w:pPr>
            <w:r>
              <w:rPr>
                <w:rFonts w:ascii="Times New Roman" w:hAnsi="Times New Roman"/>
                <w:bCs/>
                <w:color w:val="auto"/>
              </w:rPr>
              <w:t>6.6</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电热恒温真空干燥箱（真空烘箱）</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（50±2）℃，真空度可控制在6.4×104pa～7.1×104pa</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出厂检验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带磨口塞称量瓶</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直径50mm，高度30mm</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卡尔费休仪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仅采用卡尔费休法时适用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酸碱度</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18877—2020 有机无机复混肥料</w:t>
            </w:r>
            <w:r>
              <w:rPr>
                <w:rFonts w:hint="eastAsia" w:ascii="Times New Roman" w:hAnsi="Times New Roman"/>
                <w:bCs/>
                <w:color w:val="auto"/>
              </w:rPr>
              <w:t>（含第1号修改单）</w:t>
            </w:r>
          </w:p>
          <w:p>
            <w:pPr>
              <w:adjustRightInd w:val="0"/>
              <w:snapToGrid w:val="0"/>
              <w:jc w:val="left"/>
              <w:rPr>
                <w:rFonts w:ascii="Times New Roman" w:hAnsi="Times New Roman"/>
                <w:bCs/>
                <w:color w:val="auto"/>
              </w:rPr>
            </w:pPr>
            <w:r>
              <w:rPr>
                <w:rFonts w:ascii="Times New Roman" w:hAnsi="Times New Roman"/>
                <w:bCs/>
                <w:color w:val="auto"/>
              </w:rPr>
              <w:t>6.7</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pH酸度计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灵敏度为0.01pH单位</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出厂检验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精度0.01g</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粒度</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18877—2020 有机无机复混肥料</w:t>
            </w:r>
            <w:r>
              <w:rPr>
                <w:rFonts w:hint="eastAsia" w:ascii="Times New Roman" w:hAnsi="Times New Roman"/>
                <w:bCs/>
                <w:color w:val="auto"/>
              </w:rPr>
              <w:t>（含第1号修改单）</w:t>
            </w:r>
          </w:p>
          <w:p>
            <w:pPr>
              <w:adjustRightInd w:val="0"/>
              <w:snapToGrid w:val="0"/>
              <w:jc w:val="left"/>
              <w:rPr>
                <w:rFonts w:ascii="Times New Roman" w:hAnsi="Times New Roman"/>
                <w:bCs/>
                <w:color w:val="auto"/>
              </w:rPr>
            </w:pPr>
            <w:r>
              <w:rPr>
                <w:rFonts w:ascii="Times New Roman" w:hAnsi="Times New Roman"/>
                <w:bCs/>
                <w:color w:val="auto"/>
              </w:rPr>
              <w:t>6.8</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试验筛</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孔径为1.00mm、4.75mm</w:t>
            </w:r>
          </w:p>
          <w:p>
            <w:pPr>
              <w:adjustRightInd w:val="0"/>
              <w:snapToGrid w:val="0"/>
              <w:jc w:val="center"/>
              <w:rPr>
                <w:rFonts w:ascii="Times New Roman" w:hAnsi="Times New Roman"/>
                <w:bCs/>
                <w:color w:val="auto"/>
              </w:rPr>
            </w:pPr>
            <w:r>
              <w:rPr>
                <w:rFonts w:ascii="Times New Roman" w:hAnsi="Times New Roman"/>
                <w:bCs/>
                <w:color w:val="auto"/>
              </w:rPr>
              <w:t>或3.35mm、5.60mm</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出厂检验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产品为特殊粒径的，需配备相应孔径的试验筛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感量为0.5g</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bookmarkStart w:id="15" w:name="OLE_LINK3"/>
            <w:r>
              <w:rPr>
                <w:rFonts w:ascii="Times New Roman" w:hAnsi="Times New Roman"/>
                <w:bCs/>
                <w:color w:val="auto"/>
              </w:rPr>
              <w:t>——</w:t>
            </w:r>
            <w:bookmarkEnd w:id="15"/>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氯离子</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18877—2020 有机无机复混肥料</w:t>
            </w:r>
            <w:r>
              <w:rPr>
                <w:rFonts w:hint="eastAsia" w:ascii="Times New Roman" w:hAnsi="Times New Roman"/>
                <w:bCs/>
                <w:color w:val="auto"/>
              </w:rPr>
              <w:t>（含第1号修改单）</w:t>
            </w:r>
          </w:p>
          <w:p>
            <w:pPr>
              <w:adjustRightInd w:val="0"/>
              <w:snapToGrid w:val="0"/>
              <w:jc w:val="left"/>
              <w:rPr>
                <w:rFonts w:ascii="Times New Roman" w:hAnsi="Times New Roman"/>
                <w:bCs/>
                <w:color w:val="auto"/>
              </w:rPr>
            </w:pPr>
            <w:r>
              <w:rPr>
                <w:rFonts w:ascii="Times New Roman" w:hAnsi="Times New Roman"/>
                <w:bCs/>
                <w:color w:val="auto"/>
              </w:rPr>
              <w:t>6.11</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滴定管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50mL</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出厂检验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适用时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自动电位滴定仪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配有银电极</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采用自动电位滴定法测定氯离子含量适用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钠离子</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18877—2020 有机无机复混肥料</w:t>
            </w:r>
            <w:r>
              <w:rPr>
                <w:rFonts w:hint="eastAsia" w:ascii="Times New Roman" w:hAnsi="Times New Roman"/>
                <w:bCs/>
                <w:color w:val="auto"/>
              </w:rPr>
              <w:t>（含第1号修改单）</w:t>
            </w:r>
          </w:p>
          <w:p>
            <w:pPr>
              <w:adjustRightInd w:val="0"/>
              <w:snapToGrid w:val="0"/>
              <w:jc w:val="left"/>
              <w:rPr>
                <w:rFonts w:ascii="Times New Roman" w:hAnsi="Times New Roman"/>
                <w:bCs/>
                <w:color w:val="auto"/>
              </w:rPr>
            </w:pPr>
            <w:r>
              <w:rPr>
                <w:rFonts w:ascii="Times New Roman" w:hAnsi="Times New Roman"/>
                <w:bCs/>
                <w:color w:val="auto"/>
              </w:rPr>
              <w:t>6.13</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精度0.1mg</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出厂检验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水平往复式振荡器或水浴恒温振荡器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火焰光度计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采用火焰光度法测定钠离子含量适用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等离子体发射光谱仪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采用等离子体发射光谱法测定钠离子含量适用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原子吸收分光光度计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附有空气-乙炔燃烧器</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采用原子吸收分光光度法测定钠离子含量适用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蛔虫卵死亡率</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18877—2020 有机无机复混肥料</w:t>
            </w:r>
            <w:r>
              <w:rPr>
                <w:rFonts w:hint="eastAsia" w:ascii="Times New Roman" w:hAnsi="Times New Roman"/>
                <w:bCs/>
                <w:color w:val="auto"/>
              </w:rPr>
              <w:t>（含第1号修改单）</w:t>
            </w:r>
          </w:p>
          <w:p>
            <w:pPr>
              <w:adjustRightInd w:val="0"/>
              <w:snapToGrid w:val="0"/>
              <w:jc w:val="left"/>
              <w:rPr>
                <w:rFonts w:ascii="Times New Roman" w:hAnsi="Times New Roman"/>
                <w:bCs/>
                <w:color w:val="auto"/>
              </w:rPr>
            </w:pPr>
            <w:r>
              <w:rPr>
                <w:rFonts w:ascii="Times New Roman" w:hAnsi="Times New Roman"/>
                <w:bCs/>
                <w:color w:val="auto"/>
              </w:rPr>
              <w:t>6.9</w:t>
            </w:r>
          </w:p>
        </w:tc>
        <w:tc>
          <w:tcPr>
            <w:tcW w:w="1846" w:type="dxa"/>
            <w:tcMar>
              <w:top w:w="0" w:type="dxa"/>
              <w:left w:w="57" w:type="dxa"/>
              <w:bottom w:w="0" w:type="dxa"/>
              <w:right w:w="57" w:type="dxa"/>
            </w:tcMar>
          </w:tcPr>
          <w:p>
            <w:pPr>
              <w:adjustRightInd w:val="0"/>
              <w:snapToGrid w:val="0"/>
              <w:jc w:val="center"/>
              <w:rPr>
                <w:rFonts w:ascii="Times New Roman" w:hAnsi="Times New Roman"/>
                <w:bCs/>
                <w:color w:val="auto"/>
              </w:rPr>
            </w:pPr>
            <w:r>
              <w:rPr>
                <w:rFonts w:ascii="Times New Roman" w:hAnsi="Times New Roman"/>
                <w:bCs/>
                <w:color w:val="auto"/>
              </w:rPr>
              <w:t>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0.1g</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型式检验</w:t>
            </w:r>
          </w:p>
        </w:tc>
        <w:tc>
          <w:tcPr>
            <w:tcW w:w="1121"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适用时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tcPr>
          <w:p>
            <w:pPr>
              <w:adjustRightInd w:val="0"/>
              <w:snapToGrid w:val="0"/>
              <w:jc w:val="center"/>
              <w:rPr>
                <w:rFonts w:ascii="Times New Roman" w:hAnsi="Times New Roman"/>
                <w:bCs/>
                <w:color w:val="auto"/>
              </w:rPr>
            </w:pPr>
            <w:r>
              <w:rPr>
                <w:rFonts w:ascii="Times New Roman" w:hAnsi="Times New Roman"/>
                <w:bCs/>
                <w:color w:val="auto"/>
              </w:rPr>
              <w:t>离心机</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tcPr>
          <w:p>
            <w:pPr>
              <w:adjustRightInd w:val="0"/>
              <w:snapToGrid w:val="0"/>
              <w:jc w:val="center"/>
              <w:rPr>
                <w:rFonts w:ascii="Times New Roman" w:hAnsi="Times New Roman"/>
                <w:bCs/>
                <w:color w:val="auto"/>
              </w:rPr>
            </w:pPr>
            <w:r>
              <w:rPr>
                <w:rFonts w:ascii="Times New Roman" w:hAnsi="Times New Roman"/>
                <w:bCs/>
                <w:color w:val="auto"/>
              </w:rPr>
              <w:t>往复振荡器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恒温培养箱</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28℃～30℃</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显微镜</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0.1g</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粪大肠菌群数</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18877—2020 有机无机复混肥料</w:t>
            </w:r>
            <w:r>
              <w:rPr>
                <w:rFonts w:hint="eastAsia" w:ascii="Times New Roman" w:hAnsi="Times New Roman"/>
                <w:bCs/>
                <w:color w:val="auto"/>
              </w:rPr>
              <w:t>（含第1号修改单）</w:t>
            </w:r>
          </w:p>
          <w:p>
            <w:pPr>
              <w:adjustRightInd w:val="0"/>
              <w:snapToGrid w:val="0"/>
              <w:jc w:val="left"/>
              <w:rPr>
                <w:rFonts w:ascii="Times New Roman" w:hAnsi="Times New Roman"/>
                <w:bCs/>
                <w:color w:val="auto"/>
              </w:rPr>
            </w:pPr>
            <w:r>
              <w:rPr>
                <w:rFonts w:ascii="Times New Roman" w:hAnsi="Times New Roman"/>
                <w:bCs/>
                <w:color w:val="auto"/>
              </w:rPr>
              <w:t>6.10</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高压蒸汽灭菌器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型式检验</w:t>
            </w:r>
          </w:p>
        </w:tc>
        <w:tc>
          <w:tcPr>
            <w:tcW w:w="1121"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适用时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显微镜</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恒温水浴或隔水式培养箱</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（44.5±0.5）℃</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恒温旋转式摇床</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干燥箱</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0.1g</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酸度计或精密pH试纸</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总镉、总铅、总铬</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 38400—2019 肥料中有毒有害物质的限量要求5.7</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原子吸收分光光度计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color w:val="auto"/>
              </w:rPr>
            </w:pPr>
            <w:r>
              <w:rPr>
                <w:rFonts w:ascii="Times New Roman" w:hAnsi="Times New Roman"/>
                <w:color w:val="auto"/>
              </w:rPr>
              <w:t>有背景校正装置</w:t>
            </w:r>
          </w:p>
          <w:p>
            <w:pPr>
              <w:adjustRightInd w:val="0"/>
              <w:snapToGrid w:val="0"/>
              <w:jc w:val="center"/>
              <w:rPr>
                <w:rFonts w:ascii="Times New Roman" w:hAnsi="Times New Roman"/>
                <w:bCs/>
                <w:color w:val="auto"/>
              </w:rPr>
            </w:pPr>
            <w:r>
              <w:rPr>
                <w:rFonts w:ascii="Times New Roman" w:hAnsi="Times New Roman"/>
                <w:color w:val="auto"/>
              </w:rPr>
              <w:t>配有镉、铅、铬空心阴极灯和空气－乙炔燃烧器或石墨炉</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型式检验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等离子体发射光谱仪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采用等离子体发射光谱法时适用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总汞</w:t>
            </w: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原子吸收分光光度计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配有氢化物发生器、汞空心阴极灯</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型式检验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原子荧光光谱仪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采用原子荧光光谱法时适用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总砷</w:t>
            </w: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定砷仪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型式检验</w:t>
            </w:r>
          </w:p>
        </w:tc>
        <w:tc>
          <w:tcPr>
            <w:tcW w:w="1121"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分光光度计</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1cm吸收池</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原子荧光光谱仪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采用原子荧光光谱法时适用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缩二脲</w:t>
            </w:r>
          </w:p>
        </w:tc>
        <w:tc>
          <w:tcPr>
            <w:tcW w:w="1705" w:type="dxa"/>
            <w:vMerge w:val="restart"/>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GB/T 18877—2020 有机无机复混肥料</w:t>
            </w:r>
            <w:r>
              <w:rPr>
                <w:rFonts w:hint="eastAsia" w:ascii="Times New Roman" w:hAnsi="Times New Roman"/>
                <w:bCs/>
                <w:color w:val="auto"/>
              </w:rPr>
              <w:t>（含第1号修改单）</w:t>
            </w:r>
          </w:p>
          <w:p>
            <w:pPr>
              <w:adjustRightInd w:val="0"/>
              <w:snapToGrid w:val="0"/>
              <w:jc w:val="left"/>
              <w:rPr>
                <w:rFonts w:ascii="Times New Roman" w:hAnsi="Times New Roman"/>
                <w:bCs/>
                <w:color w:val="auto"/>
              </w:rPr>
            </w:pPr>
            <w:r>
              <w:rPr>
                <w:rFonts w:ascii="Times New Roman" w:hAnsi="Times New Roman"/>
                <w:bCs/>
                <w:color w:val="auto"/>
              </w:rPr>
              <w:t>6.14</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电子天平</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精度0.2mg</w:t>
            </w:r>
          </w:p>
        </w:tc>
        <w:tc>
          <w:tcPr>
            <w:tcW w:w="709"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型式检验</w:t>
            </w:r>
          </w:p>
        </w:tc>
        <w:tc>
          <w:tcPr>
            <w:tcW w:w="1121" w:type="dxa"/>
            <w:vMerge w:val="restart"/>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适用时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超声波清洗器</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705" w:type="dxa"/>
            <w:vMerge w:val="continue"/>
            <w:tcMar>
              <w:top w:w="0" w:type="dxa"/>
              <w:left w:w="57" w:type="dxa"/>
              <w:bottom w:w="0" w:type="dxa"/>
              <w:right w:w="57" w:type="dxa"/>
            </w:tcMar>
            <w:vAlign w:val="center"/>
          </w:tcPr>
          <w:p>
            <w:pPr>
              <w:adjustRightInd w:val="0"/>
              <w:snapToGrid w:val="0"/>
              <w:jc w:val="left"/>
              <w:rPr>
                <w:rFonts w:ascii="Times New Roman" w:hAnsi="Times New Roman"/>
                <w:bCs/>
                <w:color w:val="auto"/>
              </w:rPr>
            </w:pP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高效液相色谱仪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带紫外检测器</w:t>
            </w:r>
          </w:p>
        </w:tc>
        <w:tc>
          <w:tcPr>
            <w:tcW w:w="709"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c>
          <w:tcPr>
            <w:tcW w:w="1121" w:type="dxa"/>
            <w:vMerge w:val="continue"/>
            <w:tcMar>
              <w:top w:w="0" w:type="dxa"/>
              <w:left w:w="57" w:type="dxa"/>
              <w:bottom w:w="0" w:type="dxa"/>
              <w:right w:w="57" w:type="dxa"/>
            </w:tcMar>
            <w:vAlign w:val="center"/>
          </w:tcPr>
          <w:p>
            <w:pPr>
              <w:adjustRightInd w:val="0"/>
              <w:snapToGrid w:val="0"/>
              <w:jc w:val="center"/>
              <w:rPr>
                <w:rFonts w:ascii="Times New Roman" w:hAnsi="Times New Roman"/>
                <w:bCs/>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 w:hRule="atLeast"/>
          <w:jc w:val="center"/>
        </w:trPr>
        <w:tc>
          <w:tcPr>
            <w:tcW w:w="421"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708" w:type="dxa"/>
            <w:vMerge w:val="continue"/>
            <w:tcMar>
              <w:top w:w="0" w:type="dxa"/>
              <w:left w:w="57" w:type="dxa"/>
              <w:bottom w:w="0" w:type="dxa"/>
              <w:right w:w="57" w:type="dxa"/>
            </w:tcMar>
            <w:vAlign w:val="center"/>
          </w:tcPr>
          <w:p>
            <w:pPr>
              <w:adjustRightInd w:val="0"/>
              <w:snapToGrid w:val="0"/>
              <w:jc w:val="center"/>
              <w:textAlignment w:val="baseline"/>
              <w:rPr>
                <w:rFonts w:ascii="Times New Roman" w:hAnsi="Times New Roman"/>
                <w:b/>
                <w:color w:val="auto"/>
              </w:rPr>
            </w:pPr>
          </w:p>
        </w:tc>
        <w:tc>
          <w:tcPr>
            <w:tcW w:w="993" w:type="dxa"/>
            <w:vMerge w:val="continue"/>
            <w:vAlign w:val="center"/>
          </w:tcPr>
          <w:p>
            <w:pPr>
              <w:adjustRightInd w:val="0"/>
              <w:snapToGrid w:val="0"/>
              <w:jc w:val="center"/>
              <w:rPr>
                <w:rFonts w:ascii="Times New Roman" w:hAnsi="Times New Roman"/>
                <w:bCs/>
                <w:color w:val="auto"/>
              </w:rPr>
            </w:pPr>
          </w:p>
        </w:tc>
        <w:tc>
          <w:tcPr>
            <w:tcW w:w="993"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总铊</w:t>
            </w:r>
          </w:p>
        </w:tc>
        <w:tc>
          <w:tcPr>
            <w:tcW w:w="1705" w:type="dxa"/>
            <w:tcMar>
              <w:top w:w="0" w:type="dxa"/>
              <w:left w:w="57" w:type="dxa"/>
              <w:bottom w:w="0" w:type="dxa"/>
              <w:right w:w="57" w:type="dxa"/>
            </w:tcMar>
            <w:vAlign w:val="center"/>
          </w:tcPr>
          <w:p>
            <w:pPr>
              <w:adjustRightInd w:val="0"/>
              <w:snapToGrid w:val="0"/>
              <w:jc w:val="left"/>
              <w:rPr>
                <w:rFonts w:ascii="Times New Roman" w:hAnsi="Times New Roman"/>
                <w:bCs/>
                <w:color w:val="auto"/>
              </w:rPr>
            </w:pPr>
            <w:r>
              <w:rPr>
                <w:rFonts w:ascii="Times New Roman" w:hAnsi="Times New Roman"/>
                <w:bCs/>
                <w:color w:val="auto"/>
              </w:rPr>
              <w:t>GB 38400—2019 肥料中有毒有害物质的限量要求5.8</w:t>
            </w:r>
          </w:p>
        </w:tc>
        <w:tc>
          <w:tcPr>
            <w:tcW w:w="1846"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等离子体发射光谱仪</w:t>
            </w:r>
          </w:p>
        </w:tc>
        <w:tc>
          <w:tcPr>
            <w:tcW w:w="198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c>
          <w:tcPr>
            <w:tcW w:w="709"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型式检验</w:t>
            </w:r>
          </w:p>
        </w:tc>
        <w:tc>
          <w:tcPr>
            <w:tcW w:w="1121" w:type="dxa"/>
            <w:tcMar>
              <w:top w:w="0" w:type="dxa"/>
              <w:left w:w="57" w:type="dxa"/>
              <w:bottom w:w="0" w:type="dxa"/>
              <w:right w:w="57" w:type="dxa"/>
            </w:tcMar>
            <w:vAlign w:val="center"/>
          </w:tcPr>
          <w:p>
            <w:pPr>
              <w:adjustRightInd w:val="0"/>
              <w:snapToGrid w:val="0"/>
              <w:jc w:val="center"/>
              <w:rPr>
                <w:rFonts w:ascii="Times New Roman" w:hAnsi="Times New Roman"/>
                <w:bCs/>
                <w:color w:val="auto"/>
              </w:rPr>
            </w:pPr>
            <w:r>
              <w:rPr>
                <w:rFonts w:ascii="Times New Roman" w:hAnsi="Times New Roman"/>
                <w:bCs/>
                <w:color w:val="auto"/>
              </w:rPr>
              <w:t>——</w:t>
            </w:r>
          </w:p>
        </w:tc>
      </w:tr>
    </w:tbl>
    <w:p>
      <w:pPr>
        <w:pStyle w:val="54"/>
        <w:spacing w:before="120" w:beforeLines="50"/>
        <w:rPr>
          <w:rFonts w:ascii="Times New Roman" w:hAnsi="Times New Roman"/>
          <w:color w:val="auto"/>
          <w:sz w:val="18"/>
          <w:szCs w:val="18"/>
        </w:rPr>
      </w:pPr>
      <w:r>
        <w:rPr>
          <w:rFonts w:ascii="Times New Roman" w:hAnsi="Times New Roman" w:eastAsia="黑体"/>
          <w:color w:val="auto"/>
          <w:sz w:val="18"/>
          <w:szCs w:val="18"/>
        </w:rPr>
        <w:t>注：</w:t>
      </w:r>
      <w:r>
        <w:rPr>
          <w:rFonts w:ascii="Times New Roman" w:hAnsi="Times New Roman"/>
          <w:color w:val="auto"/>
          <w:sz w:val="18"/>
          <w:szCs w:val="18"/>
        </w:rPr>
        <w:t>1.本表为企业应具备的检验检测设备，可与上述设备名称不同，但应满足上述设备的功能、量程、精度要求</w:t>
      </w:r>
      <w:r>
        <w:rPr>
          <w:rFonts w:hint="eastAsia" w:ascii="Times New Roman" w:hAnsi="Times New Roman"/>
          <w:color w:val="auto"/>
          <w:sz w:val="18"/>
          <w:szCs w:val="18"/>
        </w:rPr>
        <w:t>，检验检测设备不得租赁</w:t>
      </w:r>
      <w:r>
        <w:rPr>
          <w:rFonts w:ascii="Times New Roman" w:hAnsi="Times New Roman"/>
          <w:color w:val="auto"/>
          <w:sz w:val="18"/>
          <w:szCs w:val="18"/>
        </w:rPr>
        <w:t>。</w:t>
      </w:r>
    </w:p>
    <w:p>
      <w:pPr>
        <w:pStyle w:val="54"/>
        <w:ind w:firstLine="360" w:firstLineChars="200"/>
        <w:rPr>
          <w:rFonts w:ascii="Times New Roman" w:hAnsi="Times New Roman"/>
          <w:color w:val="auto"/>
          <w:sz w:val="18"/>
          <w:szCs w:val="18"/>
        </w:rPr>
      </w:pPr>
      <w:r>
        <w:rPr>
          <w:rFonts w:ascii="Times New Roman" w:hAnsi="Times New Roman"/>
          <w:color w:val="auto"/>
          <w:sz w:val="18"/>
          <w:szCs w:val="18"/>
        </w:rPr>
        <w:t>2.出厂检验项目若有多种检验方法，企业应至少满足其中一种检验方法所规定的检验检测设备。</w:t>
      </w:r>
    </w:p>
    <w:p>
      <w:pPr>
        <w:pStyle w:val="54"/>
        <w:ind w:firstLine="360" w:firstLineChars="200"/>
        <w:rPr>
          <w:rFonts w:ascii="Times New Roman" w:hAnsi="Times New Roman"/>
          <w:color w:val="auto"/>
          <w:sz w:val="18"/>
          <w:szCs w:val="18"/>
        </w:rPr>
      </w:pPr>
      <w:r>
        <w:rPr>
          <w:rFonts w:ascii="Times New Roman" w:hAnsi="Times New Roman"/>
          <w:color w:val="auto"/>
          <w:sz w:val="18"/>
          <w:szCs w:val="18"/>
        </w:rPr>
        <w:t>3.企业可不具备型式检验检测设备，其相应的检验检测项目可委托具有CMA资质的第三方检验检测机构进行检验检测。</w:t>
      </w:r>
    </w:p>
    <w:p>
      <w:pPr>
        <w:pStyle w:val="54"/>
        <w:ind w:firstLine="360" w:firstLineChars="200"/>
        <w:rPr>
          <w:rFonts w:ascii="Times New Roman" w:hAnsi="Times New Roman"/>
          <w:color w:val="auto"/>
          <w:sz w:val="18"/>
          <w:szCs w:val="18"/>
        </w:rPr>
      </w:pPr>
      <w:r>
        <w:rPr>
          <w:rFonts w:ascii="Times New Roman" w:hAnsi="Times New Roman"/>
          <w:color w:val="auto"/>
          <w:sz w:val="18"/>
          <w:szCs w:val="18"/>
        </w:rPr>
        <w:t>4.复合肥料、掺混肥料的缩二脲含量每六个月至少进行一次型式检验，总镉、总汞、总砷、总铅、总铬、总铊含量每两年至少进行一次型式检验，有机无机复混肥料、有机无机掺混肥料的蛔虫卵死亡率、粪大肠菌群数、缩二脲、总镉、总汞、总砷、总铅、总铬含量每六个月至少进行一次型式检验，总铊含量每两年至少进行一次型式检验。</w:t>
      </w:r>
    </w:p>
    <w:p>
      <w:pPr>
        <w:pStyle w:val="54"/>
        <w:ind w:firstLine="360" w:firstLineChars="200"/>
        <w:rPr>
          <w:rFonts w:ascii="Times New Roman" w:hAnsi="Times New Roman"/>
          <w:color w:val="auto"/>
          <w:sz w:val="18"/>
          <w:szCs w:val="18"/>
        </w:rPr>
      </w:pPr>
      <w:r>
        <w:rPr>
          <w:rFonts w:ascii="Times New Roman" w:hAnsi="Times New Roman"/>
          <w:color w:val="auto"/>
          <w:sz w:val="18"/>
          <w:szCs w:val="18"/>
        </w:rPr>
        <w:t>5.有机无机掺混肥料的取样按照GB/T 21633的相关规定进行。</w:t>
      </w:r>
    </w:p>
    <w:p>
      <w:pPr>
        <w:pStyle w:val="54"/>
        <w:ind w:firstLine="360" w:firstLineChars="200"/>
        <w:rPr>
          <w:rFonts w:ascii="Times New Roman" w:hAnsi="Times New Roman"/>
          <w:color w:val="auto"/>
          <w:sz w:val="18"/>
          <w:szCs w:val="18"/>
        </w:rPr>
      </w:pPr>
      <w:r>
        <w:rPr>
          <w:rFonts w:ascii="Times New Roman" w:hAnsi="Times New Roman"/>
          <w:color w:val="auto"/>
          <w:sz w:val="18"/>
          <w:szCs w:val="18"/>
        </w:rPr>
        <w:t>6.同一检验室和相关检测仪器仅限于一家企业的生产许可证申请，每个取证的分公司或生产厂点应具有独立的检验室和检测仪器。</w:t>
      </w:r>
    </w:p>
    <w:p>
      <w:pPr>
        <w:spacing w:after="240" w:afterLines="100"/>
        <w:ind w:firstLine="420" w:firstLineChars="200"/>
        <w:rPr>
          <w:rFonts w:ascii="Times New Roman" w:hAnsi="Times New Roman"/>
          <w:color w:val="auto"/>
        </w:rPr>
      </w:pPr>
    </w:p>
    <w:p>
      <w:pPr>
        <w:adjustRightInd w:val="0"/>
        <w:snapToGrid w:val="0"/>
        <w:spacing w:line="360" w:lineRule="auto"/>
        <w:ind w:firstLine="420" w:firstLineChars="200"/>
        <w:rPr>
          <w:rFonts w:ascii="Times New Roman" w:hAnsi="Times New Roman"/>
          <w:color w:val="auto"/>
        </w:rPr>
      </w:pPr>
      <w:r>
        <w:rPr>
          <w:rFonts w:ascii="Times New Roman" w:hAnsi="Times New Roman"/>
          <w:color w:val="auto"/>
        </w:rPr>
        <w:t>第七条 出厂检验要求</w:t>
      </w:r>
    </w:p>
    <w:p>
      <w:pPr>
        <w:spacing w:line="360" w:lineRule="auto"/>
        <w:ind w:firstLine="420"/>
        <w:rPr>
          <w:rFonts w:ascii="Times New Roman" w:hAnsi="Times New Roman"/>
          <w:color w:val="auto"/>
        </w:rPr>
      </w:pPr>
      <w:r>
        <w:rPr>
          <w:rFonts w:ascii="Times New Roman" w:hAnsi="Times New Roman"/>
          <w:color w:val="auto"/>
        </w:rPr>
        <w:t>企业应制定产品出厂检验相关制度，出厂检验项目应覆盖产品标准中规定的出厂检验项目。</w:t>
      </w:r>
    </w:p>
    <w:p>
      <w:pPr>
        <w:snapToGrid w:val="0"/>
        <w:spacing w:line="360" w:lineRule="auto"/>
        <w:ind w:firstLine="420"/>
        <w:rPr>
          <w:rFonts w:ascii="Times New Roman" w:hAnsi="Times New Roman"/>
          <w:color w:val="auto"/>
        </w:rPr>
      </w:pPr>
      <w:r>
        <w:rPr>
          <w:rFonts w:ascii="Times New Roman" w:hAnsi="Times New Roman"/>
          <w:color w:val="auto"/>
        </w:rPr>
        <w:t>第八条</w:t>
      </w:r>
      <w:bookmarkStart w:id="16" w:name="_Hlk175121057"/>
      <w:r>
        <w:rPr>
          <w:rFonts w:ascii="Times New Roman" w:hAnsi="Times New Roman"/>
          <w:color w:val="auto"/>
        </w:rPr>
        <w:t xml:space="preserve"> 企业申请发证、证书延续、许可范围变更（生产地址迁移，新建生产线、增加生产场点、增加产品单元、增加复肥种类、应具备的生产设备发生变化、工艺变更）等事项，应进行实地核查，符合通则和本细则条件的，颁（换）发生产许可证证书。企业申请名称变更、补领、许可范围变更（减少生产场点、减少生产线、减少产品单元、减少复肥种类）等事项，无需进行实地核查，符合通则及本细则条件的，颁（换）发生产许可证书。</w:t>
      </w:r>
      <w:bookmarkEnd w:id="16"/>
    </w:p>
    <w:p>
      <w:pPr>
        <w:snapToGrid w:val="0"/>
        <w:spacing w:line="360" w:lineRule="auto"/>
        <w:ind w:firstLine="420"/>
        <w:rPr>
          <w:rFonts w:ascii="Times New Roman" w:hAnsi="Times New Roman"/>
          <w:color w:val="auto"/>
        </w:rPr>
      </w:pPr>
    </w:p>
    <w:p>
      <w:pPr>
        <w:spacing w:line="360" w:lineRule="auto"/>
        <w:jc w:val="center"/>
        <w:outlineLvl w:val="0"/>
        <w:rPr>
          <w:rFonts w:ascii="Times New Roman" w:hAnsi="Times New Roman"/>
          <w:b/>
          <w:color w:val="auto"/>
          <w:sz w:val="28"/>
          <w:szCs w:val="28"/>
        </w:rPr>
      </w:pPr>
      <w:bookmarkStart w:id="17" w:name="_Toc178002555"/>
      <w:bookmarkStart w:id="18" w:name="_Toc178002836"/>
      <w:bookmarkStart w:id="19" w:name="_Toc507721778"/>
      <w:r>
        <w:rPr>
          <w:rFonts w:ascii="Times New Roman" w:hAnsi="Times New Roman"/>
          <w:b/>
          <w:color w:val="auto"/>
          <w:sz w:val="28"/>
          <w:szCs w:val="28"/>
        </w:rPr>
        <w:t>第四章 产品检验检测报告</w:t>
      </w:r>
      <w:bookmarkEnd w:id="17"/>
      <w:bookmarkEnd w:id="18"/>
    </w:p>
    <w:p>
      <w:pPr>
        <w:adjustRightInd w:val="0"/>
        <w:snapToGrid w:val="0"/>
        <w:spacing w:line="360" w:lineRule="auto"/>
        <w:ind w:firstLine="420" w:firstLineChars="200"/>
        <w:rPr>
          <w:rFonts w:ascii="Times New Roman" w:hAnsi="Times New Roman"/>
          <w:color w:val="auto"/>
        </w:rPr>
      </w:pPr>
      <w:bookmarkStart w:id="20" w:name="_Hlk175121102"/>
      <w:r>
        <w:rPr>
          <w:rFonts w:ascii="Times New Roman" w:hAnsi="Times New Roman"/>
          <w:color w:val="auto"/>
        </w:rPr>
        <w:t>第九条</w:t>
      </w:r>
      <w:r>
        <w:rPr>
          <w:rFonts w:ascii="Times New Roman" w:hAnsi="Times New Roman"/>
          <w:color w:val="auto"/>
        </w:rPr>
        <w:tab/>
      </w:r>
      <w:r>
        <w:rPr>
          <w:rFonts w:ascii="Times New Roman" w:hAnsi="Times New Roman"/>
          <w:color w:val="auto"/>
        </w:rPr>
        <w:t xml:space="preserve"> 企业提交的产品检验检测报告包括型式检验报告、委托产品检验检测报告或省级以上政府监督检验报告中的任意一类报告。</w:t>
      </w:r>
    </w:p>
    <w:p>
      <w:pPr>
        <w:adjustRightInd w:val="0"/>
        <w:snapToGrid w:val="0"/>
        <w:spacing w:line="360" w:lineRule="auto"/>
        <w:ind w:firstLine="420" w:firstLineChars="200"/>
        <w:rPr>
          <w:rFonts w:ascii="Times New Roman" w:hAnsi="Times New Roman"/>
          <w:color w:val="auto"/>
        </w:rPr>
      </w:pPr>
      <w:bookmarkStart w:id="21" w:name="_Hlk167793021"/>
      <w:r>
        <w:rPr>
          <w:rFonts w:ascii="Times New Roman" w:hAnsi="Times New Roman"/>
          <w:color w:val="auto"/>
        </w:rPr>
        <w:t>（一）企业应按照申请取证的</w:t>
      </w:r>
      <w:bookmarkStart w:id="22" w:name="_Hlk174363223"/>
      <w:r>
        <w:rPr>
          <w:rFonts w:ascii="Times New Roman" w:hAnsi="Times New Roman"/>
          <w:color w:val="auto"/>
        </w:rPr>
        <w:t>相应产品单元</w:t>
      </w:r>
      <w:bookmarkEnd w:id="22"/>
      <w:r>
        <w:rPr>
          <w:rFonts w:ascii="Times New Roman" w:hAnsi="Times New Roman"/>
          <w:color w:val="auto"/>
        </w:rPr>
        <w:t>中的复肥种类提供产品检验检测合格报告；</w:t>
      </w:r>
    </w:p>
    <w:bookmarkEnd w:id="20"/>
    <w:p>
      <w:pPr>
        <w:adjustRightInd w:val="0"/>
        <w:snapToGrid w:val="0"/>
        <w:spacing w:line="360" w:lineRule="auto"/>
        <w:ind w:firstLine="420" w:firstLineChars="200"/>
        <w:rPr>
          <w:rFonts w:ascii="Times New Roman" w:hAnsi="Times New Roman"/>
          <w:color w:val="auto"/>
        </w:rPr>
      </w:pPr>
      <w:r>
        <w:rPr>
          <w:rFonts w:ascii="Times New Roman" w:hAnsi="Times New Roman"/>
          <w:color w:val="auto"/>
        </w:rPr>
        <w:t>（二）1个复肥种类应提交1份覆盖本细则附件1规定的产品检验检测项目的报告，不得为多份检验检测报告组合；</w:t>
      </w:r>
    </w:p>
    <w:p>
      <w:pPr>
        <w:adjustRightInd w:val="0"/>
        <w:snapToGrid w:val="0"/>
        <w:spacing w:line="360" w:lineRule="auto"/>
        <w:ind w:firstLine="420" w:firstLineChars="200"/>
        <w:rPr>
          <w:rFonts w:ascii="Times New Roman" w:hAnsi="Times New Roman"/>
          <w:color w:val="auto"/>
        </w:rPr>
      </w:pPr>
      <w:r>
        <w:rPr>
          <w:rFonts w:ascii="Times New Roman" w:hAnsi="Times New Roman"/>
          <w:color w:val="auto"/>
        </w:rPr>
        <w:t>（三）产品检验检测报告应为6个月内（自检验检测报告签发之日起）的合格检验检测报告。出具报告的检验检测机构应具备相应检验检测项目CMA资质认定证书，机构的检测能力表及检验检测范围应包含相应的检验检测项目；</w:t>
      </w:r>
    </w:p>
    <w:p>
      <w:pPr>
        <w:adjustRightInd w:val="0"/>
        <w:snapToGrid w:val="0"/>
        <w:spacing w:line="360" w:lineRule="auto"/>
        <w:ind w:firstLine="420" w:firstLineChars="200"/>
        <w:rPr>
          <w:rFonts w:ascii="Times New Roman" w:hAnsi="Times New Roman"/>
          <w:color w:val="auto"/>
        </w:rPr>
      </w:pPr>
      <w:r>
        <w:rPr>
          <w:rFonts w:ascii="Times New Roman" w:hAnsi="Times New Roman"/>
          <w:color w:val="auto"/>
        </w:rPr>
        <w:t>（四）企业有多个生产场点时，按每个生产场点所申请的相应产品单元中的复肥种类分别提交相应的产品检验检测合格报告。</w:t>
      </w:r>
    </w:p>
    <w:bookmarkEnd w:id="21"/>
    <w:p>
      <w:pPr>
        <w:pStyle w:val="56"/>
        <w:spacing w:line="360" w:lineRule="auto"/>
        <w:ind w:firstLine="0"/>
        <w:jc w:val="center"/>
        <w:outlineLvl w:val="0"/>
        <w:rPr>
          <w:rFonts w:ascii="Times New Roman" w:hAnsi="Times New Roman" w:eastAsia="宋体"/>
          <w:b/>
          <w:color w:val="auto"/>
          <w:sz w:val="28"/>
          <w:szCs w:val="28"/>
        </w:rPr>
      </w:pPr>
    </w:p>
    <w:p>
      <w:pPr>
        <w:pStyle w:val="56"/>
        <w:spacing w:line="360" w:lineRule="auto"/>
        <w:ind w:firstLine="0"/>
        <w:jc w:val="center"/>
        <w:outlineLvl w:val="0"/>
        <w:rPr>
          <w:rFonts w:ascii="Times New Roman" w:hAnsi="Times New Roman" w:eastAsia="宋体"/>
          <w:b/>
          <w:color w:val="auto"/>
          <w:sz w:val="28"/>
          <w:szCs w:val="28"/>
        </w:rPr>
      </w:pPr>
      <w:bookmarkStart w:id="23" w:name="_Toc178002556"/>
      <w:bookmarkStart w:id="24" w:name="_Toc178002837"/>
      <w:r>
        <w:rPr>
          <w:rFonts w:ascii="Times New Roman" w:hAnsi="Times New Roman" w:eastAsia="宋体"/>
          <w:b/>
          <w:color w:val="auto"/>
          <w:sz w:val="28"/>
          <w:szCs w:val="28"/>
        </w:rPr>
        <w:t>第五章 企业实地核查</w:t>
      </w:r>
      <w:bookmarkEnd w:id="19"/>
      <w:bookmarkEnd w:id="23"/>
      <w:bookmarkEnd w:id="24"/>
    </w:p>
    <w:p>
      <w:pPr>
        <w:adjustRightInd w:val="0"/>
        <w:snapToGrid w:val="0"/>
        <w:spacing w:line="360" w:lineRule="auto"/>
        <w:ind w:firstLine="420"/>
        <w:rPr>
          <w:rFonts w:ascii="Times New Roman" w:hAnsi="Times New Roman"/>
          <w:color w:val="auto"/>
        </w:rPr>
      </w:pPr>
      <w:bookmarkStart w:id="25" w:name="_Hlk142917776"/>
      <w:r>
        <w:rPr>
          <w:rFonts w:ascii="Times New Roman" w:hAnsi="Times New Roman"/>
          <w:color w:val="auto"/>
        </w:rPr>
        <w:t>第十条</w:t>
      </w:r>
      <w:bookmarkEnd w:id="25"/>
      <w:bookmarkStart w:id="26" w:name="_Hlk175121152"/>
      <w:r>
        <w:rPr>
          <w:rFonts w:ascii="Times New Roman" w:hAnsi="Times New Roman"/>
          <w:color w:val="auto"/>
        </w:rPr>
        <w:t xml:space="preserve"> 省级工业产品生产许可证主管部门受理企业申请后，应组织对企业的实地核查。</w:t>
      </w:r>
      <w:bookmarkEnd w:id="26"/>
    </w:p>
    <w:p>
      <w:pPr>
        <w:adjustRightInd w:val="0"/>
        <w:snapToGrid w:val="0"/>
        <w:spacing w:line="360" w:lineRule="auto"/>
        <w:ind w:firstLine="420"/>
        <w:rPr>
          <w:rFonts w:ascii="Times New Roman" w:hAnsi="Times New Roman"/>
          <w:color w:val="auto"/>
        </w:rPr>
      </w:pPr>
      <w:r>
        <w:rPr>
          <w:rFonts w:ascii="Times New Roman" w:hAnsi="Times New Roman"/>
          <w:color w:val="auto"/>
        </w:rPr>
        <w:t>企业应根据本细则要求和实际情况，准备好《企业核查时需准备的书面材料清单》（附件2）中要求的材料：</w:t>
      </w:r>
    </w:p>
    <w:p>
      <w:pPr>
        <w:adjustRightInd w:val="0"/>
        <w:snapToGrid w:val="0"/>
        <w:spacing w:line="360" w:lineRule="auto"/>
        <w:ind w:firstLine="420"/>
        <w:rPr>
          <w:rFonts w:ascii="Times New Roman" w:hAnsi="Times New Roman"/>
          <w:color w:val="auto"/>
        </w:rPr>
      </w:pPr>
      <w:r>
        <w:rPr>
          <w:rFonts w:ascii="Times New Roman" w:hAnsi="Times New Roman"/>
          <w:color w:val="auto"/>
        </w:rPr>
        <w:t>（一）</w:t>
      </w:r>
      <w:r>
        <w:rPr>
          <w:rFonts w:ascii="Times New Roman" w:hAnsi="Times New Roman"/>
          <w:color w:val="auto"/>
        </w:rPr>
        <w:tab/>
      </w:r>
      <w:r>
        <w:rPr>
          <w:rFonts w:ascii="Times New Roman" w:hAnsi="Times New Roman"/>
          <w:color w:val="auto"/>
        </w:rPr>
        <w:t>生产场所示意图（附件2-1）；</w:t>
      </w:r>
    </w:p>
    <w:p>
      <w:pPr>
        <w:adjustRightInd w:val="0"/>
        <w:snapToGrid w:val="0"/>
        <w:spacing w:line="360" w:lineRule="auto"/>
        <w:ind w:firstLine="420"/>
        <w:rPr>
          <w:rFonts w:ascii="Times New Roman" w:hAnsi="Times New Roman"/>
          <w:color w:val="auto"/>
        </w:rPr>
      </w:pPr>
      <w:r>
        <w:rPr>
          <w:rFonts w:ascii="Times New Roman" w:hAnsi="Times New Roman"/>
          <w:color w:val="auto"/>
        </w:rPr>
        <w:t>（二）</w:t>
      </w:r>
      <w:r>
        <w:rPr>
          <w:rFonts w:ascii="Times New Roman" w:hAnsi="Times New Roman"/>
          <w:color w:val="auto"/>
        </w:rPr>
        <w:tab/>
      </w:r>
      <w:r>
        <w:rPr>
          <w:rFonts w:ascii="Times New Roman" w:hAnsi="Times New Roman"/>
          <w:color w:val="auto"/>
        </w:rPr>
        <w:t>主要工艺流程图（附件2-2）；</w:t>
      </w:r>
    </w:p>
    <w:p>
      <w:pPr>
        <w:adjustRightInd w:val="0"/>
        <w:snapToGrid w:val="0"/>
        <w:spacing w:line="360" w:lineRule="auto"/>
        <w:ind w:firstLine="420"/>
        <w:rPr>
          <w:rFonts w:ascii="Times New Roman" w:hAnsi="Times New Roman"/>
          <w:color w:val="auto"/>
        </w:rPr>
      </w:pPr>
      <w:r>
        <w:rPr>
          <w:rFonts w:ascii="Times New Roman" w:hAnsi="Times New Roman"/>
          <w:color w:val="auto"/>
        </w:rPr>
        <w:t>（三）</w:t>
      </w:r>
      <w:r>
        <w:rPr>
          <w:rFonts w:ascii="Times New Roman" w:hAnsi="Times New Roman"/>
          <w:color w:val="auto"/>
        </w:rPr>
        <w:tab/>
      </w:r>
      <w:r>
        <w:rPr>
          <w:rFonts w:ascii="Times New Roman" w:hAnsi="Times New Roman"/>
          <w:color w:val="auto"/>
        </w:rPr>
        <w:t>主要生产设施和检验检测设施表（附件2-3）；</w:t>
      </w:r>
    </w:p>
    <w:p>
      <w:pPr>
        <w:adjustRightInd w:val="0"/>
        <w:snapToGrid w:val="0"/>
        <w:spacing w:line="360" w:lineRule="auto"/>
        <w:ind w:firstLine="420"/>
        <w:rPr>
          <w:rFonts w:ascii="Times New Roman" w:hAnsi="Times New Roman"/>
          <w:color w:val="auto"/>
        </w:rPr>
      </w:pPr>
      <w:r>
        <w:rPr>
          <w:rFonts w:ascii="Times New Roman" w:hAnsi="Times New Roman"/>
          <w:color w:val="auto"/>
        </w:rPr>
        <w:t>（四）</w:t>
      </w:r>
      <w:r>
        <w:rPr>
          <w:rFonts w:ascii="Times New Roman" w:hAnsi="Times New Roman"/>
          <w:color w:val="auto"/>
        </w:rPr>
        <w:tab/>
      </w:r>
      <w:r>
        <w:rPr>
          <w:rFonts w:ascii="Times New Roman" w:hAnsi="Times New Roman"/>
          <w:color w:val="auto"/>
        </w:rPr>
        <w:t>主要生产设备表（附件2-4）；</w:t>
      </w:r>
    </w:p>
    <w:p>
      <w:pPr>
        <w:adjustRightInd w:val="0"/>
        <w:snapToGrid w:val="0"/>
        <w:spacing w:line="360" w:lineRule="auto"/>
        <w:ind w:firstLine="420"/>
        <w:rPr>
          <w:rFonts w:ascii="Times New Roman" w:hAnsi="Times New Roman"/>
          <w:color w:val="auto"/>
        </w:rPr>
      </w:pPr>
      <w:r>
        <w:rPr>
          <w:rFonts w:ascii="Times New Roman" w:hAnsi="Times New Roman"/>
          <w:color w:val="auto"/>
        </w:rPr>
        <w:t>（五）</w:t>
      </w:r>
      <w:r>
        <w:rPr>
          <w:rFonts w:ascii="Times New Roman" w:hAnsi="Times New Roman"/>
          <w:color w:val="auto"/>
        </w:rPr>
        <w:tab/>
      </w:r>
      <w:r>
        <w:rPr>
          <w:rFonts w:ascii="Times New Roman" w:hAnsi="Times New Roman"/>
          <w:color w:val="auto"/>
        </w:rPr>
        <w:t>主要检验检测设备表（附件2-5）；</w:t>
      </w:r>
    </w:p>
    <w:p>
      <w:pPr>
        <w:adjustRightInd w:val="0"/>
        <w:snapToGrid w:val="0"/>
        <w:spacing w:line="360" w:lineRule="auto"/>
        <w:ind w:firstLine="420"/>
        <w:rPr>
          <w:rFonts w:ascii="Times New Roman" w:hAnsi="Times New Roman"/>
          <w:color w:val="auto"/>
        </w:rPr>
      </w:pPr>
      <w:r>
        <w:rPr>
          <w:rFonts w:ascii="Times New Roman" w:hAnsi="Times New Roman"/>
          <w:color w:val="auto"/>
        </w:rPr>
        <w:t>（六）</w:t>
      </w:r>
      <w:r>
        <w:rPr>
          <w:rFonts w:ascii="Times New Roman" w:hAnsi="Times New Roman"/>
          <w:color w:val="auto"/>
        </w:rPr>
        <w:tab/>
      </w:r>
      <w:r>
        <w:rPr>
          <w:rFonts w:ascii="Times New Roman" w:hAnsi="Times New Roman"/>
          <w:color w:val="auto"/>
        </w:rPr>
        <w:t>主要原材料明细表（附件2-6）；</w:t>
      </w:r>
    </w:p>
    <w:p>
      <w:pPr>
        <w:adjustRightInd w:val="0"/>
        <w:snapToGrid w:val="0"/>
        <w:spacing w:line="360" w:lineRule="auto"/>
        <w:ind w:firstLine="420"/>
        <w:rPr>
          <w:rFonts w:ascii="Times New Roman" w:hAnsi="Times New Roman"/>
          <w:color w:val="auto"/>
        </w:rPr>
      </w:pPr>
      <w:r>
        <w:rPr>
          <w:rFonts w:ascii="Times New Roman" w:hAnsi="Times New Roman"/>
          <w:color w:val="auto"/>
        </w:rPr>
        <w:t>（七）</w:t>
      </w:r>
      <w:r>
        <w:rPr>
          <w:rFonts w:ascii="Times New Roman" w:hAnsi="Times New Roman"/>
          <w:color w:val="auto"/>
        </w:rPr>
        <w:tab/>
      </w:r>
      <w:r>
        <w:rPr>
          <w:rFonts w:ascii="Times New Roman" w:hAnsi="Times New Roman"/>
          <w:color w:val="auto"/>
        </w:rPr>
        <w:t>关键岗位管理和专业技术人员表（附件2-7）；</w:t>
      </w:r>
    </w:p>
    <w:p>
      <w:pPr>
        <w:adjustRightInd w:val="0"/>
        <w:snapToGrid w:val="0"/>
        <w:spacing w:line="360" w:lineRule="auto"/>
        <w:ind w:firstLine="420"/>
        <w:rPr>
          <w:rFonts w:ascii="Times New Roman" w:hAnsi="Times New Roman"/>
          <w:color w:val="auto"/>
        </w:rPr>
      </w:pPr>
      <w:r>
        <w:rPr>
          <w:rFonts w:ascii="Times New Roman" w:hAnsi="Times New Roman"/>
          <w:color w:val="auto"/>
        </w:rPr>
        <w:t>（八）</w:t>
      </w:r>
      <w:r>
        <w:rPr>
          <w:rFonts w:ascii="Times New Roman" w:hAnsi="Times New Roman"/>
          <w:color w:val="auto"/>
        </w:rPr>
        <w:tab/>
      </w:r>
      <w:r>
        <w:rPr>
          <w:rFonts w:ascii="Times New Roman" w:hAnsi="Times New Roman"/>
          <w:color w:val="auto"/>
        </w:rPr>
        <w:t>技术文件和工艺文件清单（附件2-8）；</w:t>
      </w:r>
    </w:p>
    <w:p>
      <w:pPr>
        <w:adjustRightInd w:val="0"/>
        <w:snapToGrid w:val="0"/>
        <w:spacing w:line="360" w:lineRule="auto"/>
        <w:ind w:firstLine="420"/>
        <w:rPr>
          <w:rFonts w:ascii="Times New Roman" w:hAnsi="Times New Roman"/>
          <w:color w:val="auto"/>
        </w:rPr>
      </w:pPr>
      <w:r>
        <w:rPr>
          <w:rFonts w:ascii="Times New Roman" w:hAnsi="Times New Roman"/>
          <w:color w:val="auto"/>
        </w:rPr>
        <w:t>（九）</w:t>
      </w:r>
      <w:r>
        <w:rPr>
          <w:rFonts w:ascii="Times New Roman" w:hAnsi="Times New Roman"/>
          <w:color w:val="auto"/>
        </w:rPr>
        <w:tab/>
      </w:r>
      <w:r>
        <w:rPr>
          <w:rFonts w:ascii="Times New Roman" w:hAnsi="Times New Roman"/>
          <w:color w:val="auto"/>
        </w:rPr>
        <w:t>产品质量安全管理制度和产品质量安全追溯制度文件清单（附件2-9）；</w:t>
      </w:r>
    </w:p>
    <w:p>
      <w:pPr>
        <w:adjustRightInd w:val="0"/>
        <w:snapToGrid w:val="0"/>
        <w:spacing w:line="360" w:lineRule="auto"/>
        <w:ind w:firstLine="420"/>
        <w:rPr>
          <w:rFonts w:ascii="Times New Roman" w:hAnsi="Times New Roman"/>
          <w:color w:val="auto"/>
        </w:rPr>
      </w:pPr>
      <w:r>
        <w:rPr>
          <w:rFonts w:ascii="Times New Roman" w:hAnsi="Times New Roman"/>
          <w:color w:val="auto"/>
        </w:rPr>
        <w:t>（十）</w:t>
      </w:r>
      <w:r>
        <w:rPr>
          <w:rFonts w:ascii="Times New Roman" w:hAnsi="Times New Roman"/>
          <w:color w:val="auto"/>
        </w:rPr>
        <w:tab/>
      </w:r>
      <w:r>
        <w:rPr>
          <w:rFonts w:ascii="Times New Roman" w:hAnsi="Times New Roman"/>
          <w:color w:val="auto"/>
        </w:rPr>
        <w:t>企业执行的产品标准及相关标准清单（附件2-10）。</w:t>
      </w:r>
    </w:p>
    <w:p>
      <w:pPr>
        <w:adjustRightInd w:val="0"/>
        <w:snapToGrid w:val="0"/>
        <w:spacing w:line="360" w:lineRule="auto"/>
        <w:ind w:firstLine="420"/>
        <w:rPr>
          <w:rFonts w:ascii="Times New Roman" w:hAnsi="Times New Roman"/>
          <w:color w:val="auto"/>
        </w:rPr>
      </w:pPr>
      <w:r>
        <w:rPr>
          <w:rFonts w:ascii="Times New Roman" w:hAnsi="Times New Roman"/>
          <w:color w:val="auto"/>
        </w:rPr>
        <w:t>第十一条 现场实地核查时，企业应处于正常生产状态，申请取证产品应具备的生产设备处于正常运转状态，应具备的检验检测设备能够正常使用，相关人员应在岗到位。</w:t>
      </w:r>
    </w:p>
    <w:p>
      <w:pPr>
        <w:tabs>
          <w:tab w:val="left" w:pos="1418"/>
        </w:tabs>
        <w:adjustRightInd w:val="0"/>
        <w:snapToGrid w:val="0"/>
        <w:spacing w:line="360" w:lineRule="auto"/>
        <w:ind w:firstLine="420"/>
        <w:rPr>
          <w:rFonts w:ascii="Times New Roman" w:hAnsi="Times New Roman"/>
          <w:color w:val="auto"/>
        </w:rPr>
      </w:pPr>
      <w:r>
        <w:rPr>
          <w:rFonts w:ascii="Times New Roman" w:hAnsi="Times New Roman"/>
          <w:color w:val="auto"/>
        </w:rPr>
        <w:t>第十二条 核查组现场按照《复肥产品生产许可证企业实地核查办法》（附件3）进行实地核查，做好记录，按产品单元分别填写《复肥产品生产许可证企业实地核查办法》（附件3）、《企业实地核查不符合和建议改进条款汇总表》（附件4）和《生产许可证企业实地核查报告》（附件5）。如有多个生产场点，应当按每个生产场点分别形成上述相应材料。</w:t>
      </w:r>
    </w:p>
    <w:p>
      <w:pPr>
        <w:tabs>
          <w:tab w:val="left" w:pos="1418"/>
        </w:tabs>
        <w:adjustRightInd w:val="0"/>
        <w:snapToGrid w:val="0"/>
        <w:spacing w:line="360" w:lineRule="auto"/>
        <w:ind w:firstLine="420"/>
        <w:rPr>
          <w:rFonts w:ascii="Times New Roman" w:hAnsi="Times New Roman"/>
          <w:color w:val="auto"/>
        </w:rPr>
      </w:pPr>
      <w:r>
        <w:rPr>
          <w:rFonts w:ascii="Times New Roman" w:hAnsi="Times New Roman"/>
          <w:color w:val="auto"/>
        </w:rPr>
        <w:t>第十三条 实地核查判定原则</w:t>
      </w:r>
    </w:p>
    <w:p>
      <w:pPr>
        <w:adjustRightInd w:val="0"/>
        <w:snapToGrid w:val="0"/>
        <w:spacing w:line="360" w:lineRule="auto"/>
        <w:ind w:firstLine="420"/>
        <w:rPr>
          <w:rFonts w:ascii="Times New Roman" w:hAnsi="Times New Roman"/>
          <w:color w:val="auto"/>
        </w:rPr>
      </w:pPr>
      <w:r>
        <w:rPr>
          <w:rFonts w:ascii="Times New Roman" w:hAnsi="Times New Roman"/>
          <w:color w:val="auto"/>
        </w:rPr>
        <w:t>（一）核查组应对实地核查办法的每一个条款进行核查，并根据其满足细则要求与否分别作出符合、不符合、建议改进的判定；</w:t>
      </w:r>
    </w:p>
    <w:p>
      <w:pPr>
        <w:adjustRightInd w:val="0"/>
        <w:snapToGrid w:val="0"/>
        <w:spacing w:line="360" w:lineRule="auto"/>
        <w:ind w:firstLine="420"/>
        <w:rPr>
          <w:rFonts w:ascii="Times New Roman" w:hAnsi="Times New Roman"/>
          <w:color w:val="auto"/>
        </w:rPr>
      </w:pPr>
      <w:r>
        <w:rPr>
          <w:rFonts w:ascii="Times New Roman" w:hAnsi="Times New Roman"/>
          <w:color w:val="auto"/>
        </w:rPr>
        <w:t>（二）对判为建议改进项和不符合项的，核查组应填写事实描述；</w:t>
      </w:r>
    </w:p>
    <w:p>
      <w:pPr>
        <w:pStyle w:val="56"/>
        <w:tabs>
          <w:tab w:val="left" w:pos="1276"/>
        </w:tabs>
        <w:adjustRightInd w:val="0"/>
        <w:snapToGrid w:val="0"/>
        <w:spacing w:line="360" w:lineRule="auto"/>
        <w:rPr>
          <w:rFonts w:ascii="Times New Roman" w:hAnsi="Times New Roman" w:eastAsia="宋体"/>
          <w:color w:val="auto"/>
          <w:sz w:val="21"/>
          <w:szCs w:val="21"/>
        </w:rPr>
      </w:pPr>
      <w:r>
        <w:rPr>
          <w:rFonts w:ascii="Times New Roman" w:hAnsi="Times New Roman" w:eastAsia="宋体"/>
          <w:color w:val="auto"/>
          <w:sz w:val="21"/>
          <w:szCs w:val="21"/>
        </w:rPr>
        <w:t>（三）核查结论的确定原则：实地核查按产品单元核查，核查结论</w:t>
      </w:r>
      <w:bookmarkStart w:id="27" w:name="_Hlk185346266"/>
      <w:r>
        <w:rPr>
          <w:rFonts w:ascii="Times New Roman" w:hAnsi="Times New Roman" w:eastAsia="宋体"/>
          <w:color w:val="auto"/>
          <w:sz w:val="21"/>
          <w:szCs w:val="21"/>
        </w:rPr>
        <w:t>按照复肥种类进行判定。复肥种类合格，则判定为该复肥种类合格，反之，则判定为该复肥种类不合格。</w:t>
      </w:r>
    </w:p>
    <w:bookmarkEnd w:id="27"/>
    <w:p>
      <w:pPr>
        <w:spacing w:line="360" w:lineRule="auto"/>
        <w:jc w:val="center"/>
        <w:outlineLvl w:val="0"/>
        <w:rPr>
          <w:rFonts w:ascii="Times New Roman" w:hAnsi="Times New Roman"/>
          <w:b/>
          <w:color w:val="auto"/>
          <w:sz w:val="28"/>
          <w:szCs w:val="28"/>
        </w:rPr>
      </w:pPr>
      <w:bookmarkStart w:id="28" w:name="_Toc507721780"/>
    </w:p>
    <w:p>
      <w:pPr>
        <w:spacing w:line="360" w:lineRule="auto"/>
        <w:jc w:val="center"/>
        <w:outlineLvl w:val="0"/>
        <w:rPr>
          <w:rFonts w:ascii="Times New Roman" w:hAnsi="Times New Roman"/>
          <w:color w:val="auto"/>
        </w:rPr>
      </w:pPr>
      <w:bookmarkStart w:id="29" w:name="_Toc178002557"/>
      <w:bookmarkStart w:id="30" w:name="_Toc178002838"/>
      <w:r>
        <w:rPr>
          <w:rFonts w:ascii="Times New Roman" w:hAnsi="Times New Roman"/>
          <w:b/>
          <w:color w:val="auto"/>
          <w:sz w:val="28"/>
          <w:szCs w:val="28"/>
        </w:rPr>
        <w:t>第六章</w:t>
      </w:r>
      <w:bookmarkEnd w:id="28"/>
      <w:r>
        <w:rPr>
          <w:rFonts w:ascii="Times New Roman" w:hAnsi="Times New Roman"/>
          <w:b/>
          <w:color w:val="auto"/>
          <w:sz w:val="28"/>
          <w:szCs w:val="28"/>
        </w:rPr>
        <w:t xml:space="preserve"> 证书许可范围</w:t>
      </w:r>
      <w:bookmarkEnd w:id="29"/>
      <w:bookmarkEnd w:id="30"/>
    </w:p>
    <w:p>
      <w:pPr>
        <w:tabs>
          <w:tab w:val="left" w:pos="1276"/>
        </w:tabs>
        <w:snapToGrid w:val="0"/>
        <w:spacing w:line="360" w:lineRule="auto"/>
        <w:ind w:firstLine="420"/>
        <w:rPr>
          <w:rFonts w:ascii="Times New Roman" w:hAnsi="Times New Roman"/>
          <w:color w:val="auto"/>
        </w:rPr>
      </w:pPr>
      <w:r>
        <w:rPr>
          <w:rFonts w:ascii="Times New Roman" w:hAnsi="Times New Roman"/>
          <w:color w:val="auto"/>
        </w:rPr>
        <w:t>第十四条</w:t>
      </w:r>
      <w:bookmarkStart w:id="31" w:name="_Hlk160560229"/>
      <w:r>
        <w:rPr>
          <w:rFonts w:ascii="Times New Roman" w:hAnsi="Times New Roman"/>
          <w:color w:val="auto"/>
        </w:rPr>
        <w:t xml:space="preserve"> 企业实地核查完成后，根据企业申请和实地核查结果，对符合通则和本细则规定要求的，予以发证。证书许可范围示例见表4。</w:t>
      </w:r>
      <w:bookmarkEnd w:id="31"/>
    </w:p>
    <w:p>
      <w:pPr>
        <w:snapToGrid w:val="0"/>
        <w:spacing w:before="240" w:beforeLines="100"/>
        <w:jc w:val="center"/>
        <w:rPr>
          <w:rFonts w:ascii="Times New Roman" w:hAnsi="Times New Roman"/>
          <w:b/>
          <w:color w:val="auto"/>
        </w:rPr>
      </w:pPr>
      <w:r>
        <w:rPr>
          <w:rFonts w:ascii="Times New Roman" w:hAnsi="Times New Roman"/>
          <w:b/>
          <w:color w:val="auto"/>
        </w:rPr>
        <w:t>表4证书许可范围示例</w:t>
      </w:r>
    </w:p>
    <w:tbl>
      <w:tblPr>
        <w:tblStyle w:val="3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2"/>
        <w:gridCol w:w="1889"/>
        <w:gridCol w:w="2615"/>
        <w:gridCol w:w="1742"/>
        <w:gridCol w:w="2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 w:hRule="atLeast"/>
          <w:tblHeader/>
          <w:jc w:val="center"/>
        </w:trPr>
        <w:tc>
          <w:tcPr>
            <w:tcW w:w="38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color w:val="auto"/>
              </w:rPr>
            </w:pPr>
            <w:r>
              <w:rPr>
                <w:rFonts w:ascii="Times New Roman" w:hAnsi="Times New Roman"/>
                <w:b/>
                <w:color w:val="auto"/>
              </w:rPr>
              <w:t>序号</w:t>
            </w:r>
          </w:p>
        </w:tc>
        <w:tc>
          <w:tcPr>
            <w:tcW w:w="101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color w:val="auto"/>
              </w:rPr>
            </w:pPr>
            <w:r>
              <w:rPr>
                <w:rFonts w:ascii="Times New Roman" w:hAnsi="Times New Roman"/>
                <w:b/>
                <w:color w:val="auto"/>
              </w:rPr>
              <w:t>产品单元</w:t>
            </w:r>
          </w:p>
        </w:tc>
        <w:tc>
          <w:tcPr>
            <w:tcW w:w="140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color w:val="auto"/>
              </w:rPr>
            </w:pPr>
            <w:r>
              <w:rPr>
                <w:rFonts w:ascii="Times New Roman" w:hAnsi="Times New Roman"/>
                <w:b/>
                <w:color w:val="auto"/>
              </w:rPr>
              <w:t>企业申请内容</w:t>
            </w:r>
          </w:p>
        </w:tc>
        <w:tc>
          <w:tcPr>
            <w:tcW w:w="93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color w:val="auto"/>
              </w:rPr>
            </w:pPr>
            <w:r>
              <w:rPr>
                <w:rFonts w:ascii="Times New Roman" w:hAnsi="Times New Roman"/>
                <w:b/>
                <w:color w:val="auto"/>
              </w:rPr>
              <w:t>实地核查报告结果</w:t>
            </w:r>
          </w:p>
        </w:tc>
        <w:tc>
          <w:tcPr>
            <w:tcW w:w="124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color w:val="auto"/>
              </w:rPr>
            </w:pPr>
            <w:r>
              <w:rPr>
                <w:rFonts w:ascii="Times New Roman" w:hAnsi="Times New Roman"/>
                <w:b/>
                <w:color w:val="auto"/>
              </w:rPr>
              <w:t>证书许可范围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 w:hRule="atLeast"/>
          <w:tblHeader/>
          <w:jc w:val="center"/>
        </w:trPr>
        <w:tc>
          <w:tcPr>
            <w:tcW w:w="38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auto"/>
              </w:rPr>
            </w:pPr>
            <w:r>
              <w:rPr>
                <w:rFonts w:ascii="Times New Roman" w:hAnsi="Times New Roman"/>
                <w:bCs/>
                <w:color w:val="auto"/>
              </w:rPr>
              <w:t>1</w:t>
            </w:r>
          </w:p>
        </w:tc>
        <w:tc>
          <w:tcPr>
            <w:tcW w:w="101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auto"/>
              </w:rPr>
            </w:pPr>
            <w:r>
              <w:rPr>
                <w:rFonts w:ascii="Times New Roman" w:hAnsi="Times New Roman"/>
                <w:color w:val="auto"/>
              </w:rPr>
              <w:t>复合肥料</w:t>
            </w:r>
          </w:p>
        </w:tc>
        <w:tc>
          <w:tcPr>
            <w:tcW w:w="140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auto"/>
              </w:rPr>
            </w:pPr>
            <w:r>
              <w:rPr>
                <w:rFonts w:ascii="Times New Roman" w:hAnsi="Times New Roman"/>
                <w:color w:val="auto"/>
              </w:rPr>
              <w:t>复合肥料/复肥种类（如：复合肥料、硝基复合肥料、腐植酸复合肥料等，企业申请时应注明申请的复肥种类）</w:t>
            </w:r>
          </w:p>
        </w:tc>
        <w:tc>
          <w:tcPr>
            <w:tcW w:w="93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auto"/>
              </w:rPr>
            </w:pPr>
            <w:r>
              <w:rPr>
                <w:rFonts w:ascii="Times New Roman" w:hAnsi="Times New Roman"/>
                <w:color w:val="auto"/>
              </w:rPr>
              <w:t>核查合格</w:t>
            </w:r>
          </w:p>
        </w:tc>
        <w:tc>
          <w:tcPr>
            <w:tcW w:w="124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auto"/>
              </w:rPr>
            </w:pPr>
            <w:r>
              <w:rPr>
                <w:rFonts w:ascii="Times New Roman" w:hAnsi="Times New Roman"/>
                <w:color w:val="auto"/>
              </w:rPr>
              <w:t>复合肥料/复肥种类（如：复合肥料、硝基复合肥料、腐植酸复合肥料等，企业申请的复肥种类）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 w:hRule="atLeast"/>
          <w:tblHeader/>
          <w:jc w:val="center"/>
        </w:trPr>
        <w:tc>
          <w:tcPr>
            <w:tcW w:w="38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auto"/>
              </w:rPr>
            </w:pPr>
            <w:r>
              <w:rPr>
                <w:rFonts w:ascii="Times New Roman" w:hAnsi="Times New Roman"/>
                <w:bCs/>
                <w:color w:val="auto"/>
              </w:rPr>
              <w:t>2</w:t>
            </w:r>
          </w:p>
        </w:tc>
        <w:tc>
          <w:tcPr>
            <w:tcW w:w="101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auto"/>
              </w:rPr>
            </w:pPr>
            <w:r>
              <w:rPr>
                <w:rFonts w:ascii="Times New Roman" w:hAnsi="Times New Roman"/>
                <w:color w:val="auto"/>
              </w:rPr>
              <w:t>掺混肥料</w:t>
            </w:r>
          </w:p>
        </w:tc>
        <w:tc>
          <w:tcPr>
            <w:tcW w:w="140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auto"/>
              </w:rPr>
            </w:pPr>
            <w:r>
              <w:rPr>
                <w:rFonts w:ascii="Times New Roman" w:hAnsi="Times New Roman"/>
                <w:color w:val="auto"/>
              </w:rPr>
              <w:t>掺混肥料/复肥种类（如：</w:t>
            </w:r>
            <w:r>
              <w:rPr>
                <w:rFonts w:ascii="Times New Roman" w:hAnsi="Times New Roman"/>
                <w:bCs/>
                <w:color w:val="auto"/>
              </w:rPr>
              <w:t>掺混肥料、缓释掺混肥料、控释掺混肥料、硫包衣缓释掺混肥料等，</w:t>
            </w:r>
            <w:r>
              <w:rPr>
                <w:rFonts w:ascii="Times New Roman" w:hAnsi="Times New Roman"/>
                <w:color w:val="auto"/>
              </w:rPr>
              <w:t>企业申请时应注明申请的复肥种类）</w:t>
            </w:r>
          </w:p>
        </w:tc>
        <w:tc>
          <w:tcPr>
            <w:tcW w:w="93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auto"/>
              </w:rPr>
            </w:pPr>
            <w:r>
              <w:rPr>
                <w:rFonts w:ascii="Times New Roman" w:hAnsi="Times New Roman"/>
                <w:color w:val="auto"/>
              </w:rPr>
              <w:t>核查合格</w:t>
            </w:r>
          </w:p>
        </w:tc>
        <w:tc>
          <w:tcPr>
            <w:tcW w:w="124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auto"/>
              </w:rPr>
            </w:pPr>
            <w:r>
              <w:rPr>
                <w:rFonts w:ascii="Times New Roman" w:hAnsi="Times New Roman"/>
                <w:color w:val="auto"/>
              </w:rPr>
              <w:t>掺混肥料/复肥种类（如：</w:t>
            </w:r>
            <w:r>
              <w:rPr>
                <w:rFonts w:ascii="Times New Roman" w:hAnsi="Times New Roman"/>
                <w:bCs/>
                <w:color w:val="auto"/>
              </w:rPr>
              <w:t>掺混肥料、缓释掺混肥料、控释掺混肥料、硫包衣缓释掺混肥料等，</w:t>
            </w:r>
            <w:r>
              <w:rPr>
                <w:rFonts w:ascii="Times New Roman" w:hAnsi="Times New Roman"/>
                <w:color w:val="auto"/>
              </w:rPr>
              <w:t>企业申请的复肥种类）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 w:hRule="atLeast"/>
          <w:tblHeader/>
          <w:jc w:val="center"/>
        </w:trPr>
        <w:tc>
          <w:tcPr>
            <w:tcW w:w="38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auto"/>
              </w:rPr>
            </w:pPr>
            <w:r>
              <w:rPr>
                <w:rFonts w:ascii="Times New Roman" w:hAnsi="Times New Roman"/>
                <w:bCs/>
                <w:color w:val="auto"/>
              </w:rPr>
              <w:t>3</w:t>
            </w:r>
          </w:p>
        </w:tc>
        <w:tc>
          <w:tcPr>
            <w:tcW w:w="101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auto"/>
              </w:rPr>
            </w:pPr>
            <w:r>
              <w:rPr>
                <w:rFonts w:ascii="Times New Roman" w:hAnsi="Times New Roman"/>
                <w:color w:val="auto"/>
              </w:rPr>
              <w:t>有机无机复混肥料</w:t>
            </w:r>
          </w:p>
        </w:tc>
        <w:tc>
          <w:tcPr>
            <w:tcW w:w="140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auto"/>
              </w:rPr>
            </w:pPr>
            <w:r>
              <w:rPr>
                <w:rFonts w:ascii="Times New Roman" w:hAnsi="Times New Roman"/>
                <w:color w:val="auto"/>
              </w:rPr>
              <w:t>有机无机复混肥料/复肥种类（如</w:t>
            </w:r>
            <w:r>
              <w:rPr>
                <w:rFonts w:ascii="Times New Roman" w:hAnsi="Times New Roman"/>
                <w:bCs/>
                <w:color w:val="auto"/>
              </w:rPr>
              <w:t>有机无机复混肥料、</w:t>
            </w:r>
            <w:r>
              <w:rPr>
                <w:rFonts w:ascii="Times New Roman" w:hAnsi="Times New Roman"/>
                <w:color w:val="auto"/>
              </w:rPr>
              <w:t>腐植酸有机无机复混肥</w:t>
            </w:r>
            <w:r>
              <w:rPr>
                <w:rFonts w:ascii="Times New Roman" w:hAnsi="Times New Roman"/>
                <w:bCs/>
                <w:color w:val="auto"/>
              </w:rPr>
              <w:t>等</w:t>
            </w:r>
            <w:r>
              <w:rPr>
                <w:rFonts w:ascii="Times New Roman" w:hAnsi="Times New Roman"/>
                <w:color w:val="auto"/>
              </w:rPr>
              <w:t>，企业申请时应注明申请的复肥种类）</w:t>
            </w:r>
          </w:p>
        </w:tc>
        <w:tc>
          <w:tcPr>
            <w:tcW w:w="93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auto"/>
              </w:rPr>
            </w:pPr>
            <w:r>
              <w:rPr>
                <w:rFonts w:ascii="Times New Roman" w:hAnsi="Times New Roman"/>
                <w:color w:val="auto"/>
              </w:rPr>
              <w:t>核查合格</w:t>
            </w:r>
          </w:p>
        </w:tc>
        <w:tc>
          <w:tcPr>
            <w:tcW w:w="124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auto"/>
              </w:rPr>
            </w:pPr>
            <w:r>
              <w:rPr>
                <w:rFonts w:ascii="Times New Roman" w:hAnsi="Times New Roman"/>
                <w:color w:val="auto"/>
              </w:rPr>
              <w:t>有机无机复混肥料/（如</w:t>
            </w:r>
            <w:r>
              <w:rPr>
                <w:rFonts w:ascii="Times New Roman" w:hAnsi="Times New Roman"/>
                <w:bCs/>
                <w:color w:val="auto"/>
              </w:rPr>
              <w:t>有机无机复混肥料、</w:t>
            </w:r>
            <w:r>
              <w:rPr>
                <w:rFonts w:ascii="Times New Roman" w:hAnsi="Times New Roman"/>
                <w:color w:val="auto"/>
              </w:rPr>
              <w:t>腐植酸有机无机复混肥</w:t>
            </w:r>
            <w:r>
              <w:rPr>
                <w:rFonts w:ascii="Times New Roman" w:hAnsi="Times New Roman"/>
                <w:bCs/>
                <w:color w:val="auto"/>
              </w:rPr>
              <w:t>等</w:t>
            </w:r>
            <w:r>
              <w:rPr>
                <w:rFonts w:ascii="Times New Roman" w:hAnsi="Times New Roman"/>
                <w:color w:val="auto"/>
              </w:rPr>
              <w:t>，企业申请的复肥种类）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 w:hRule="atLeast"/>
          <w:tblHeader/>
          <w:jc w:val="center"/>
        </w:trPr>
        <w:tc>
          <w:tcPr>
            <w:tcW w:w="38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auto"/>
              </w:rPr>
            </w:pPr>
            <w:r>
              <w:rPr>
                <w:rFonts w:ascii="Times New Roman" w:hAnsi="Times New Roman"/>
                <w:bCs/>
                <w:color w:val="auto"/>
              </w:rPr>
              <w:t>4</w:t>
            </w:r>
          </w:p>
        </w:tc>
        <w:tc>
          <w:tcPr>
            <w:tcW w:w="101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auto"/>
              </w:rPr>
            </w:pPr>
            <w:r>
              <w:rPr>
                <w:rFonts w:ascii="Times New Roman" w:hAnsi="Times New Roman"/>
                <w:color w:val="auto"/>
              </w:rPr>
              <w:t>有机无机掺混肥料</w:t>
            </w:r>
          </w:p>
        </w:tc>
        <w:tc>
          <w:tcPr>
            <w:tcW w:w="140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auto"/>
              </w:rPr>
            </w:pPr>
            <w:r>
              <w:rPr>
                <w:rFonts w:ascii="Times New Roman" w:hAnsi="Times New Roman"/>
                <w:color w:val="auto"/>
              </w:rPr>
              <w:t>有机无机掺混肥料/复肥种类（如</w:t>
            </w:r>
            <w:r>
              <w:rPr>
                <w:rFonts w:ascii="Times New Roman" w:hAnsi="Times New Roman"/>
                <w:bCs/>
                <w:color w:val="auto"/>
              </w:rPr>
              <w:t>有机无机掺混肥料等</w:t>
            </w:r>
            <w:r>
              <w:rPr>
                <w:rFonts w:ascii="Times New Roman" w:hAnsi="Times New Roman"/>
                <w:color w:val="auto"/>
              </w:rPr>
              <w:t>，企业申请时应注明申请的复肥种类）</w:t>
            </w:r>
          </w:p>
        </w:tc>
        <w:tc>
          <w:tcPr>
            <w:tcW w:w="93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auto"/>
              </w:rPr>
            </w:pPr>
            <w:r>
              <w:rPr>
                <w:rFonts w:ascii="Times New Roman" w:hAnsi="Times New Roman"/>
                <w:color w:val="auto"/>
              </w:rPr>
              <w:t>核查合格</w:t>
            </w:r>
          </w:p>
        </w:tc>
        <w:tc>
          <w:tcPr>
            <w:tcW w:w="124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auto"/>
              </w:rPr>
            </w:pPr>
            <w:r>
              <w:rPr>
                <w:rFonts w:ascii="Times New Roman" w:hAnsi="Times New Roman"/>
                <w:color w:val="auto"/>
              </w:rPr>
              <w:t>有机无机掺混肥料/（如</w:t>
            </w:r>
            <w:r>
              <w:rPr>
                <w:rFonts w:ascii="Times New Roman" w:hAnsi="Times New Roman"/>
                <w:bCs/>
                <w:color w:val="auto"/>
              </w:rPr>
              <w:t>有机无机掺混肥料等</w:t>
            </w:r>
            <w:r>
              <w:rPr>
                <w:rFonts w:ascii="Times New Roman" w:hAnsi="Times New Roman"/>
                <w:color w:val="auto"/>
              </w:rPr>
              <w:t>，企业申请的复肥种类）</w:t>
            </w:r>
          </w:p>
        </w:tc>
      </w:tr>
    </w:tbl>
    <w:p>
      <w:pPr>
        <w:pStyle w:val="56"/>
        <w:spacing w:before="240" w:beforeLines="100" w:line="360" w:lineRule="auto"/>
        <w:ind w:firstLine="0"/>
        <w:jc w:val="center"/>
        <w:outlineLvl w:val="0"/>
        <w:rPr>
          <w:rFonts w:ascii="Times New Roman" w:hAnsi="Times New Roman" w:eastAsia="宋体"/>
          <w:b/>
          <w:color w:val="auto"/>
          <w:sz w:val="28"/>
          <w:szCs w:val="28"/>
        </w:rPr>
      </w:pPr>
      <w:bookmarkStart w:id="32" w:name="_Toc507721781"/>
    </w:p>
    <w:p>
      <w:pPr>
        <w:pStyle w:val="56"/>
        <w:spacing w:before="240" w:beforeLines="100" w:line="360" w:lineRule="auto"/>
        <w:ind w:firstLine="0"/>
        <w:jc w:val="center"/>
        <w:outlineLvl w:val="0"/>
        <w:rPr>
          <w:rFonts w:ascii="Times New Roman" w:hAnsi="Times New Roman" w:eastAsia="宋体"/>
          <w:b/>
          <w:color w:val="auto"/>
          <w:sz w:val="28"/>
          <w:szCs w:val="28"/>
        </w:rPr>
      </w:pPr>
      <w:bookmarkStart w:id="33" w:name="_Toc178002839"/>
      <w:bookmarkStart w:id="34" w:name="_Toc178002558"/>
      <w:r>
        <w:rPr>
          <w:rFonts w:ascii="Times New Roman" w:hAnsi="Times New Roman" w:eastAsia="宋体"/>
          <w:b/>
          <w:color w:val="auto"/>
          <w:sz w:val="28"/>
          <w:szCs w:val="28"/>
        </w:rPr>
        <w:t>第七章 附则</w:t>
      </w:r>
      <w:bookmarkEnd w:id="32"/>
      <w:bookmarkEnd w:id="33"/>
      <w:bookmarkEnd w:id="34"/>
    </w:p>
    <w:p>
      <w:pPr>
        <w:tabs>
          <w:tab w:val="left" w:pos="1276"/>
        </w:tabs>
        <w:snapToGrid w:val="0"/>
        <w:spacing w:line="360" w:lineRule="auto"/>
        <w:ind w:firstLine="420"/>
        <w:rPr>
          <w:rFonts w:ascii="Times New Roman" w:hAnsi="Times New Roman"/>
          <w:color w:val="auto"/>
        </w:rPr>
      </w:pPr>
      <w:r>
        <w:rPr>
          <w:rFonts w:ascii="Times New Roman" w:hAnsi="Times New Roman"/>
          <w:color w:val="auto"/>
        </w:rPr>
        <w:t xml:space="preserve">第十五条 </w:t>
      </w:r>
    </w:p>
    <w:p>
      <w:pPr>
        <w:tabs>
          <w:tab w:val="left" w:pos="1276"/>
        </w:tabs>
        <w:snapToGrid w:val="0"/>
        <w:spacing w:line="360" w:lineRule="auto"/>
        <w:ind w:firstLine="420"/>
        <w:rPr>
          <w:rFonts w:ascii="Times New Roman" w:hAnsi="Times New Roman"/>
          <w:color w:val="auto"/>
        </w:rPr>
      </w:pPr>
      <w:r>
        <w:rPr>
          <w:rFonts w:ascii="Times New Roman" w:hAnsi="Times New Roman"/>
          <w:color w:val="auto"/>
        </w:rPr>
        <w:t>全国化肥产品生产许可证审查部（设在国家化肥质量检验检测中心（上海））</w:t>
      </w:r>
    </w:p>
    <w:p>
      <w:pPr>
        <w:pStyle w:val="61"/>
        <w:tabs>
          <w:tab w:val="left" w:pos="1418"/>
        </w:tabs>
        <w:snapToGrid w:val="0"/>
        <w:spacing w:line="360" w:lineRule="auto"/>
        <w:ind w:firstLineChars="200"/>
        <w:rPr>
          <w:rFonts w:ascii="Times New Roman" w:hAnsi="Times New Roman" w:eastAsia="宋体"/>
          <w:color w:val="auto"/>
          <w:sz w:val="21"/>
          <w:szCs w:val="21"/>
        </w:rPr>
      </w:pPr>
      <w:r>
        <w:rPr>
          <w:rFonts w:ascii="Times New Roman" w:hAnsi="Times New Roman" w:eastAsia="宋体"/>
          <w:color w:val="auto"/>
          <w:sz w:val="21"/>
          <w:szCs w:val="21"/>
        </w:rPr>
        <w:t>地    址：上海市云岭东路345号</w:t>
      </w:r>
    </w:p>
    <w:p>
      <w:pPr>
        <w:pStyle w:val="61"/>
        <w:tabs>
          <w:tab w:val="left" w:pos="1418"/>
        </w:tabs>
        <w:snapToGrid w:val="0"/>
        <w:spacing w:line="360" w:lineRule="auto"/>
        <w:ind w:firstLineChars="200"/>
        <w:rPr>
          <w:rFonts w:ascii="Times New Roman" w:hAnsi="Times New Roman" w:eastAsia="宋体"/>
          <w:color w:val="auto"/>
          <w:sz w:val="21"/>
          <w:szCs w:val="21"/>
        </w:rPr>
      </w:pPr>
      <w:r>
        <w:rPr>
          <w:rFonts w:ascii="Times New Roman" w:hAnsi="Times New Roman" w:eastAsia="宋体"/>
          <w:color w:val="auto"/>
          <w:sz w:val="21"/>
          <w:szCs w:val="21"/>
        </w:rPr>
        <w:t>电    话：021-31015249</w:t>
      </w:r>
    </w:p>
    <w:p>
      <w:pPr>
        <w:pStyle w:val="61"/>
        <w:tabs>
          <w:tab w:val="left" w:pos="1418"/>
        </w:tabs>
        <w:snapToGrid w:val="0"/>
        <w:spacing w:line="360" w:lineRule="auto"/>
        <w:ind w:firstLineChars="200"/>
        <w:rPr>
          <w:rFonts w:ascii="Times New Roman" w:hAnsi="Times New Roman" w:eastAsia="宋体"/>
          <w:color w:val="auto"/>
          <w:sz w:val="21"/>
          <w:szCs w:val="21"/>
        </w:rPr>
      </w:pPr>
      <w:r>
        <w:rPr>
          <w:rFonts w:ascii="Times New Roman" w:hAnsi="Times New Roman" w:eastAsia="宋体"/>
          <w:color w:val="auto"/>
          <w:sz w:val="21"/>
          <w:szCs w:val="21"/>
        </w:rPr>
        <w:t>联 系 人：房朋、段路路</w:t>
      </w:r>
    </w:p>
    <w:p>
      <w:pPr>
        <w:pStyle w:val="61"/>
        <w:tabs>
          <w:tab w:val="left" w:pos="1418"/>
        </w:tabs>
        <w:snapToGrid w:val="0"/>
        <w:spacing w:line="360" w:lineRule="auto"/>
        <w:ind w:firstLineChars="200"/>
        <w:rPr>
          <w:rFonts w:ascii="Times New Roman" w:hAnsi="Times New Roman" w:eastAsia="宋体"/>
          <w:color w:val="auto"/>
          <w:sz w:val="21"/>
          <w:szCs w:val="21"/>
        </w:rPr>
      </w:pPr>
      <w:r>
        <w:rPr>
          <w:rFonts w:ascii="Times New Roman" w:hAnsi="Times New Roman" w:eastAsia="宋体"/>
          <w:color w:val="auto"/>
          <w:sz w:val="21"/>
          <w:szCs w:val="21"/>
        </w:rPr>
        <w:t>本细则参与起草单位：上海化工研究院有限公司、全国工业产品生产许可证审查中心、全国肥料和土壤调理剂标准化技术委员会、中国磷复肥工业协会、云南省化工产品质量监督检验站、四川省产品质量检验研究院有限责任公司、山东省产品质量检验研究院、贵州省产品质量检验检测院</w:t>
      </w:r>
    </w:p>
    <w:p>
      <w:pPr>
        <w:pStyle w:val="61"/>
        <w:tabs>
          <w:tab w:val="left" w:pos="1418"/>
        </w:tabs>
        <w:snapToGrid w:val="0"/>
        <w:spacing w:line="360" w:lineRule="auto"/>
        <w:ind w:firstLineChars="200"/>
        <w:rPr>
          <w:rFonts w:ascii="Times New Roman" w:hAnsi="Times New Roman" w:eastAsia="宋体"/>
          <w:color w:val="auto"/>
          <w:sz w:val="21"/>
          <w:szCs w:val="21"/>
        </w:rPr>
      </w:pPr>
      <w:r>
        <w:rPr>
          <w:rFonts w:ascii="Times New Roman" w:hAnsi="Times New Roman" w:eastAsia="宋体"/>
          <w:color w:val="auto"/>
          <w:sz w:val="21"/>
          <w:szCs w:val="21"/>
        </w:rPr>
        <w:t>本细则主要起草人：商照聪、房朋、段路路、黄婧、贾贺峰、靳宇、修学峰、桂素萍、李铭、陈迪荣、黄富林、田树刚、陈泉</w:t>
      </w:r>
    </w:p>
    <w:p>
      <w:pPr>
        <w:pStyle w:val="56"/>
        <w:tabs>
          <w:tab w:val="left" w:pos="1418"/>
        </w:tabs>
        <w:snapToGrid w:val="0"/>
        <w:spacing w:line="360" w:lineRule="auto"/>
        <w:ind w:firstLineChars="200"/>
        <w:rPr>
          <w:rFonts w:ascii="Times New Roman" w:hAnsi="Times New Roman" w:eastAsia="宋体"/>
          <w:color w:val="auto"/>
          <w:sz w:val="21"/>
          <w:szCs w:val="21"/>
        </w:rPr>
      </w:pPr>
      <w:r>
        <w:rPr>
          <w:rFonts w:ascii="Times New Roman" w:hAnsi="Times New Roman" w:eastAsia="宋体"/>
          <w:color w:val="auto"/>
          <w:sz w:val="21"/>
          <w:szCs w:val="21"/>
        </w:rPr>
        <w:t>第十六条 本细则由</w:t>
      </w:r>
      <w:r>
        <w:rPr>
          <w:rFonts w:ascii="Times New Roman" w:hAnsi="Times New Roman" w:eastAsia="宋体"/>
          <w:color w:val="auto"/>
          <w:spacing w:val="-2"/>
          <w:sz w:val="21"/>
          <w:szCs w:val="21"/>
        </w:rPr>
        <w:t>国家市场监督管理总局</w:t>
      </w:r>
      <w:r>
        <w:rPr>
          <w:rFonts w:ascii="Times New Roman" w:hAnsi="Times New Roman" w:eastAsia="宋体"/>
          <w:color w:val="auto"/>
          <w:sz w:val="21"/>
          <w:szCs w:val="21"/>
        </w:rPr>
        <w:t>负责解释。</w:t>
      </w:r>
    </w:p>
    <w:p>
      <w:pPr>
        <w:pStyle w:val="56"/>
        <w:tabs>
          <w:tab w:val="left" w:pos="1418"/>
        </w:tabs>
        <w:snapToGrid w:val="0"/>
        <w:spacing w:line="360" w:lineRule="auto"/>
        <w:ind w:firstLineChars="200"/>
        <w:rPr>
          <w:rFonts w:hint="eastAsia" w:ascii="Times New Roman" w:hAnsi="Times New Roman" w:eastAsia="宋体"/>
          <w:color w:val="auto"/>
          <w:sz w:val="21"/>
          <w:szCs w:val="21"/>
        </w:rPr>
      </w:pPr>
      <w:r>
        <w:rPr>
          <w:rFonts w:ascii="Times New Roman" w:hAnsi="Times New Roman" w:eastAsia="宋体"/>
          <w:color w:val="auto"/>
          <w:sz w:val="21"/>
          <w:szCs w:val="21"/>
        </w:rPr>
        <w:t>第十</w:t>
      </w:r>
      <w:r>
        <w:rPr>
          <w:rFonts w:hint="eastAsia" w:ascii="Times New Roman" w:hAnsi="Times New Roman" w:eastAsia="宋体"/>
          <w:color w:val="auto"/>
          <w:sz w:val="21"/>
          <w:szCs w:val="21"/>
        </w:rPr>
        <w:t>七</w:t>
      </w:r>
      <w:r>
        <w:rPr>
          <w:rFonts w:ascii="Times New Roman" w:hAnsi="Times New Roman" w:eastAsia="宋体"/>
          <w:color w:val="auto"/>
          <w:sz w:val="21"/>
          <w:szCs w:val="21"/>
        </w:rPr>
        <w:t>条  本细则自202X年X月X日起实施。</w:t>
      </w:r>
    </w:p>
    <w:p>
      <w:pPr>
        <w:pStyle w:val="56"/>
        <w:tabs>
          <w:tab w:val="left" w:pos="1418"/>
        </w:tabs>
        <w:snapToGrid w:val="0"/>
        <w:spacing w:line="360" w:lineRule="auto"/>
        <w:ind w:firstLineChars="200"/>
        <w:rPr>
          <w:rFonts w:ascii="Times New Roman" w:hAnsi="Times New Roman" w:eastAsia="宋体"/>
          <w:color w:val="auto"/>
          <w:sz w:val="21"/>
          <w:szCs w:val="21"/>
        </w:rPr>
      </w:pPr>
      <w:bookmarkStart w:id="35" w:name="_Toc178002840"/>
      <w:bookmarkStart w:id="36" w:name="_Toc507721782"/>
      <w:r>
        <w:rPr>
          <w:rFonts w:ascii="Times New Roman" w:hAnsi="Times New Roman" w:eastAsia="宋体"/>
          <w:color w:val="auto"/>
          <w:sz w:val="21"/>
          <w:szCs w:val="21"/>
        </w:rPr>
        <w:br w:type="page"/>
      </w:r>
    </w:p>
    <w:p>
      <w:pPr>
        <w:pStyle w:val="56"/>
        <w:tabs>
          <w:tab w:val="left" w:pos="1418"/>
        </w:tabs>
        <w:snapToGrid w:val="0"/>
        <w:spacing w:line="360" w:lineRule="auto"/>
        <w:ind w:firstLine="560" w:firstLineChars="200"/>
        <w:rPr>
          <w:rFonts w:ascii="Times New Roman" w:hAnsi="Times New Roman" w:eastAsia="微软雅黑"/>
          <w:color w:val="auto"/>
          <w:sz w:val="28"/>
          <w:szCs w:val="28"/>
        </w:rPr>
        <w:sectPr>
          <w:footerReference r:id="rId5" w:type="default"/>
          <w:pgSz w:w="11906" w:h="16838"/>
          <w:pgMar w:top="1418" w:right="1418" w:bottom="1418" w:left="1418" w:header="851" w:footer="992" w:gutter="0"/>
          <w:cols w:space="720" w:num="1"/>
          <w:docGrid w:linePitch="360" w:charSpace="6144"/>
        </w:sectPr>
      </w:pPr>
    </w:p>
    <w:p>
      <w:pPr>
        <w:pStyle w:val="56"/>
        <w:tabs>
          <w:tab w:val="left" w:pos="1418"/>
        </w:tabs>
        <w:snapToGrid w:val="0"/>
        <w:spacing w:line="360" w:lineRule="auto"/>
        <w:ind w:firstLine="560" w:firstLineChars="200"/>
        <w:outlineLvl w:val="0"/>
        <w:rPr>
          <w:rFonts w:ascii="Times New Roman" w:hAnsi="Times New Roman" w:eastAsia="宋体"/>
          <w:color w:val="auto"/>
          <w:sz w:val="21"/>
          <w:szCs w:val="21"/>
        </w:rPr>
      </w:pPr>
      <w:r>
        <w:rPr>
          <w:rFonts w:ascii="Times New Roman" w:hAnsi="Times New Roman" w:eastAsia="微软雅黑"/>
          <w:color w:val="auto"/>
          <w:sz w:val="28"/>
          <w:szCs w:val="28"/>
        </w:rPr>
        <w:t>附件</w:t>
      </w:r>
      <w:r>
        <w:rPr>
          <w:rFonts w:ascii="Times New Roman" w:hAnsi="Times New Roman"/>
          <w:color w:val="auto"/>
          <w:sz w:val="28"/>
          <w:szCs w:val="28"/>
        </w:rPr>
        <w:t>1</w:t>
      </w:r>
      <w:bookmarkEnd w:id="35"/>
    </w:p>
    <w:p>
      <w:pPr>
        <w:tabs>
          <w:tab w:val="left" w:pos="0"/>
        </w:tabs>
        <w:spacing w:line="360" w:lineRule="auto"/>
        <w:jc w:val="center"/>
        <w:rPr>
          <w:rFonts w:ascii="Times New Roman" w:hAnsi="Times New Roman"/>
          <w:b/>
          <w:bCs/>
          <w:color w:val="auto"/>
          <w:sz w:val="28"/>
          <w:szCs w:val="28"/>
        </w:rPr>
      </w:pPr>
      <w:r>
        <w:rPr>
          <w:rFonts w:ascii="Times New Roman" w:hAnsi="Times New Roman"/>
          <w:b/>
          <w:bCs/>
          <w:color w:val="auto"/>
          <w:sz w:val="28"/>
          <w:szCs w:val="28"/>
        </w:rPr>
        <w:t>检验检测项目及依据标准</w:t>
      </w:r>
    </w:p>
    <w:tbl>
      <w:tblPr>
        <w:tblStyle w:val="37"/>
        <w:tblW w:w="15200"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57" w:type="dxa"/>
          <w:bottom w:w="0" w:type="dxa"/>
          <w:right w:w="57" w:type="dxa"/>
        </w:tblCellMar>
      </w:tblPr>
      <w:tblGrid>
        <w:gridCol w:w="1285"/>
        <w:gridCol w:w="841"/>
        <w:gridCol w:w="139"/>
        <w:gridCol w:w="1985"/>
        <w:gridCol w:w="3544"/>
        <w:gridCol w:w="7406"/>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trHeight w:val="20" w:hRule="atLeast"/>
          <w:tblHeader/>
          <w:jc w:val="center"/>
        </w:trPr>
        <w:tc>
          <w:tcPr>
            <w:tcW w:w="1285" w:type="dxa"/>
            <w:tcBorders>
              <w:tl2br w:val="nil"/>
              <w:tr2bl w:val="nil"/>
            </w:tcBorders>
            <w:vAlign w:val="center"/>
          </w:tcPr>
          <w:p>
            <w:pPr>
              <w:snapToGrid w:val="0"/>
              <w:jc w:val="center"/>
              <w:rPr>
                <w:rFonts w:ascii="Times New Roman" w:hAnsi="Times New Roman"/>
                <w:b/>
                <w:bCs/>
                <w:color w:val="auto"/>
              </w:rPr>
            </w:pPr>
            <w:r>
              <w:rPr>
                <w:rFonts w:ascii="Times New Roman" w:hAnsi="Times New Roman"/>
                <w:b/>
                <w:bCs/>
                <w:color w:val="auto"/>
              </w:rPr>
              <w:t>产品单元</w:t>
            </w:r>
          </w:p>
        </w:tc>
        <w:tc>
          <w:tcPr>
            <w:tcW w:w="980" w:type="dxa"/>
            <w:gridSpan w:val="2"/>
            <w:tcBorders>
              <w:tl2br w:val="nil"/>
              <w:tr2bl w:val="nil"/>
            </w:tcBorders>
          </w:tcPr>
          <w:p>
            <w:pPr>
              <w:snapToGrid w:val="0"/>
              <w:jc w:val="center"/>
              <w:rPr>
                <w:rFonts w:ascii="Times New Roman" w:hAnsi="Times New Roman"/>
                <w:b/>
                <w:bCs/>
                <w:color w:val="auto"/>
              </w:rPr>
            </w:pPr>
            <w:r>
              <w:rPr>
                <w:rFonts w:ascii="Times New Roman" w:hAnsi="Times New Roman"/>
                <w:b/>
                <w:bCs/>
                <w:color w:val="auto"/>
              </w:rPr>
              <w:t>序号</w:t>
            </w:r>
          </w:p>
        </w:tc>
        <w:tc>
          <w:tcPr>
            <w:tcW w:w="1985" w:type="dxa"/>
            <w:tcBorders>
              <w:tl2br w:val="nil"/>
              <w:tr2bl w:val="nil"/>
            </w:tcBorders>
            <w:vAlign w:val="center"/>
          </w:tcPr>
          <w:p>
            <w:pPr>
              <w:snapToGrid w:val="0"/>
              <w:jc w:val="center"/>
              <w:rPr>
                <w:rFonts w:ascii="Times New Roman" w:hAnsi="Times New Roman"/>
                <w:b/>
                <w:bCs/>
                <w:color w:val="auto"/>
              </w:rPr>
            </w:pPr>
            <w:r>
              <w:rPr>
                <w:rFonts w:ascii="Times New Roman" w:hAnsi="Times New Roman"/>
                <w:b/>
                <w:bCs/>
                <w:color w:val="auto"/>
              </w:rPr>
              <w:t>复肥种类</w:t>
            </w:r>
          </w:p>
        </w:tc>
        <w:tc>
          <w:tcPr>
            <w:tcW w:w="3544" w:type="dxa"/>
            <w:tcBorders>
              <w:tl2br w:val="nil"/>
              <w:tr2bl w:val="nil"/>
            </w:tcBorders>
            <w:vAlign w:val="center"/>
          </w:tcPr>
          <w:p>
            <w:pPr>
              <w:snapToGrid w:val="0"/>
              <w:jc w:val="center"/>
              <w:rPr>
                <w:rFonts w:ascii="Times New Roman" w:hAnsi="Times New Roman"/>
                <w:b/>
                <w:bCs/>
                <w:color w:val="auto"/>
              </w:rPr>
            </w:pPr>
            <w:r>
              <w:rPr>
                <w:rFonts w:ascii="Times New Roman" w:hAnsi="Times New Roman"/>
                <w:b/>
                <w:bCs/>
                <w:color w:val="auto"/>
              </w:rPr>
              <w:t>标准名称</w:t>
            </w:r>
          </w:p>
        </w:tc>
        <w:tc>
          <w:tcPr>
            <w:tcW w:w="7406" w:type="dxa"/>
            <w:tcBorders>
              <w:tl2br w:val="nil"/>
              <w:tr2bl w:val="nil"/>
            </w:tcBorders>
            <w:vAlign w:val="center"/>
          </w:tcPr>
          <w:p>
            <w:pPr>
              <w:snapToGrid w:val="0"/>
              <w:jc w:val="center"/>
              <w:rPr>
                <w:rFonts w:ascii="Times New Roman" w:hAnsi="Times New Roman"/>
                <w:b/>
                <w:bCs/>
                <w:color w:val="auto"/>
              </w:rPr>
            </w:pPr>
            <w:r>
              <w:rPr>
                <w:rFonts w:ascii="Times New Roman" w:hAnsi="Times New Roman"/>
                <w:b/>
                <w:bCs/>
                <w:color w:val="auto"/>
              </w:rPr>
              <w:t>检验检测项目</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trHeight w:val="20" w:hRule="atLeast"/>
          <w:jc w:val="center"/>
        </w:trPr>
        <w:tc>
          <w:tcPr>
            <w:tcW w:w="1285" w:type="dxa"/>
            <w:vMerge w:val="restart"/>
            <w:tcBorders>
              <w:tl2br w:val="nil"/>
              <w:tr2bl w:val="nil"/>
            </w:tcBorders>
            <w:vAlign w:val="center"/>
          </w:tcPr>
          <w:p>
            <w:pPr>
              <w:snapToGrid w:val="0"/>
              <w:jc w:val="center"/>
              <w:rPr>
                <w:rFonts w:ascii="Times New Roman" w:hAnsi="Times New Roman"/>
                <w:color w:val="auto"/>
              </w:rPr>
            </w:pPr>
            <w:r>
              <w:rPr>
                <w:rFonts w:ascii="Times New Roman" w:hAnsi="Times New Roman"/>
                <w:color w:val="auto"/>
              </w:rPr>
              <w:t>复合肥料</w:t>
            </w:r>
          </w:p>
        </w:tc>
        <w:tc>
          <w:tcPr>
            <w:tcW w:w="980" w:type="dxa"/>
            <w:gridSpan w:val="2"/>
            <w:tcBorders>
              <w:tl2br w:val="nil"/>
              <w:tr2bl w:val="nil"/>
            </w:tcBorders>
            <w:vAlign w:val="center"/>
          </w:tcPr>
          <w:p>
            <w:pPr>
              <w:snapToGrid w:val="0"/>
              <w:jc w:val="center"/>
              <w:rPr>
                <w:rFonts w:ascii="Times New Roman" w:hAnsi="Times New Roman"/>
                <w:color w:val="auto"/>
              </w:rPr>
            </w:pPr>
            <w:r>
              <w:rPr>
                <w:rFonts w:ascii="Times New Roman" w:hAnsi="Times New Roman"/>
                <w:color w:val="auto"/>
              </w:rPr>
              <w:t>1</w:t>
            </w:r>
          </w:p>
        </w:tc>
        <w:tc>
          <w:tcPr>
            <w:tcW w:w="1985" w:type="dxa"/>
            <w:tcBorders>
              <w:tl2br w:val="nil"/>
              <w:tr2bl w:val="nil"/>
            </w:tcBorders>
            <w:vAlign w:val="center"/>
          </w:tcPr>
          <w:p>
            <w:pPr>
              <w:snapToGrid w:val="0"/>
              <w:jc w:val="left"/>
              <w:rPr>
                <w:rFonts w:ascii="Times New Roman" w:hAnsi="Times New Roman"/>
                <w:color w:val="auto"/>
              </w:rPr>
            </w:pPr>
            <w:r>
              <w:rPr>
                <w:rFonts w:ascii="Times New Roman" w:hAnsi="Times New Roman"/>
                <w:color w:val="auto"/>
              </w:rPr>
              <w:t>复合肥料</w:t>
            </w:r>
          </w:p>
        </w:tc>
        <w:tc>
          <w:tcPr>
            <w:tcW w:w="3544" w:type="dxa"/>
            <w:tcBorders>
              <w:tl2br w:val="nil"/>
              <w:tr2bl w:val="nil"/>
            </w:tcBorders>
            <w:vAlign w:val="center"/>
          </w:tcPr>
          <w:p>
            <w:pPr>
              <w:snapToGrid w:val="0"/>
              <w:jc w:val="left"/>
              <w:rPr>
                <w:rFonts w:ascii="Times New Roman" w:hAnsi="Times New Roman"/>
                <w:color w:val="auto"/>
              </w:rPr>
            </w:pPr>
            <w:r>
              <w:rPr>
                <w:rFonts w:ascii="Times New Roman" w:hAnsi="Times New Roman"/>
                <w:color w:val="auto"/>
              </w:rPr>
              <w:t xml:space="preserve">GB/T 15063—2020 </w:t>
            </w:r>
            <w:r>
              <w:rPr>
                <w:rFonts w:ascii="Times New Roman" w:hAnsi="Times New Roman"/>
                <w:bCs/>
                <w:color w:val="auto"/>
              </w:rPr>
              <w:t>复合肥料</w:t>
            </w:r>
          </w:p>
          <w:p>
            <w:pPr>
              <w:snapToGrid w:val="0"/>
              <w:jc w:val="left"/>
              <w:rPr>
                <w:rFonts w:ascii="Times New Roman" w:hAnsi="Times New Roman"/>
                <w:color w:val="auto"/>
              </w:rPr>
            </w:pPr>
            <w:r>
              <w:rPr>
                <w:rFonts w:ascii="Times New Roman" w:hAnsi="Times New Roman"/>
                <w:color w:val="auto"/>
              </w:rPr>
              <w:t>GB 38400—2019 肥料中有毒有害物质的限量要求</w:t>
            </w:r>
          </w:p>
        </w:tc>
        <w:tc>
          <w:tcPr>
            <w:tcW w:w="7406" w:type="dxa"/>
            <w:tcBorders>
              <w:tl2br w:val="nil"/>
              <w:tr2bl w:val="nil"/>
            </w:tcBorders>
            <w:vAlign w:val="center"/>
          </w:tcPr>
          <w:p>
            <w:pPr>
              <w:snapToGrid w:val="0"/>
              <w:rPr>
                <w:rFonts w:ascii="Times New Roman" w:hAnsi="Times New Roman"/>
                <w:color w:val="auto"/>
              </w:rPr>
            </w:pPr>
            <w:r>
              <w:rPr>
                <w:rFonts w:ascii="Times New Roman" w:hAnsi="Times New Roman"/>
                <w:color w:val="auto"/>
              </w:rPr>
              <w:t>总养分（N＋P</w:t>
            </w:r>
            <w:r>
              <w:rPr>
                <w:rFonts w:ascii="Times New Roman" w:hAnsi="Times New Roman"/>
                <w:color w:val="auto"/>
                <w:vertAlign w:val="subscript"/>
              </w:rPr>
              <w:t>2</w:t>
            </w:r>
            <w:r>
              <w:rPr>
                <w:rFonts w:ascii="Times New Roman" w:hAnsi="Times New Roman"/>
                <w:color w:val="auto"/>
              </w:rPr>
              <w:t>O</w:t>
            </w:r>
            <w:r>
              <w:rPr>
                <w:rFonts w:ascii="Times New Roman" w:hAnsi="Times New Roman"/>
                <w:color w:val="auto"/>
                <w:vertAlign w:val="subscript"/>
              </w:rPr>
              <w:t>5</w:t>
            </w:r>
            <w:r>
              <w:rPr>
                <w:rFonts w:ascii="Times New Roman" w:hAnsi="Times New Roman"/>
                <w:color w:val="auto"/>
              </w:rPr>
              <w:t>＋K</w:t>
            </w:r>
            <w:r>
              <w:rPr>
                <w:rFonts w:ascii="Times New Roman" w:hAnsi="Times New Roman"/>
                <w:color w:val="auto"/>
                <w:vertAlign w:val="subscript"/>
              </w:rPr>
              <w:t>2</w:t>
            </w:r>
            <w:r>
              <w:rPr>
                <w:rFonts w:ascii="Times New Roman" w:hAnsi="Times New Roman"/>
                <w:color w:val="auto"/>
              </w:rPr>
              <w:t>O）的质量分数</w:t>
            </w:r>
            <w:r>
              <w:rPr>
                <w:rFonts w:ascii="Times New Roman" w:hAnsi="Times New Roman"/>
                <w:color w:val="auto"/>
                <w:vertAlign w:val="superscript"/>
              </w:rPr>
              <w:t>1</w:t>
            </w:r>
            <w:r>
              <w:rPr>
                <w:rFonts w:ascii="Times New Roman" w:hAnsi="Times New Roman"/>
                <w:color w:val="auto"/>
              </w:rPr>
              <w:t>、硝态氮</w:t>
            </w:r>
            <w:r>
              <w:rPr>
                <w:rFonts w:ascii="Times New Roman" w:hAnsi="Times New Roman"/>
                <w:color w:val="auto"/>
                <w:vertAlign w:val="superscript"/>
              </w:rPr>
              <w:t>2</w:t>
            </w:r>
            <w:r>
              <w:rPr>
                <w:rFonts w:ascii="Times New Roman" w:hAnsi="Times New Roman"/>
                <w:color w:val="auto"/>
              </w:rPr>
              <w:t>、水溶性磷占有效磷百分率</w:t>
            </w:r>
            <w:r>
              <w:rPr>
                <w:rFonts w:ascii="Times New Roman" w:hAnsi="Times New Roman"/>
                <w:color w:val="auto"/>
                <w:vertAlign w:val="superscript"/>
              </w:rPr>
              <w:t>3</w:t>
            </w:r>
            <w:r>
              <w:rPr>
                <w:rFonts w:ascii="Times New Roman" w:hAnsi="Times New Roman"/>
                <w:color w:val="auto"/>
              </w:rPr>
              <w:t>、粒度、单一中量元素</w:t>
            </w:r>
            <w:r>
              <w:rPr>
                <w:rFonts w:ascii="Times New Roman" w:hAnsi="Times New Roman"/>
                <w:color w:val="auto"/>
                <w:vertAlign w:val="superscript"/>
              </w:rPr>
              <w:t>4</w:t>
            </w:r>
            <w:r>
              <w:rPr>
                <w:rFonts w:ascii="Times New Roman" w:hAnsi="Times New Roman"/>
                <w:color w:val="auto"/>
              </w:rPr>
              <w:t>、单一微量元素</w:t>
            </w:r>
            <w:r>
              <w:rPr>
                <w:rFonts w:ascii="Times New Roman" w:hAnsi="Times New Roman"/>
                <w:color w:val="auto"/>
                <w:vertAlign w:val="superscript"/>
              </w:rPr>
              <w:t>5</w:t>
            </w:r>
            <w:r>
              <w:rPr>
                <w:rFonts w:ascii="Times New Roman" w:hAnsi="Times New Roman"/>
                <w:color w:val="auto"/>
              </w:rPr>
              <w:t>、氯离子</w:t>
            </w:r>
            <w:r>
              <w:rPr>
                <w:rFonts w:ascii="Times New Roman" w:hAnsi="Times New Roman"/>
                <w:color w:val="auto"/>
                <w:vertAlign w:val="superscript"/>
              </w:rPr>
              <w:t>6</w:t>
            </w:r>
            <w:r>
              <w:rPr>
                <w:rFonts w:ascii="Times New Roman" w:hAnsi="Times New Roman"/>
                <w:color w:val="auto"/>
              </w:rPr>
              <w:t>、总砷、总镉、总铅、总铬、总汞、总铊、缩二脲</w:t>
            </w:r>
            <w:r>
              <w:rPr>
                <w:rFonts w:ascii="Times New Roman" w:hAnsi="Times New Roman"/>
                <w:color w:val="auto"/>
                <w:vertAlign w:val="superscript"/>
              </w:rPr>
              <w:t>7</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trHeight w:val="20" w:hRule="atLeast"/>
          <w:jc w:val="center"/>
        </w:trPr>
        <w:tc>
          <w:tcPr>
            <w:tcW w:w="1285" w:type="dxa"/>
            <w:vMerge w:val="continue"/>
            <w:tcBorders>
              <w:tl2br w:val="nil"/>
              <w:tr2bl w:val="nil"/>
            </w:tcBorders>
            <w:vAlign w:val="center"/>
          </w:tcPr>
          <w:p>
            <w:pPr>
              <w:snapToGrid w:val="0"/>
              <w:jc w:val="center"/>
              <w:rPr>
                <w:rFonts w:ascii="Times New Roman" w:hAnsi="Times New Roman"/>
                <w:color w:val="auto"/>
              </w:rPr>
            </w:pPr>
          </w:p>
        </w:tc>
        <w:tc>
          <w:tcPr>
            <w:tcW w:w="980" w:type="dxa"/>
            <w:gridSpan w:val="2"/>
            <w:tcBorders>
              <w:tl2br w:val="nil"/>
              <w:tr2bl w:val="nil"/>
            </w:tcBorders>
            <w:vAlign w:val="center"/>
          </w:tcPr>
          <w:p>
            <w:pPr>
              <w:snapToGrid w:val="0"/>
              <w:jc w:val="center"/>
              <w:rPr>
                <w:rFonts w:ascii="Times New Roman" w:hAnsi="Times New Roman"/>
                <w:color w:val="auto"/>
              </w:rPr>
            </w:pPr>
            <w:r>
              <w:rPr>
                <w:rFonts w:ascii="Times New Roman" w:hAnsi="Times New Roman"/>
                <w:color w:val="auto"/>
              </w:rPr>
              <w:t>2</w:t>
            </w:r>
          </w:p>
        </w:tc>
        <w:tc>
          <w:tcPr>
            <w:tcW w:w="1985" w:type="dxa"/>
            <w:tcBorders>
              <w:tl2br w:val="nil"/>
              <w:tr2bl w:val="nil"/>
            </w:tcBorders>
            <w:vAlign w:val="center"/>
          </w:tcPr>
          <w:p>
            <w:pPr>
              <w:snapToGrid w:val="0"/>
              <w:jc w:val="left"/>
              <w:rPr>
                <w:rFonts w:ascii="Times New Roman" w:hAnsi="Times New Roman"/>
                <w:color w:val="auto"/>
              </w:rPr>
            </w:pPr>
            <w:r>
              <w:rPr>
                <w:rFonts w:ascii="Times New Roman" w:hAnsi="Times New Roman"/>
                <w:color w:val="auto"/>
              </w:rPr>
              <w:t>硝基复合肥料</w:t>
            </w:r>
          </w:p>
        </w:tc>
        <w:tc>
          <w:tcPr>
            <w:tcW w:w="3544" w:type="dxa"/>
            <w:tcBorders>
              <w:tl2br w:val="nil"/>
              <w:tr2bl w:val="nil"/>
            </w:tcBorders>
            <w:vAlign w:val="center"/>
          </w:tcPr>
          <w:p>
            <w:pPr>
              <w:snapToGrid w:val="0"/>
              <w:jc w:val="left"/>
              <w:rPr>
                <w:rFonts w:ascii="Times New Roman" w:hAnsi="Times New Roman"/>
                <w:color w:val="auto"/>
              </w:rPr>
            </w:pPr>
            <w:r>
              <w:rPr>
                <w:rFonts w:ascii="Times New Roman" w:hAnsi="Times New Roman"/>
                <w:color w:val="auto"/>
              </w:rPr>
              <w:t>HG/T 4851—2016 硝基复合肥料</w:t>
            </w:r>
          </w:p>
          <w:p>
            <w:pPr>
              <w:snapToGrid w:val="0"/>
              <w:jc w:val="left"/>
              <w:rPr>
                <w:rFonts w:ascii="Times New Roman" w:hAnsi="Times New Roman"/>
                <w:color w:val="auto"/>
              </w:rPr>
            </w:pPr>
            <w:r>
              <w:rPr>
                <w:rFonts w:ascii="Times New Roman" w:hAnsi="Times New Roman"/>
                <w:color w:val="auto"/>
              </w:rPr>
              <w:t>GB 38400—2019 肥料中有毒有害物质的限量要求</w:t>
            </w:r>
          </w:p>
        </w:tc>
        <w:tc>
          <w:tcPr>
            <w:tcW w:w="7406" w:type="dxa"/>
            <w:tcBorders>
              <w:tl2br w:val="nil"/>
              <w:tr2bl w:val="nil"/>
            </w:tcBorders>
            <w:vAlign w:val="center"/>
          </w:tcPr>
          <w:p>
            <w:pPr>
              <w:snapToGrid w:val="0"/>
              <w:rPr>
                <w:rFonts w:ascii="Times New Roman" w:hAnsi="Times New Roman"/>
                <w:color w:val="auto"/>
              </w:rPr>
            </w:pPr>
            <w:r>
              <w:rPr>
                <w:rFonts w:ascii="Times New Roman" w:hAnsi="Times New Roman"/>
                <w:color w:val="auto"/>
              </w:rPr>
              <w:t>总养分（N＋P</w:t>
            </w:r>
            <w:r>
              <w:rPr>
                <w:rFonts w:ascii="Times New Roman" w:hAnsi="Times New Roman"/>
                <w:color w:val="auto"/>
                <w:vertAlign w:val="subscript"/>
              </w:rPr>
              <w:t>2</w:t>
            </w:r>
            <w:r>
              <w:rPr>
                <w:rFonts w:ascii="Times New Roman" w:hAnsi="Times New Roman"/>
                <w:color w:val="auto"/>
              </w:rPr>
              <w:t>O</w:t>
            </w:r>
            <w:r>
              <w:rPr>
                <w:rFonts w:ascii="Times New Roman" w:hAnsi="Times New Roman"/>
                <w:color w:val="auto"/>
                <w:vertAlign w:val="subscript"/>
              </w:rPr>
              <w:t>5</w:t>
            </w:r>
            <w:r>
              <w:rPr>
                <w:rFonts w:ascii="Times New Roman" w:hAnsi="Times New Roman"/>
                <w:color w:val="auto"/>
              </w:rPr>
              <w:t>＋K</w:t>
            </w:r>
            <w:r>
              <w:rPr>
                <w:rFonts w:ascii="Times New Roman" w:hAnsi="Times New Roman"/>
                <w:color w:val="auto"/>
                <w:vertAlign w:val="subscript"/>
              </w:rPr>
              <w:t>2</w:t>
            </w:r>
            <w:r>
              <w:rPr>
                <w:rFonts w:ascii="Times New Roman" w:hAnsi="Times New Roman"/>
                <w:color w:val="auto"/>
              </w:rPr>
              <w:t>O）的质量分数</w:t>
            </w:r>
            <w:r>
              <w:rPr>
                <w:rFonts w:ascii="Times New Roman" w:hAnsi="Times New Roman"/>
                <w:color w:val="auto"/>
                <w:vertAlign w:val="superscript"/>
              </w:rPr>
              <w:t>1</w:t>
            </w:r>
            <w:r>
              <w:rPr>
                <w:rFonts w:ascii="Times New Roman" w:hAnsi="Times New Roman"/>
                <w:color w:val="auto"/>
              </w:rPr>
              <w:t>、硝态氮（NO</w:t>
            </w:r>
            <w:r>
              <w:rPr>
                <w:rFonts w:ascii="Times New Roman" w:hAnsi="Times New Roman"/>
                <w:color w:val="auto"/>
                <w:vertAlign w:val="subscript"/>
              </w:rPr>
              <w:t>3</w:t>
            </w:r>
            <w:r>
              <w:rPr>
                <w:rFonts w:ascii="Times New Roman" w:hAnsi="Times New Roman"/>
                <w:color w:val="auto"/>
              </w:rPr>
              <w:t>--N）的质量分数、水溶性磷占有效磷百分率</w:t>
            </w:r>
            <w:r>
              <w:rPr>
                <w:rFonts w:ascii="Times New Roman" w:hAnsi="Times New Roman"/>
                <w:color w:val="auto"/>
                <w:vertAlign w:val="superscript"/>
              </w:rPr>
              <w:t>3</w:t>
            </w:r>
            <w:r>
              <w:rPr>
                <w:rFonts w:ascii="Times New Roman" w:hAnsi="Times New Roman"/>
                <w:color w:val="auto"/>
              </w:rPr>
              <w:t>、粒度、氯离子的质量分数</w:t>
            </w:r>
            <w:r>
              <w:rPr>
                <w:rFonts w:ascii="Times New Roman" w:hAnsi="Times New Roman"/>
                <w:color w:val="auto"/>
                <w:vertAlign w:val="superscript"/>
              </w:rPr>
              <w:t>6</w:t>
            </w:r>
            <w:r>
              <w:rPr>
                <w:rFonts w:ascii="Times New Roman" w:hAnsi="Times New Roman"/>
                <w:color w:val="auto"/>
              </w:rPr>
              <w:t>、硫（S）的质量分数、总砷、总镉、总铅、总铬、总汞、总铊</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trHeight w:val="20" w:hRule="atLeast"/>
          <w:jc w:val="center"/>
        </w:trPr>
        <w:tc>
          <w:tcPr>
            <w:tcW w:w="1285" w:type="dxa"/>
            <w:vMerge w:val="continue"/>
            <w:tcBorders>
              <w:tl2br w:val="nil"/>
              <w:tr2bl w:val="nil"/>
            </w:tcBorders>
            <w:vAlign w:val="center"/>
          </w:tcPr>
          <w:p>
            <w:pPr>
              <w:snapToGrid w:val="0"/>
              <w:jc w:val="center"/>
              <w:rPr>
                <w:rFonts w:ascii="Times New Roman" w:hAnsi="Times New Roman"/>
                <w:color w:val="auto"/>
              </w:rPr>
            </w:pPr>
          </w:p>
        </w:tc>
        <w:tc>
          <w:tcPr>
            <w:tcW w:w="980" w:type="dxa"/>
            <w:gridSpan w:val="2"/>
            <w:tcBorders>
              <w:tl2br w:val="nil"/>
              <w:tr2bl w:val="nil"/>
            </w:tcBorders>
            <w:vAlign w:val="center"/>
          </w:tcPr>
          <w:p>
            <w:pPr>
              <w:snapToGrid w:val="0"/>
              <w:jc w:val="center"/>
              <w:rPr>
                <w:rFonts w:ascii="Times New Roman" w:hAnsi="Times New Roman"/>
                <w:color w:val="auto"/>
              </w:rPr>
            </w:pPr>
            <w:r>
              <w:rPr>
                <w:rFonts w:ascii="Times New Roman" w:hAnsi="Times New Roman"/>
                <w:color w:val="auto"/>
              </w:rPr>
              <w:t>3</w:t>
            </w:r>
          </w:p>
        </w:tc>
        <w:tc>
          <w:tcPr>
            <w:tcW w:w="1985" w:type="dxa"/>
            <w:tcBorders>
              <w:tl2br w:val="nil"/>
              <w:tr2bl w:val="nil"/>
            </w:tcBorders>
            <w:vAlign w:val="center"/>
          </w:tcPr>
          <w:p>
            <w:pPr>
              <w:snapToGrid w:val="0"/>
              <w:jc w:val="left"/>
              <w:rPr>
                <w:rFonts w:ascii="Times New Roman" w:hAnsi="Times New Roman"/>
                <w:color w:val="auto"/>
              </w:rPr>
            </w:pPr>
            <w:r>
              <w:rPr>
                <w:rFonts w:ascii="Times New Roman" w:hAnsi="Times New Roman"/>
                <w:color w:val="auto"/>
              </w:rPr>
              <w:t>缓释复合肥料</w:t>
            </w:r>
          </w:p>
        </w:tc>
        <w:tc>
          <w:tcPr>
            <w:tcW w:w="3544" w:type="dxa"/>
            <w:tcBorders>
              <w:tl2br w:val="nil"/>
              <w:tr2bl w:val="nil"/>
            </w:tcBorders>
            <w:vAlign w:val="center"/>
          </w:tcPr>
          <w:p>
            <w:pPr>
              <w:snapToGrid w:val="0"/>
              <w:jc w:val="left"/>
              <w:rPr>
                <w:rFonts w:ascii="Times New Roman" w:hAnsi="Times New Roman"/>
                <w:bCs/>
                <w:color w:val="auto"/>
              </w:rPr>
            </w:pPr>
            <w:r>
              <w:rPr>
                <w:rFonts w:ascii="Times New Roman" w:hAnsi="Times New Roman"/>
                <w:bCs/>
                <w:color w:val="auto"/>
              </w:rPr>
              <w:t>GB/T 23348—2009 缓释肥料</w:t>
            </w:r>
          </w:p>
          <w:p>
            <w:pPr>
              <w:snapToGrid w:val="0"/>
              <w:jc w:val="left"/>
              <w:rPr>
                <w:rFonts w:ascii="Times New Roman" w:hAnsi="Times New Roman"/>
                <w:color w:val="auto"/>
              </w:rPr>
            </w:pPr>
            <w:r>
              <w:rPr>
                <w:rFonts w:ascii="Times New Roman" w:hAnsi="Times New Roman"/>
                <w:color w:val="auto"/>
              </w:rPr>
              <w:t>GB/T 15063—2020 复合肥料</w:t>
            </w:r>
          </w:p>
          <w:p>
            <w:pPr>
              <w:snapToGrid w:val="0"/>
              <w:jc w:val="left"/>
              <w:rPr>
                <w:rFonts w:ascii="Times New Roman" w:hAnsi="Times New Roman"/>
                <w:color w:val="auto"/>
              </w:rPr>
            </w:pPr>
            <w:r>
              <w:rPr>
                <w:rFonts w:ascii="Times New Roman" w:hAnsi="Times New Roman"/>
                <w:color w:val="auto"/>
              </w:rPr>
              <w:t>GB 38400—2019 肥料中有毒有害物质的限量要求</w:t>
            </w:r>
          </w:p>
        </w:tc>
        <w:tc>
          <w:tcPr>
            <w:tcW w:w="7406" w:type="dxa"/>
            <w:tcBorders>
              <w:tl2br w:val="nil"/>
              <w:tr2bl w:val="nil"/>
            </w:tcBorders>
            <w:vAlign w:val="center"/>
          </w:tcPr>
          <w:p>
            <w:pPr>
              <w:snapToGrid w:val="0"/>
              <w:rPr>
                <w:rFonts w:ascii="Times New Roman" w:hAnsi="Times New Roman"/>
                <w:color w:val="auto"/>
              </w:rPr>
            </w:pPr>
            <w:r>
              <w:rPr>
                <w:rFonts w:ascii="Times New Roman" w:hAnsi="Times New Roman"/>
                <w:color w:val="auto"/>
              </w:rPr>
              <w:t>总养分（N＋P</w:t>
            </w:r>
            <w:r>
              <w:rPr>
                <w:rFonts w:ascii="Times New Roman" w:hAnsi="Times New Roman"/>
                <w:color w:val="auto"/>
                <w:vertAlign w:val="subscript"/>
              </w:rPr>
              <w:t>2</w:t>
            </w:r>
            <w:r>
              <w:rPr>
                <w:rFonts w:ascii="Times New Roman" w:hAnsi="Times New Roman"/>
                <w:color w:val="auto"/>
              </w:rPr>
              <w:t>O</w:t>
            </w:r>
            <w:r>
              <w:rPr>
                <w:rFonts w:ascii="Times New Roman" w:hAnsi="Times New Roman"/>
                <w:color w:val="auto"/>
                <w:vertAlign w:val="subscript"/>
              </w:rPr>
              <w:t>5</w:t>
            </w:r>
            <w:r>
              <w:rPr>
                <w:rFonts w:ascii="Times New Roman" w:hAnsi="Times New Roman"/>
                <w:color w:val="auto"/>
              </w:rPr>
              <w:t>＋K</w:t>
            </w:r>
            <w:r>
              <w:rPr>
                <w:rFonts w:ascii="Times New Roman" w:hAnsi="Times New Roman"/>
                <w:color w:val="auto"/>
                <w:vertAlign w:val="subscript"/>
              </w:rPr>
              <w:t>2</w:t>
            </w:r>
            <w:r>
              <w:rPr>
                <w:rFonts w:ascii="Times New Roman" w:hAnsi="Times New Roman"/>
                <w:color w:val="auto"/>
              </w:rPr>
              <w:t>O）</w:t>
            </w:r>
            <w:r>
              <w:rPr>
                <w:rFonts w:ascii="Times New Roman" w:hAnsi="Times New Roman"/>
                <w:color w:val="auto"/>
                <w:vertAlign w:val="superscript"/>
              </w:rPr>
              <w:t>1</w:t>
            </w:r>
            <w:r>
              <w:rPr>
                <w:rFonts w:ascii="Times New Roman" w:hAnsi="Times New Roman"/>
                <w:color w:val="auto"/>
              </w:rPr>
              <w:t>的质量分数、水溶性磷占有效磷的质量分数</w:t>
            </w:r>
            <w:r>
              <w:rPr>
                <w:rFonts w:ascii="Times New Roman" w:hAnsi="Times New Roman"/>
                <w:color w:val="auto"/>
                <w:vertAlign w:val="superscript"/>
              </w:rPr>
              <w:t>8</w:t>
            </w:r>
            <w:r>
              <w:rPr>
                <w:rFonts w:ascii="Times New Roman" w:hAnsi="Times New Roman"/>
                <w:color w:val="auto"/>
              </w:rPr>
              <w:t>、粒度、初期养分释放率</w:t>
            </w:r>
            <w:r>
              <w:rPr>
                <w:rFonts w:ascii="Times New Roman" w:hAnsi="Times New Roman"/>
                <w:color w:val="auto"/>
                <w:vertAlign w:val="superscript"/>
              </w:rPr>
              <w:t>9</w:t>
            </w:r>
            <w:r>
              <w:rPr>
                <w:rFonts w:ascii="Times New Roman" w:hAnsi="Times New Roman"/>
                <w:color w:val="auto"/>
              </w:rPr>
              <w:t>、28天累积养分释放率（缓释肥料产品同时应符合其核芯肥料标准和包装标明值的要求）</w:t>
            </w:r>
            <w:r>
              <w:rPr>
                <w:rFonts w:hint="eastAsia" w:ascii="Times New Roman" w:hAnsi="Times New Roman"/>
                <w:color w:val="auto"/>
              </w:rPr>
              <w:t>、养分释放期、养分释放期的累积养分释放率</w:t>
            </w:r>
            <w:r>
              <w:rPr>
                <w:rFonts w:ascii="Times New Roman" w:hAnsi="Times New Roman"/>
                <w:color w:val="auto"/>
              </w:rPr>
              <w:t>、总砷、总镉、总铅、总铬、总汞、总铊、缩二脲</w:t>
            </w:r>
            <w:r>
              <w:rPr>
                <w:rFonts w:ascii="Times New Roman" w:hAnsi="Times New Roman"/>
                <w:color w:val="auto"/>
                <w:vertAlign w:val="superscript"/>
              </w:rPr>
              <w:t>7</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trHeight w:val="20" w:hRule="atLeast"/>
          <w:jc w:val="center"/>
        </w:trPr>
        <w:tc>
          <w:tcPr>
            <w:tcW w:w="1285" w:type="dxa"/>
            <w:vMerge w:val="continue"/>
            <w:tcBorders>
              <w:tl2br w:val="nil"/>
              <w:tr2bl w:val="nil"/>
            </w:tcBorders>
            <w:vAlign w:val="center"/>
          </w:tcPr>
          <w:p>
            <w:pPr>
              <w:snapToGrid w:val="0"/>
              <w:jc w:val="center"/>
              <w:rPr>
                <w:rFonts w:ascii="Times New Roman" w:hAnsi="Times New Roman"/>
                <w:color w:val="auto"/>
              </w:rPr>
            </w:pPr>
          </w:p>
        </w:tc>
        <w:tc>
          <w:tcPr>
            <w:tcW w:w="980" w:type="dxa"/>
            <w:gridSpan w:val="2"/>
            <w:tcBorders>
              <w:tl2br w:val="nil"/>
              <w:tr2bl w:val="nil"/>
            </w:tcBorders>
            <w:vAlign w:val="center"/>
          </w:tcPr>
          <w:p>
            <w:pPr>
              <w:snapToGrid w:val="0"/>
              <w:jc w:val="center"/>
              <w:rPr>
                <w:rFonts w:ascii="Times New Roman" w:hAnsi="Times New Roman"/>
                <w:color w:val="auto"/>
              </w:rPr>
            </w:pPr>
            <w:r>
              <w:rPr>
                <w:rFonts w:ascii="Times New Roman" w:hAnsi="Times New Roman"/>
                <w:color w:val="auto"/>
              </w:rPr>
              <w:t>4</w:t>
            </w:r>
          </w:p>
        </w:tc>
        <w:tc>
          <w:tcPr>
            <w:tcW w:w="1985" w:type="dxa"/>
            <w:tcBorders>
              <w:tl2br w:val="nil"/>
              <w:tr2bl w:val="nil"/>
            </w:tcBorders>
            <w:vAlign w:val="center"/>
          </w:tcPr>
          <w:p>
            <w:pPr>
              <w:snapToGrid w:val="0"/>
              <w:jc w:val="left"/>
              <w:rPr>
                <w:rFonts w:ascii="Times New Roman" w:hAnsi="Times New Roman"/>
                <w:color w:val="auto"/>
              </w:rPr>
            </w:pPr>
            <w:r>
              <w:rPr>
                <w:rFonts w:ascii="Times New Roman" w:hAnsi="Times New Roman"/>
                <w:color w:val="auto"/>
              </w:rPr>
              <w:t>控释复合肥料</w:t>
            </w:r>
          </w:p>
        </w:tc>
        <w:tc>
          <w:tcPr>
            <w:tcW w:w="3544" w:type="dxa"/>
            <w:tcBorders>
              <w:tl2br w:val="nil"/>
              <w:tr2bl w:val="nil"/>
            </w:tcBorders>
            <w:vAlign w:val="center"/>
          </w:tcPr>
          <w:p>
            <w:pPr>
              <w:snapToGrid w:val="0"/>
              <w:jc w:val="left"/>
              <w:rPr>
                <w:rFonts w:ascii="Times New Roman" w:hAnsi="Times New Roman"/>
                <w:bCs/>
                <w:color w:val="auto"/>
              </w:rPr>
            </w:pPr>
            <w:r>
              <w:rPr>
                <w:rFonts w:ascii="Times New Roman" w:hAnsi="Times New Roman"/>
                <w:bCs/>
                <w:color w:val="auto"/>
              </w:rPr>
              <w:t>HG/T 4215—2011 控释肥料</w:t>
            </w:r>
          </w:p>
          <w:p>
            <w:pPr>
              <w:snapToGrid w:val="0"/>
              <w:jc w:val="left"/>
              <w:rPr>
                <w:rFonts w:ascii="Times New Roman" w:hAnsi="Times New Roman"/>
                <w:color w:val="auto"/>
              </w:rPr>
            </w:pPr>
            <w:r>
              <w:rPr>
                <w:rFonts w:ascii="Times New Roman" w:hAnsi="Times New Roman"/>
                <w:color w:val="auto"/>
              </w:rPr>
              <w:t>GB/T 15063—2020 复合肥料</w:t>
            </w:r>
          </w:p>
          <w:p>
            <w:pPr>
              <w:snapToGrid w:val="0"/>
              <w:jc w:val="left"/>
              <w:rPr>
                <w:rFonts w:ascii="Times New Roman" w:hAnsi="Times New Roman"/>
                <w:color w:val="auto"/>
              </w:rPr>
            </w:pPr>
            <w:r>
              <w:rPr>
                <w:rFonts w:ascii="Times New Roman" w:hAnsi="Times New Roman"/>
                <w:color w:val="auto"/>
              </w:rPr>
              <w:t>GB 38400—2019 肥料中有毒有害物质的限量要求</w:t>
            </w:r>
          </w:p>
        </w:tc>
        <w:tc>
          <w:tcPr>
            <w:tcW w:w="7406" w:type="dxa"/>
            <w:tcBorders>
              <w:tl2br w:val="nil"/>
              <w:tr2bl w:val="nil"/>
            </w:tcBorders>
            <w:vAlign w:val="center"/>
          </w:tcPr>
          <w:p>
            <w:pPr>
              <w:snapToGrid w:val="0"/>
              <w:jc w:val="left"/>
              <w:rPr>
                <w:rFonts w:ascii="Times New Roman" w:hAnsi="Times New Roman"/>
                <w:color w:val="auto"/>
              </w:rPr>
            </w:pPr>
            <w:r>
              <w:rPr>
                <w:rFonts w:ascii="Times New Roman" w:hAnsi="Times New Roman"/>
                <w:color w:val="auto"/>
              </w:rPr>
              <w:t>总养分（N＋P</w:t>
            </w:r>
            <w:r>
              <w:rPr>
                <w:rFonts w:ascii="Times New Roman" w:hAnsi="Times New Roman"/>
                <w:color w:val="auto"/>
                <w:vertAlign w:val="subscript"/>
              </w:rPr>
              <w:t>2</w:t>
            </w:r>
            <w:r>
              <w:rPr>
                <w:rFonts w:ascii="Times New Roman" w:hAnsi="Times New Roman"/>
                <w:color w:val="auto"/>
              </w:rPr>
              <w:t>O</w:t>
            </w:r>
            <w:r>
              <w:rPr>
                <w:rFonts w:ascii="Times New Roman" w:hAnsi="Times New Roman"/>
                <w:color w:val="auto"/>
                <w:vertAlign w:val="subscript"/>
              </w:rPr>
              <w:t>5</w:t>
            </w:r>
            <w:r>
              <w:rPr>
                <w:rFonts w:ascii="Times New Roman" w:hAnsi="Times New Roman"/>
                <w:color w:val="auto"/>
              </w:rPr>
              <w:t>＋K</w:t>
            </w:r>
            <w:r>
              <w:rPr>
                <w:rFonts w:ascii="Times New Roman" w:hAnsi="Times New Roman"/>
                <w:color w:val="auto"/>
                <w:vertAlign w:val="subscript"/>
              </w:rPr>
              <w:t>2</w:t>
            </w:r>
            <w:r>
              <w:rPr>
                <w:rFonts w:ascii="Times New Roman" w:hAnsi="Times New Roman"/>
                <w:color w:val="auto"/>
              </w:rPr>
              <w:t>O）的质量分数、水溶性磷占有效磷的质量分数</w:t>
            </w:r>
            <w:r>
              <w:rPr>
                <w:rFonts w:ascii="Times New Roman" w:hAnsi="Times New Roman"/>
                <w:color w:val="auto"/>
                <w:vertAlign w:val="superscript"/>
              </w:rPr>
              <w:t>10</w:t>
            </w:r>
            <w:r>
              <w:rPr>
                <w:rFonts w:ascii="Times New Roman" w:hAnsi="Times New Roman"/>
                <w:color w:val="auto"/>
              </w:rPr>
              <w:t>、粒度、初期养分释放率、28天累积养分释放率（控释肥料同时应符合其核芯肥料标准和包装标明值的要求）</w:t>
            </w:r>
            <w:r>
              <w:rPr>
                <w:rFonts w:hint="eastAsia" w:ascii="Times New Roman" w:hAnsi="Times New Roman"/>
                <w:color w:val="auto"/>
              </w:rPr>
              <w:t>、养分释放期、养分释放期的累积养分释放率</w:t>
            </w:r>
            <w:r>
              <w:rPr>
                <w:rFonts w:ascii="Times New Roman" w:hAnsi="Times New Roman"/>
                <w:color w:val="auto"/>
              </w:rPr>
              <w:t>、总砷、总镉、总铅、总铬、总汞、总铊、缩二脲</w:t>
            </w:r>
            <w:r>
              <w:rPr>
                <w:rFonts w:ascii="Times New Roman" w:hAnsi="Times New Roman"/>
                <w:color w:val="auto"/>
                <w:vertAlign w:val="superscript"/>
              </w:rPr>
              <w:t>7</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trHeight w:val="20" w:hRule="atLeast"/>
          <w:jc w:val="center"/>
        </w:trPr>
        <w:tc>
          <w:tcPr>
            <w:tcW w:w="1285" w:type="dxa"/>
            <w:vMerge w:val="continue"/>
            <w:tcBorders>
              <w:tl2br w:val="nil"/>
              <w:tr2bl w:val="nil"/>
            </w:tcBorders>
            <w:vAlign w:val="center"/>
          </w:tcPr>
          <w:p>
            <w:pPr>
              <w:snapToGrid w:val="0"/>
              <w:jc w:val="center"/>
              <w:rPr>
                <w:rFonts w:ascii="Times New Roman" w:hAnsi="Times New Roman"/>
                <w:color w:val="auto"/>
              </w:rPr>
            </w:pPr>
          </w:p>
        </w:tc>
        <w:tc>
          <w:tcPr>
            <w:tcW w:w="980" w:type="dxa"/>
            <w:gridSpan w:val="2"/>
            <w:tcBorders>
              <w:tl2br w:val="nil"/>
              <w:tr2bl w:val="nil"/>
            </w:tcBorders>
            <w:vAlign w:val="center"/>
          </w:tcPr>
          <w:p>
            <w:pPr>
              <w:snapToGrid w:val="0"/>
              <w:jc w:val="center"/>
              <w:rPr>
                <w:rFonts w:ascii="Times New Roman" w:hAnsi="Times New Roman"/>
                <w:color w:val="auto"/>
              </w:rPr>
            </w:pPr>
            <w:r>
              <w:rPr>
                <w:rFonts w:ascii="Times New Roman" w:hAnsi="Times New Roman"/>
                <w:color w:val="auto"/>
              </w:rPr>
              <w:t>5</w:t>
            </w:r>
          </w:p>
        </w:tc>
        <w:tc>
          <w:tcPr>
            <w:tcW w:w="1985" w:type="dxa"/>
            <w:tcBorders>
              <w:tl2br w:val="nil"/>
              <w:tr2bl w:val="nil"/>
            </w:tcBorders>
            <w:vAlign w:val="center"/>
          </w:tcPr>
          <w:p>
            <w:pPr>
              <w:snapToGrid w:val="0"/>
              <w:jc w:val="left"/>
              <w:rPr>
                <w:rFonts w:ascii="Times New Roman" w:hAnsi="Times New Roman"/>
                <w:color w:val="auto"/>
              </w:rPr>
            </w:pPr>
            <w:r>
              <w:rPr>
                <w:rFonts w:ascii="Times New Roman" w:hAnsi="Times New Roman"/>
                <w:color w:val="auto"/>
              </w:rPr>
              <w:t>硫包衣缓释复合肥料</w:t>
            </w:r>
          </w:p>
        </w:tc>
        <w:tc>
          <w:tcPr>
            <w:tcW w:w="3544" w:type="dxa"/>
            <w:tcBorders>
              <w:tl2br w:val="nil"/>
              <w:tr2bl w:val="nil"/>
            </w:tcBorders>
            <w:vAlign w:val="center"/>
          </w:tcPr>
          <w:p>
            <w:pPr>
              <w:snapToGrid w:val="0"/>
              <w:jc w:val="left"/>
              <w:rPr>
                <w:rFonts w:ascii="Times New Roman" w:hAnsi="Times New Roman"/>
                <w:bCs/>
                <w:color w:val="auto"/>
              </w:rPr>
            </w:pPr>
            <w:r>
              <w:rPr>
                <w:rFonts w:ascii="Times New Roman" w:hAnsi="Times New Roman"/>
                <w:bCs/>
                <w:color w:val="auto"/>
              </w:rPr>
              <w:t>GB/T 29401—2020 硫包衣尿素</w:t>
            </w:r>
          </w:p>
          <w:p>
            <w:pPr>
              <w:snapToGrid w:val="0"/>
              <w:jc w:val="left"/>
              <w:rPr>
                <w:rFonts w:ascii="Times New Roman" w:hAnsi="Times New Roman"/>
                <w:color w:val="auto"/>
              </w:rPr>
            </w:pPr>
            <w:r>
              <w:rPr>
                <w:rFonts w:ascii="Times New Roman" w:hAnsi="Times New Roman"/>
                <w:color w:val="auto"/>
              </w:rPr>
              <w:t>GB/T 15063—2020 复合肥料</w:t>
            </w:r>
          </w:p>
          <w:p>
            <w:pPr>
              <w:snapToGrid w:val="0"/>
              <w:jc w:val="left"/>
              <w:rPr>
                <w:rFonts w:ascii="Times New Roman" w:hAnsi="Times New Roman"/>
                <w:color w:val="auto"/>
              </w:rPr>
            </w:pPr>
            <w:r>
              <w:rPr>
                <w:rFonts w:ascii="Times New Roman" w:hAnsi="Times New Roman"/>
                <w:color w:val="auto"/>
              </w:rPr>
              <w:t>GB 38400—2019 肥料中有毒有害物质的限量要求</w:t>
            </w:r>
          </w:p>
        </w:tc>
        <w:tc>
          <w:tcPr>
            <w:tcW w:w="7406" w:type="dxa"/>
            <w:tcBorders>
              <w:tl2br w:val="nil"/>
              <w:tr2bl w:val="nil"/>
            </w:tcBorders>
            <w:vAlign w:val="center"/>
          </w:tcPr>
          <w:p>
            <w:pPr>
              <w:snapToGrid w:val="0"/>
              <w:rPr>
                <w:rFonts w:ascii="Times New Roman" w:hAnsi="Times New Roman"/>
                <w:color w:val="auto"/>
              </w:rPr>
            </w:pPr>
            <w:r>
              <w:rPr>
                <w:rFonts w:ascii="Times New Roman" w:hAnsi="Times New Roman"/>
                <w:color w:val="auto"/>
              </w:rPr>
              <w:t>缓释氮养分量、粒度、单一中量元素</w:t>
            </w:r>
            <w:r>
              <w:rPr>
                <w:rFonts w:ascii="Times New Roman" w:hAnsi="Times New Roman"/>
                <w:color w:val="auto"/>
                <w:vertAlign w:val="superscript"/>
              </w:rPr>
              <w:t>4</w:t>
            </w:r>
            <w:r>
              <w:rPr>
                <w:rFonts w:ascii="Times New Roman" w:hAnsi="Times New Roman"/>
                <w:color w:val="auto"/>
              </w:rPr>
              <w:t>、单一微量元素</w:t>
            </w:r>
            <w:r>
              <w:rPr>
                <w:rFonts w:ascii="Times New Roman" w:hAnsi="Times New Roman"/>
                <w:color w:val="auto"/>
                <w:vertAlign w:val="superscript"/>
              </w:rPr>
              <w:t>5</w:t>
            </w:r>
            <w:r>
              <w:rPr>
                <w:rFonts w:ascii="Times New Roman" w:hAnsi="Times New Roman"/>
                <w:color w:val="auto"/>
              </w:rPr>
              <w:t>（硫包衣缓释肥料同时应符合其核芯肥料标准和包装标明值的要求）、总砷、总镉、总铅、总铬、总汞、总铊、缩二脲</w:t>
            </w:r>
            <w:r>
              <w:rPr>
                <w:rFonts w:ascii="Times New Roman" w:hAnsi="Times New Roman"/>
                <w:color w:val="auto"/>
                <w:vertAlign w:val="superscript"/>
              </w:rPr>
              <w:t>7</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trHeight w:val="20" w:hRule="atLeast"/>
          <w:jc w:val="center"/>
        </w:trPr>
        <w:tc>
          <w:tcPr>
            <w:tcW w:w="1285" w:type="dxa"/>
            <w:vMerge w:val="continue"/>
            <w:tcBorders>
              <w:tl2br w:val="nil"/>
              <w:tr2bl w:val="nil"/>
            </w:tcBorders>
            <w:vAlign w:val="center"/>
          </w:tcPr>
          <w:p>
            <w:pPr>
              <w:snapToGrid w:val="0"/>
              <w:jc w:val="center"/>
              <w:rPr>
                <w:rFonts w:ascii="Times New Roman" w:hAnsi="Times New Roman"/>
                <w:color w:val="auto"/>
              </w:rPr>
            </w:pPr>
          </w:p>
        </w:tc>
        <w:tc>
          <w:tcPr>
            <w:tcW w:w="980" w:type="dxa"/>
            <w:gridSpan w:val="2"/>
            <w:tcBorders>
              <w:tl2br w:val="nil"/>
              <w:tr2bl w:val="nil"/>
            </w:tcBorders>
            <w:vAlign w:val="center"/>
          </w:tcPr>
          <w:p>
            <w:pPr>
              <w:snapToGrid w:val="0"/>
              <w:jc w:val="center"/>
              <w:rPr>
                <w:rFonts w:ascii="Times New Roman" w:hAnsi="Times New Roman"/>
                <w:color w:val="auto"/>
              </w:rPr>
            </w:pPr>
            <w:r>
              <w:rPr>
                <w:rFonts w:ascii="Times New Roman" w:hAnsi="Times New Roman"/>
                <w:color w:val="auto"/>
              </w:rPr>
              <w:t>6</w:t>
            </w:r>
          </w:p>
        </w:tc>
        <w:tc>
          <w:tcPr>
            <w:tcW w:w="1985" w:type="dxa"/>
            <w:tcBorders>
              <w:tl2br w:val="nil"/>
              <w:tr2bl w:val="nil"/>
            </w:tcBorders>
            <w:vAlign w:val="center"/>
          </w:tcPr>
          <w:p>
            <w:pPr>
              <w:snapToGrid w:val="0"/>
              <w:jc w:val="left"/>
              <w:rPr>
                <w:rFonts w:ascii="Times New Roman" w:hAnsi="Times New Roman"/>
                <w:color w:val="auto"/>
              </w:rPr>
            </w:pPr>
            <w:r>
              <w:rPr>
                <w:rFonts w:ascii="Times New Roman" w:hAnsi="Times New Roman"/>
                <w:color w:val="auto"/>
              </w:rPr>
              <w:t>脲醛缓释复合肥料</w:t>
            </w:r>
          </w:p>
        </w:tc>
        <w:tc>
          <w:tcPr>
            <w:tcW w:w="3544" w:type="dxa"/>
            <w:tcBorders>
              <w:tl2br w:val="nil"/>
              <w:tr2bl w:val="nil"/>
            </w:tcBorders>
            <w:vAlign w:val="center"/>
          </w:tcPr>
          <w:p>
            <w:pPr>
              <w:snapToGrid w:val="0"/>
              <w:jc w:val="left"/>
              <w:rPr>
                <w:rFonts w:ascii="Times New Roman" w:hAnsi="Times New Roman"/>
                <w:bCs/>
                <w:color w:val="auto"/>
              </w:rPr>
            </w:pPr>
            <w:r>
              <w:rPr>
                <w:rFonts w:ascii="Times New Roman" w:hAnsi="Times New Roman"/>
                <w:bCs/>
                <w:color w:val="auto"/>
              </w:rPr>
              <w:t>GB/T 34763—2017 脲醛缓释肥料</w:t>
            </w:r>
          </w:p>
          <w:p>
            <w:pPr>
              <w:snapToGrid w:val="0"/>
              <w:jc w:val="left"/>
              <w:rPr>
                <w:rFonts w:ascii="Times New Roman" w:hAnsi="Times New Roman"/>
                <w:color w:val="auto"/>
              </w:rPr>
            </w:pPr>
            <w:r>
              <w:rPr>
                <w:rFonts w:ascii="Times New Roman" w:hAnsi="Times New Roman"/>
                <w:color w:val="auto"/>
              </w:rPr>
              <w:t>GB/T 15063—2020 复合肥料</w:t>
            </w:r>
          </w:p>
          <w:p>
            <w:pPr>
              <w:snapToGrid w:val="0"/>
              <w:jc w:val="left"/>
              <w:rPr>
                <w:rFonts w:ascii="Times New Roman" w:hAnsi="Times New Roman"/>
                <w:bCs/>
                <w:color w:val="auto"/>
              </w:rPr>
            </w:pPr>
            <w:r>
              <w:rPr>
                <w:rFonts w:ascii="Times New Roman" w:hAnsi="Times New Roman"/>
                <w:color w:val="auto"/>
              </w:rPr>
              <w:t>GB 38400—2019 肥料中有毒有害物质的限量要求</w:t>
            </w:r>
          </w:p>
        </w:tc>
        <w:tc>
          <w:tcPr>
            <w:tcW w:w="7406" w:type="dxa"/>
            <w:tcBorders>
              <w:tl2br w:val="nil"/>
              <w:tr2bl w:val="nil"/>
            </w:tcBorders>
            <w:vAlign w:val="center"/>
          </w:tcPr>
          <w:p>
            <w:pPr>
              <w:snapToGrid w:val="0"/>
              <w:rPr>
                <w:rFonts w:ascii="Times New Roman" w:hAnsi="Times New Roman"/>
                <w:color w:val="auto"/>
              </w:rPr>
            </w:pPr>
            <w:r>
              <w:rPr>
                <w:rFonts w:ascii="Times New Roman" w:hAnsi="Times New Roman"/>
                <w:color w:val="auto"/>
              </w:rPr>
              <w:t>缓释有效氮的质量分数（脲醛缓释复合肥料以脲醛氮UFN计）、粒度、单一中量元素</w:t>
            </w:r>
            <w:r>
              <w:rPr>
                <w:rFonts w:ascii="Times New Roman" w:hAnsi="Times New Roman"/>
                <w:color w:val="auto"/>
                <w:vertAlign w:val="superscript"/>
              </w:rPr>
              <w:t>4</w:t>
            </w:r>
            <w:r>
              <w:rPr>
                <w:rFonts w:ascii="Times New Roman" w:hAnsi="Times New Roman"/>
                <w:color w:val="auto"/>
              </w:rPr>
              <w:t>、单一微量元素</w:t>
            </w:r>
            <w:r>
              <w:rPr>
                <w:rFonts w:ascii="Times New Roman" w:hAnsi="Times New Roman"/>
                <w:color w:val="auto"/>
                <w:vertAlign w:val="superscript"/>
              </w:rPr>
              <w:t>5</w:t>
            </w:r>
            <w:r>
              <w:rPr>
                <w:rFonts w:ascii="Times New Roman" w:hAnsi="Times New Roman"/>
                <w:color w:val="auto"/>
              </w:rPr>
              <w:t>（脲醛缓释肥料同时应符合其核芯肥料标准和包装标明值的要求）、总砷、总镉、总铅、总铬、总汞、总铊、缩二脲</w:t>
            </w:r>
            <w:r>
              <w:rPr>
                <w:rFonts w:ascii="Times New Roman" w:hAnsi="Times New Roman"/>
                <w:color w:val="auto"/>
                <w:vertAlign w:val="superscript"/>
              </w:rPr>
              <w:t>7</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trHeight w:val="20" w:hRule="atLeast"/>
          <w:jc w:val="center"/>
        </w:trPr>
        <w:tc>
          <w:tcPr>
            <w:tcW w:w="1285" w:type="dxa"/>
            <w:vMerge w:val="continue"/>
            <w:tcBorders>
              <w:tl2br w:val="nil"/>
              <w:tr2bl w:val="nil"/>
            </w:tcBorders>
            <w:vAlign w:val="center"/>
          </w:tcPr>
          <w:p>
            <w:pPr>
              <w:snapToGrid w:val="0"/>
              <w:jc w:val="center"/>
              <w:rPr>
                <w:rFonts w:ascii="Times New Roman" w:hAnsi="Times New Roman"/>
                <w:color w:val="auto"/>
              </w:rPr>
            </w:pPr>
          </w:p>
        </w:tc>
        <w:tc>
          <w:tcPr>
            <w:tcW w:w="980" w:type="dxa"/>
            <w:gridSpan w:val="2"/>
            <w:tcBorders>
              <w:tl2br w:val="nil"/>
              <w:tr2bl w:val="nil"/>
            </w:tcBorders>
            <w:vAlign w:val="center"/>
          </w:tcPr>
          <w:p>
            <w:pPr>
              <w:snapToGrid w:val="0"/>
              <w:jc w:val="center"/>
              <w:rPr>
                <w:rFonts w:ascii="Times New Roman" w:hAnsi="Times New Roman"/>
                <w:color w:val="auto"/>
              </w:rPr>
            </w:pPr>
            <w:r>
              <w:rPr>
                <w:rFonts w:ascii="Times New Roman" w:hAnsi="Times New Roman"/>
                <w:color w:val="auto"/>
              </w:rPr>
              <w:t>7</w:t>
            </w:r>
          </w:p>
        </w:tc>
        <w:tc>
          <w:tcPr>
            <w:tcW w:w="1985" w:type="dxa"/>
            <w:tcBorders>
              <w:tl2br w:val="nil"/>
              <w:tr2bl w:val="nil"/>
            </w:tcBorders>
            <w:vAlign w:val="center"/>
          </w:tcPr>
          <w:p>
            <w:pPr>
              <w:snapToGrid w:val="0"/>
              <w:jc w:val="left"/>
              <w:rPr>
                <w:rFonts w:ascii="Times New Roman" w:hAnsi="Times New Roman"/>
                <w:color w:val="auto"/>
              </w:rPr>
            </w:pPr>
            <w:r>
              <w:rPr>
                <w:rFonts w:ascii="Times New Roman" w:hAnsi="Times New Roman"/>
                <w:color w:val="auto"/>
              </w:rPr>
              <w:t>稳定性复合肥料</w:t>
            </w:r>
          </w:p>
        </w:tc>
        <w:tc>
          <w:tcPr>
            <w:tcW w:w="3544" w:type="dxa"/>
            <w:tcBorders>
              <w:tl2br w:val="nil"/>
              <w:tr2bl w:val="nil"/>
            </w:tcBorders>
            <w:vAlign w:val="center"/>
          </w:tcPr>
          <w:p>
            <w:pPr>
              <w:snapToGrid w:val="0"/>
              <w:jc w:val="left"/>
              <w:rPr>
                <w:rFonts w:ascii="Times New Roman" w:hAnsi="Times New Roman"/>
                <w:bCs/>
                <w:color w:val="auto"/>
              </w:rPr>
            </w:pPr>
            <w:r>
              <w:rPr>
                <w:rFonts w:ascii="Times New Roman" w:hAnsi="Times New Roman"/>
                <w:bCs/>
                <w:color w:val="auto"/>
              </w:rPr>
              <w:t>GB/T 35113—2017 稳定性肥料</w:t>
            </w:r>
          </w:p>
          <w:p>
            <w:pPr>
              <w:snapToGrid w:val="0"/>
              <w:jc w:val="left"/>
              <w:rPr>
                <w:rFonts w:ascii="Times New Roman" w:hAnsi="Times New Roman"/>
                <w:color w:val="auto"/>
              </w:rPr>
            </w:pPr>
            <w:r>
              <w:rPr>
                <w:rFonts w:ascii="Times New Roman" w:hAnsi="Times New Roman"/>
                <w:color w:val="auto"/>
              </w:rPr>
              <w:t>GB/T 15063—2020 复合肥料</w:t>
            </w:r>
          </w:p>
          <w:p>
            <w:pPr>
              <w:snapToGrid w:val="0"/>
              <w:jc w:val="left"/>
              <w:rPr>
                <w:rFonts w:ascii="Times New Roman" w:hAnsi="Times New Roman"/>
                <w:bCs/>
                <w:color w:val="auto"/>
              </w:rPr>
            </w:pPr>
            <w:r>
              <w:rPr>
                <w:rFonts w:ascii="Times New Roman" w:hAnsi="Times New Roman"/>
                <w:color w:val="auto"/>
              </w:rPr>
              <w:t>GB 38400—2019 肥料中有毒有害物质的限量要求</w:t>
            </w:r>
          </w:p>
        </w:tc>
        <w:tc>
          <w:tcPr>
            <w:tcW w:w="7406" w:type="dxa"/>
            <w:tcBorders>
              <w:tl2br w:val="nil"/>
              <w:tr2bl w:val="nil"/>
            </w:tcBorders>
            <w:vAlign w:val="center"/>
          </w:tcPr>
          <w:p>
            <w:pPr>
              <w:snapToGrid w:val="0"/>
              <w:rPr>
                <w:rFonts w:ascii="Times New Roman" w:hAnsi="Times New Roman"/>
                <w:color w:val="auto"/>
              </w:rPr>
            </w:pPr>
            <w:r>
              <w:rPr>
                <w:rFonts w:ascii="Times New Roman" w:hAnsi="Times New Roman"/>
                <w:color w:val="auto"/>
              </w:rPr>
              <w:t>尿素残留差异率、硝化抑制率（稳定性肥料同时应符合其核芯肥料标准和包装标明值的要求）、粒度、总砷、总镉、总铅、总铬、总汞、总铊、缩二脲</w:t>
            </w:r>
            <w:r>
              <w:rPr>
                <w:rFonts w:ascii="Times New Roman" w:hAnsi="Times New Roman"/>
                <w:color w:val="auto"/>
                <w:vertAlign w:val="superscript"/>
              </w:rPr>
              <w:t>7</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trHeight w:val="20" w:hRule="atLeast"/>
          <w:jc w:val="center"/>
        </w:trPr>
        <w:tc>
          <w:tcPr>
            <w:tcW w:w="1285" w:type="dxa"/>
            <w:vMerge w:val="continue"/>
            <w:tcBorders>
              <w:tl2br w:val="nil"/>
              <w:tr2bl w:val="nil"/>
            </w:tcBorders>
            <w:vAlign w:val="center"/>
          </w:tcPr>
          <w:p>
            <w:pPr>
              <w:snapToGrid w:val="0"/>
              <w:jc w:val="center"/>
              <w:rPr>
                <w:rFonts w:ascii="Times New Roman" w:hAnsi="Times New Roman"/>
                <w:color w:val="auto"/>
              </w:rPr>
            </w:pPr>
          </w:p>
        </w:tc>
        <w:tc>
          <w:tcPr>
            <w:tcW w:w="980" w:type="dxa"/>
            <w:gridSpan w:val="2"/>
            <w:tcBorders>
              <w:tl2br w:val="nil"/>
              <w:tr2bl w:val="nil"/>
            </w:tcBorders>
            <w:vAlign w:val="center"/>
          </w:tcPr>
          <w:p>
            <w:pPr>
              <w:snapToGrid w:val="0"/>
              <w:jc w:val="center"/>
              <w:rPr>
                <w:rFonts w:ascii="Times New Roman" w:hAnsi="Times New Roman"/>
                <w:color w:val="auto"/>
              </w:rPr>
            </w:pPr>
            <w:r>
              <w:rPr>
                <w:rFonts w:ascii="Times New Roman" w:hAnsi="Times New Roman"/>
                <w:color w:val="auto"/>
              </w:rPr>
              <w:t>8</w:t>
            </w:r>
          </w:p>
        </w:tc>
        <w:tc>
          <w:tcPr>
            <w:tcW w:w="1985" w:type="dxa"/>
            <w:tcBorders>
              <w:tl2br w:val="nil"/>
              <w:tr2bl w:val="nil"/>
            </w:tcBorders>
            <w:vAlign w:val="center"/>
          </w:tcPr>
          <w:p>
            <w:pPr>
              <w:snapToGrid w:val="0"/>
              <w:jc w:val="left"/>
              <w:rPr>
                <w:rFonts w:ascii="Times New Roman" w:hAnsi="Times New Roman"/>
                <w:color w:val="auto"/>
              </w:rPr>
            </w:pPr>
            <w:r>
              <w:rPr>
                <w:rFonts w:ascii="Times New Roman" w:hAnsi="Times New Roman"/>
                <w:color w:val="auto"/>
              </w:rPr>
              <w:t>无机包裹型复合肥料</w:t>
            </w:r>
          </w:p>
        </w:tc>
        <w:tc>
          <w:tcPr>
            <w:tcW w:w="3544" w:type="dxa"/>
            <w:tcBorders>
              <w:tl2br w:val="nil"/>
              <w:tr2bl w:val="nil"/>
            </w:tcBorders>
            <w:vAlign w:val="center"/>
          </w:tcPr>
          <w:p>
            <w:pPr>
              <w:snapToGrid w:val="0"/>
              <w:jc w:val="left"/>
              <w:rPr>
                <w:rFonts w:ascii="Times New Roman" w:hAnsi="Times New Roman"/>
                <w:color w:val="auto"/>
              </w:rPr>
            </w:pPr>
            <w:r>
              <w:rPr>
                <w:rFonts w:ascii="Times New Roman" w:hAnsi="Times New Roman"/>
                <w:color w:val="auto"/>
              </w:rPr>
              <w:t>HG/T 4217—2011 无机包裹型复混肥料</w:t>
            </w:r>
          </w:p>
          <w:p>
            <w:pPr>
              <w:snapToGrid w:val="0"/>
              <w:jc w:val="left"/>
              <w:rPr>
                <w:rFonts w:ascii="Times New Roman" w:hAnsi="Times New Roman"/>
                <w:color w:val="auto"/>
              </w:rPr>
            </w:pPr>
            <w:r>
              <w:rPr>
                <w:rFonts w:ascii="Times New Roman" w:hAnsi="Times New Roman"/>
                <w:color w:val="auto"/>
              </w:rPr>
              <w:t>GB/T 15063—2020 复合肥料</w:t>
            </w:r>
          </w:p>
          <w:p>
            <w:pPr>
              <w:snapToGrid w:val="0"/>
              <w:jc w:val="left"/>
              <w:rPr>
                <w:rFonts w:ascii="Times New Roman" w:hAnsi="Times New Roman"/>
                <w:color w:val="auto"/>
              </w:rPr>
            </w:pPr>
            <w:r>
              <w:rPr>
                <w:rFonts w:ascii="Times New Roman" w:hAnsi="Times New Roman"/>
                <w:color w:val="auto"/>
              </w:rPr>
              <w:t>GB 38400—2019 肥料中有毒有害物质的限量要求</w:t>
            </w:r>
          </w:p>
        </w:tc>
        <w:tc>
          <w:tcPr>
            <w:tcW w:w="7406" w:type="dxa"/>
            <w:tcBorders>
              <w:tl2br w:val="nil"/>
              <w:tr2bl w:val="nil"/>
            </w:tcBorders>
            <w:vAlign w:val="center"/>
          </w:tcPr>
          <w:p>
            <w:pPr>
              <w:snapToGrid w:val="0"/>
              <w:rPr>
                <w:rFonts w:ascii="Times New Roman" w:hAnsi="Times New Roman"/>
                <w:color w:val="auto"/>
              </w:rPr>
            </w:pPr>
            <w:r>
              <w:rPr>
                <w:rFonts w:ascii="Times New Roman" w:hAnsi="Times New Roman"/>
                <w:color w:val="auto"/>
              </w:rPr>
              <w:t>总养分（N＋P</w:t>
            </w:r>
            <w:r>
              <w:rPr>
                <w:rFonts w:ascii="Times New Roman" w:hAnsi="Times New Roman"/>
                <w:color w:val="auto"/>
                <w:vertAlign w:val="subscript"/>
              </w:rPr>
              <w:t>2</w:t>
            </w:r>
            <w:r>
              <w:rPr>
                <w:rFonts w:ascii="Times New Roman" w:hAnsi="Times New Roman"/>
                <w:color w:val="auto"/>
              </w:rPr>
              <w:t>O</w:t>
            </w:r>
            <w:r>
              <w:rPr>
                <w:rFonts w:ascii="Times New Roman" w:hAnsi="Times New Roman"/>
                <w:color w:val="auto"/>
                <w:vertAlign w:val="subscript"/>
              </w:rPr>
              <w:t>5</w:t>
            </w:r>
            <w:r>
              <w:rPr>
                <w:rFonts w:ascii="Times New Roman" w:hAnsi="Times New Roman"/>
                <w:color w:val="auto"/>
              </w:rPr>
              <w:t>＋K</w:t>
            </w:r>
            <w:r>
              <w:rPr>
                <w:rFonts w:ascii="Times New Roman" w:hAnsi="Times New Roman"/>
                <w:color w:val="auto"/>
                <w:vertAlign w:val="subscript"/>
              </w:rPr>
              <w:t>2</w:t>
            </w:r>
            <w:r>
              <w:rPr>
                <w:rFonts w:ascii="Times New Roman" w:hAnsi="Times New Roman"/>
                <w:color w:val="auto"/>
              </w:rPr>
              <w:t>O）</w:t>
            </w:r>
            <w:r>
              <w:rPr>
                <w:rFonts w:ascii="Times New Roman" w:hAnsi="Times New Roman"/>
                <w:color w:val="auto"/>
                <w:vertAlign w:val="superscript"/>
              </w:rPr>
              <w:t>1</w:t>
            </w:r>
            <w:r>
              <w:rPr>
                <w:rFonts w:ascii="Times New Roman" w:hAnsi="Times New Roman"/>
                <w:color w:val="auto"/>
              </w:rPr>
              <w:t>质量分数、核芯包裹率、缓释氮占总氮的质量分数、粒度、总砷、总镉、总铅、总铬、总汞、总铊、缩二脲</w:t>
            </w:r>
            <w:r>
              <w:rPr>
                <w:rFonts w:ascii="Times New Roman" w:hAnsi="Times New Roman"/>
                <w:color w:val="auto"/>
                <w:vertAlign w:val="superscript"/>
              </w:rPr>
              <w:t>7</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trHeight w:val="20" w:hRule="atLeast"/>
          <w:jc w:val="center"/>
        </w:trPr>
        <w:tc>
          <w:tcPr>
            <w:tcW w:w="1285" w:type="dxa"/>
            <w:vMerge w:val="continue"/>
            <w:tcBorders>
              <w:tl2br w:val="nil"/>
              <w:tr2bl w:val="nil"/>
            </w:tcBorders>
            <w:vAlign w:val="center"/>
          </w:tcPr>
          <w:p>
            <w:pPr>
              <w:snapToGrid w:val="0"/>
              <w:jc w:val="center"/>
              <w:rPr>
                <w:rFonts w:ascii="Times New Roman" w:hAnsi="Times New Roman"/>
                <w:color w:val="auto"/>
              </w:rPr>
            </w:pPr>
          </w:p>
        </w:tc>
        <w:tc>
          <w:tcPr>
            <w:tcW w:w="980" w:type="dxa"/>
            <w:gridSpan w:val="2"/>
            <w:tcBorders>
              <w:tl2br w:val="nil"/>
              <w:tr2bl w:val="nil"/>
            </w:tcBorders>
            <w:vAlign w:val="center"/>
          </w:tcPr>
          <w:p>
            <w:pPr>
              <w:snapToGrid w:val="0"/>
              <w:jc w:val="center"/>
              <w:rPr>
                <w:rFonts w:ascii="Times New Roman" w:hAnsi="Times New Roman"/>
                <w:color w:val="auto"/>
              </w:rPr>
            </w:pPr>
            <w:r>
              <w:rPr>
                <w:rFonts w:ascii="Times New Roman" w:hAnsi="Times New Roman"/>
                <w:color w:val="auto"/>
              </w:rPr>
              <w:t>9</w:t>
            </w:r>
          </w:p>
        </w:tc>
        <w:tc>
          <w:tcPr>
            <w:tcW w:w="1985" w:type="dxa"/>
            <w:tcBorders>
              <w:tl2br w:val="nil"/>
              <w:tr2bl w:val="nil"/>
            </w:tcBorders>
            <w:vAlign w:val="center"/>
          </w:tcPr>
          <w:p>
            <w:pPr>
              <w:snapToGrid w:val="0"/>
              <w:jc w:val="left"/>
              <w:rPr>
                <w:rFonts w:ascii="Times New Roman" w:hAnsi="Times New Roman"/>
                <w:color w:val="auto"/>
              </w:rPr>
            </w:pPr>
            <w:r>
              <w:rPr>
                <w:rFonts w:ascii="Times New Roman" w:hAnsi="Times New Roman"/>
                <w:color w:val="auto"/>
              </w:rPr>
              <w:t>腐植酸复合肥料</w:t>
            </w:r>
          </w:p>
        </w:tc>
        <w:tc>
          <w:tcPr>
            <w:tcW w:w="3544" w:type="dxa"/>
            <w:tcBorders>
              <w:tl2br w:val="nil"/>
              <w:tr2bl w:val="nil"/>
            </w:tcBorders>
            <w:vAlign w:val="center"/>
          </w:tcPr>
          <w:p>
            <w:pPr>
              <w:snapToGrid w:val="0"/>
              <w:jc w:val="left"/>
              <w:rPr>
                <w:rFonts w:ascii="Times New Roman" w:hAnsi="Times New Roman"/>
                <w:color w:val="auto"/>
              </w:rPr>
            </w:pPr>
            <w:r>
              <w:rPr>
                <w:rFonts w:ascii="Times New Roman" w:hAnsi="Times New Roman"/>
                <w:color w:val="auto"/>
              </w:rPr>
              <w:t>HG/T 5046—2016 腐植酸复合肥料</w:t>
            </w:r>
          </w:p>
          <w:p>
            <w:pPr>
              <w:snapToGrid w:val="0"/>
              <w:jc w:val="left"/>
              <w:rPr>
                <w:rFonts w:ascii="Times New Roman" w:hAnsi="Times New Roman"/>
                <w:color w:val="auto"/>
              </w:rPr>
            </w:pPr>
            <w:r>
              <w:rPr>
                <w:rFonts w:ascii="Times New Roman" w:hAnsi="Times New Roman"/>
                <w:color w:val="auto"/>
              </w:rPr>
              <w:t>GB 38400—2019 肥料中有毒有害物质的限量要求</w:t>
            </w:r>
          </w:p>
        </w:tc>
        <w:tc>
          <w:tcPr>
            <w:tcW w:w="7406" w:type="dxa"/>
            <w:tcBorders>
              <w:tl2br w:val="nil"/>
              <w:tr2bl w:val="nil"/>
            </w:tcBorders>
            <w:vAlign w:val="center"/>
          </w:tcPr>
          <w:p>
            <w:pPr>
              <w:snapToGrid w:val="0"/>
              <w:rPr>
                <w:rFonts w:ascii="Times New Roman" w:hAnsi="Times New Roman"/>
                <w:color w:val="auto"/>
              </w:rPr>
            </w:pPr>
            <w:r>
              <w:rPr>
                <w:rFonts w:ascii="Times New Roman" w:hAnsi="Times New Roman"/>
                <w:color w:val="auto"/>
              </w:rPr>
              <w:t>总养分（N＋P</w:t>
            </w:r>
            <w:r>
              <w:rPr>
                <w:rFonts w:ascii="Times New Roman" w:hAnsi="Times New Roman"/>
                <w:color w:val="auto"/>
                <w:vertAlign w:val="subscript"/>
              </w:rPr>
              <w:t>2</w:t>
            </w:r>
            <w:r>
              <w:rPr>
                <w:rFonts w:ascii="Times New Roman" w:hAnsi="Times New Roman"/>
                <w:color w:val="auto"/>
              </w:rPr>
              <w:t>O</w:t>
            </w:r>
            <w:r>
              <w:rPr>
                <w:rFonts w:ascii="Times New Roman" w:hAnsi="Times New Roman"/>
                <w:color w:val="auto"/>
                <w:vertAlign w:val="subscript"/>
              </w:rPr>
              <w:t>5</w:t>
            </w:r>
            <w:r>
              <w:rPr>
                <w:rFonts w:ascii="Times New Roman" w:hAnsi="Times New Roman"/>
                <w:color w:val="auto"/>
              </w:rPr>
              <w:t>＋K</w:t>
            </w:r>
            <w:r>
              <w:rPr>
                <w:rFonts w:ascii="Times New Roman" w:hAnsi="Times New Roman"/>
                <w:color w:val="auto"/>
                <w:vertAlign w:val="subscript"/>
              </w:rPr>
              <w:t>2</w:t>
            </w:r>
            <w:r>
              <w:rPr>
                <w:rFonts w:ascii="Times New Roman" w:hAnsi="Times New Roman"/>
                <w:color w:val="auto"/>
              </w:rPr>
              <w:t>O）</w:t>
            </w:r>
            <w:r>
              <w:rPr>
                <w:rFonts w:ascii="Times New Roman" w:hAnsi="Times New Roman"/>
                <w:color w:val="auto"/>
                <w:vertAlign w:val="superscript"/>
              </w:rPr>
              <w:t>1</w:t>
            </w:r>
            <w:r>
              <w:rPr>
                <w:rFonts w:ascii="Times New Roman" w:hAnsi="Times New Roman"/>
                <w:color w:val="auto"/>
              </w:rPr>
              <w:t>的质量分数、水溶性磷占有效磷百分率</w:t>
            </w:r>
            <w:r>
              <w:rPr>
                <w:rFonts w:ascii="Times New Roman" w:hAnsi="Times New Roman"/>
                <w:color w:val="auto"/>
                <w:vertAlign w:val="superscript"/>
              </w:rPr>
              <w:t>8</w:t>
            </w:r>
            <w:r>
              <w:rPr>
                <w:rFonts w:ascii="Times New Roman" w:hAnsi="Times New Roman"/>
                <w:color w:val="auto"/>
              </w:rPr>
              <w:t>、粒度、氯离子的质量分数</w:t>
            </w:r>
            <w:r>
              <w:rPr>
                <w:rFonts w:ascii="Times New Roman" w:hAnsi="Times New Roman"/>
                <w:color w:val="auto"/>
                <w:vertAlign w:val="superscript"/>
              </w:rPr>
              <w:t>6</w:t>
            </w:r>
            <w:r>
              <w:rPr>
                <w:rFonts w:ascii="Times New Roman" w:hAnsi="Times New Roman"/>
                <w:color w:val="auto"/>
              </w:rPr>
              <w:t>、活化腐植酸含量、总腐植酸含量、总砷、总镉、总铅、总铬、总汞、总铊、缩二脲</w:t>
            </w:r>
            <w:r>
              <w:rPr>
                <w:rFonts w:ascii="Times New Roman" w:hAnsi="Times New Roman"/>
                <w:color w:val="auto"/>
                <w:vertAlign w:val="superscript"/>
              </w:rPr>
              <w:t>7</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trHeight w:val="20" w:hRule="atLeast"/>
          <w:jc w:val="center"/>
        </w:trPr>
        <w:tc>
          <w:tcPr>
            <w:tcW w:w="1285" w:type="dxa"/>
            <w:vMerge w:val="continue"/>
            <w:tcBorders>
              <w:tl2br w:val="nil"/>
              <w:tr2bl w:val="nil"/>
            </w:tcBorders>
            <w:vAlign w:val="center"/>
          </w:tcPr>
          <w:p>
            <w:pPr>
              <w:snapToGrid w:val="0"/>
              <w:jc w:val="center"/>
              <w:rPr>
                <w:rFonts w:ascii="Times New Roman" w:hAnsi="Times New Roman"/>
                <w:color w:val="auto"/>
              </w:rPr>
            </w:pPr>
          </w:p>
        </w:tc>
        <w:tc>
          <w:tcPr>
            <w:tcW w:w="980" w:type="dxa"/>
            <w:gridSpan w:val="2"/>
            <w:tcBorders>
              <w:tl2br w:val="nil"/>
              <w:tr2bl w:val="nil"/>
            </w:tcBorders>
            <w:vAlign w:val="center"/>
          </w:tcPr>
          <w:p>
            <w:pPr>
              <w:snapToGrid w:val="0"/>
              <w:jc w:val="center"/>
              <w:rPr>
                <w:rFonts w:ascii="Times New Roman" w:hAnsi="Times New Roman"/>
                <w:color w:val="auto"/>
              </w:rPr>
            </w:pPr>
            <w:r>
              <w:rPr>
                <w:rFonts w:ascii="Times New Roman" w:hAnsi="Times New Roman"/>
                <w:color w:val="auto"/>
              </w:rPr>
              <w:t>10</w:t>
            </w:r>
          </w:p>
        </w:tc>
        <w:tc>
          <w:tcPr>
            <w:tcW w:w="1985" w:type="dxa"/>
            <w:tcBorders>
              <w:tl2br w:val="nil"/>
              <w:tr2bl w:val="nil"/>
            </w:tcBorders>
            <w:vAlign w:val="center"/>
          </w:tcPr>
          <w:p>
            <w:pPr>
              <w:snapToGrid w:val="0"/>
              <w:jc w:val="left"/>
              <w:rPr>
                <w:rFonts w:ascii="Times New Roman" w:hAnsi="Times New Roman"/>
                <w:color w:val="auto"/>
              </w:rPr>
            </w:pPr>
            <w:r>
              <w:rPr>
                <w:rFonts w:ascii="Times New Roman" w:hAnsi="Times New Roman"/>
                <w:color w:val="auto"/>
              </w:rPr>
              <w:t>海藻酸复合肥料</w:t>
            </w:r>
          </w:p>
        </w:tc>
        <w:tc>
          <w:tcPr>
            <w:tcW w:w="3544" w:type="dxa"/>
            <w:tcBorders>
              <w:tl2br w:val="nil"/>
              <w:tr2bl w:val="nil"/>
            </w:tcBorders>
            <w:vAlign w:val="center"/>
          </w:tcPr>
          <w:p>
            <w:pPr>
              <w:snapToGrid w:val="0"/>
              <w:jc w:val="left"/>
              <w:rPr>
                <w:rFonts w:ascii="Times New Roman" w:hAnsi="Times New Roman"/>
                <w:color w:val="auto"/>
              </w:rPr>
            </w:pPr>
            <w:r>
              <w:rPr>
                <w:rFonts w:ascii="Times New Roman" w:hAnsi="Times New Roman"/>
                <w:color w:val="auto"/>
              </w:rPr>
              <w:t>HG/T 5050—2016 海藻酸类肥料</w:t>
            </w:r>
          </w:p>
          <w:p>
            <w:pPr>
              <w:snapToGrid w:val="0"/>
              <w:jc w:val="left"/>
              <w:rPr>
                <w:rFonts w:ascii="Times New Roman" w:hAnsi="Times New Roman"/>
                <w:color w:val="auto"/>
              </w:rPr>
            </w:pPr>
            <w:r>
              <w:rPr>
                <w:rFonts w:ascii="Times New Roman" w:hAnsi="Times New Roman"/>
                <w:color w:val="auto"/>
              </w:rPr>
              <w:t>GB/T 15063—2020 复合肥料</w:t>
            </w:r>
          </w:p>
          <w:p>
            <w:pPr>
              <w:snapToGrid w:val="0"/>
              <w:jc w:val="left"/>
              <w:rPr>
                <w:rFonts w:ascii="Times New Roman" w:hAnsi="Times New Roman"/>
                <w:color w:val="auto"/>
              </w:rPr>
            </w:pPr>
            <w:r>
              <w:rPr>
                <w:rFonts w:ascii="Times New Roman" w:hAnsi="Times New Roman"/>
                <w:color w:val="auto"/>
              </w:rPr>
              <w:t>GB 38400—2019 肥料中有毒有害物质的限量要求</w:t>
            </w:r>
          </w:p>
        </w:tc>
        <w:tc>
          <w:tcPr>
            <w:tcW w:w="7406" w:type="dxa"/>
            <w:tcBorders>
              <w:tl2br w:val="nil"/>
              <w:tr2bl w:val="nil"/>
            </w:tcBorders>
            <w:vAlign w:val="center"/>
          </w:tcPr>
          <w:p>
            <w:pPr>
              <w:snapToGrid w:val="0"/>
              <w:jc w:val="left"/>
              <w:rPr>
                <w:rFonts w:ascii="Times New Roman" w:hAnsi="Times New Roman"/>
                <w:color w:val="auto"/>
              </w:rPr>
            </w:pPr>
            <w:r>
              <w:rPr>
                <w:rFonts w:ascii="Times New Roman" w:hAnsi="Times New Roman"/>
                <w:color w:val="auto"/>
              </w:rPr>
              <w:t>海藻酸的质量分数（同时应符合GB/T 15063—2020复合肥料标准和包装标明值的要求）、氨挥发抑制率</w:t>
            </w:r>
            <w:r>
              <w:rPr>
                <w:rFonts w:ascii="Times New Roman" w:hAnsi="Times New Roman"/>
                <w:color w:val="auto"/>
                <w:vertAlign w:val="superscript"/>
              </w:rPr>
              <w:t>14</w:t>
            </w:r>
            <w:r>
              <w:rPr>
                <w:rFonts w:ascii="Times New Roman" w:hAnsi="Times New Roman"/>
                <w:color w:val="auto"/>
              </w:rPr>
              <w:t>、粒度、总砷、总镉、总铅、总铬、总汞、总铊、缩二脲</w:t>
            </w:r>
            <w:r>
              <w:rPr>
                <w:rFonts w:ascii="Times New Roman" w:hAnsi="Times New Roman"/>
                <w:color w:val="auto"/>
                <w:vertAlign w:val="superscript"/>
              </w:rPr>
              <w:t>7</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trHeight w:val="20" w:hRule="atLeast"/>
          <w:jc w:val="center"/>
        </w:trPr>
        <w:tc>
          <w:tcPr>
            <w:tcW w:w="1285" w:type="dxa"/>
            <w:vMerge w:val="continue"/>
            <w:tcBorders>
              <w:tl2br w:val="nil"/>
              <w:tr2bl w:val="nil"/>
            </w:tcBorders>
            <w:vAlign w:val="center"/>
          </w:tcPr>
          <w:p>
            <w:pPr>
              <w:snapToGrid w:val="0"/>
              <w:jc w:val="center"/>
              <w:rPr>
                <w:rFonts w:ascii="Times New Roman" w:hAnsi="Times New Roman"/>
                <w:color w:val="auto"/>
              </w:rPr>
            </w:pPr>
          </w:p>
        </w:tc>
        <w:tc>
          <w:tcPr>
            <w:tcW w:w="980" w:type="dxa"/>
            <w:gridSpan w:val="2"/>
            <w:tcBorders>
              <w:tl2br w:val="nil"/>
              <w:tr2bl w:val="nil"/>
            </w:tcBorders>
            <w:vAlign w:val="center"/>
          </w:tcPr>
          <w:p>
            <w:pPr>
              <w:snapToGrid w:val="0"/>
              <w:jc w:val="center"/>
              <w:rPr>
                <w:rFonts w:ascii="Times New Roman" w:hAnsi="Times New Roman"/>
                <w:color w:val="auto"/>
              </w:rPr>
            </w:pPr>
            <w:r>
              <w:rPr>
                <w:rFonts w:ascii="Times New Roman" w:hAnsi="Times New Roman"/>
                <w:color w:val="auto"/>
              </w:rPr>
              <w:t>11</w:t>
            </w:r>
          </w:p>
        </w:tc>
        <w:tc>
          <w:tcPr>
            <w:tcW w:w="1985" w:type="dxa"/>
            <w:tcBorders>
              <w:tl2br w:val="nil"/>
              <w:tr2bl w:val="nil"/>
            </w:tcBorders>
            <w:vAlign w:val="center"/>
          </w:tcPr>
          <w:p>
            <w:pPr>
              <w:snapToGrid w:val="0"/>
              <w:jc w:val="left"/>
              <w:rPr>
                <w:rFonts w:ascii="Times New Roman" w:hAnsi="Times New Roman"/>
                <w:color w:val="auto"/>
              </w:rPr>
            </w:pPr>
            <w:r>
              <w:rPr>
                <w:rFonts w:ascii="Times New Roman" w:hAnsi="Times New Roman"/>
                <w:color w:val="auto"/>
              </w:rPr>
              <w:t>含硫酸脲复合肥料</w:t>
            </w:r>
          </w:p>
        </w:tc>
        <w:tc>
          <w:tcPr>
            <w:tcW w:w="3544" w:type="dxa"/>
            <w:tcBorders>
              <w:tl2br w:val="nil"/>
              <w:tr2bl w:val="nil"/>
            </w:tcBorders>
            <w:vAlign w:val="center"/>
          </w:tcPr>
          <w:p>
            <w:pPr>
              <w:snapToGrid w:val="0"/>
              <w:jc w:val="left"/>
              <w:rPr>
                <w:rFonts w:ascii="Times New Roman" w:hAnsi="Times New Roman"/>
                <w:color w:val="auto"/>
              </w:rPr>
            </w:pPr>
            <w:r>
              <w:rPr>
                <w:rFonts w:ascii="Times New Roman" w:hAnsi="Times New Roman"/>
                <w:color w:val="auto"/>
              </w:rPr>
              <w:t>HG/T 5516—2019 含硫酸脲复合肥料</w:t>
            </w:r>
          </w:p>
          <w:p>
            <w:pPr>
              <w:snapToGrid w:val="0"/>
              <w:jc w:val="left"/>
              <w:rPr>
                <w:rFonts w:ascii="Times New Roman" w:hAnsi="Times New Roman"/>
                <w:color w:val="auto"/>
              </w:rPr>
            </w:pPr>
            <w:r>
              <w:rPr>
                <w:rFonts w:ascii="Times New Roman" w:hAnsi="Times New Roman"/>
                <w:color w:val="auto"/>
              </w:rPr>
              <w:t>GB/T 15063—2020 复合肥料</w:t>
            </w:r>
          </w:p>
          <w:p>
            <w:pPr>
              <w:snapToGrid w:val="0"/>
              <w:jc w:val="left"/>
              <w:rPr>
                <w:rFonts w:ascii="Times New Roman" w:hAnsi="Times New Roman"/>
                <w:color w:val="auto"/>
              </w:rPr>
            </w:pPr>
            <w:r>
              <w:rPr>
                <w:rFonts w:ascii="Times New Roman" w:hAnsi="Times New Roman"/>
                <w:color w:val="auto"/>
              </w:rPr>
              <w:t>GB 38400—2019 肥料中有毒有害物质的限量要求</w:t>
            </w:r>
          </w:p>
        </w:tc>
        <w:tc>
          <w:tcPr>
            <w:tcW w:w="7406" w:type="dxa"/>
            <w:tcBorders>
              <w:tl2br w:val="nil"/>
              <w:tr2bl w:val="nil"/>
            </w:tcBorders>
            <w:vAlign w:val="center"/>
          </w:tcPr>
          <w:p>
            <w:pPr>
              <w:snapToGrid w:val="0"/>
              <w:jc w:val="left"/>
              <w:rPr>
                <w:rFonts w:ascii="Times New Roman" w:hAnsi="Times New Roman"/>
                <w:color w:val="auto"/>
              </w:rPr>
            </w:pPr>
            <w:r>
              <w:rPr>
                <w:rFonts w:ascii="Times New Roman" w:hAnsi="Times New Roman"/>
                <w:color w:val="auto"/>
              </w:rPr>
              <w:t>总养分（N＋P</w:t>
            </w:r>
            <w:r>
              <w:rPr>
                <w:rFonts w:ascii="Times New Roman" w:hAnsi="Times New Roman"/>
                <w:color w:val="auto"/>
                <w:vertAlign w:val="subscript"/>
              </w:rPr>
              <w:t>2</w:t>
            </w:r>
            <w:r>
              <w:rPr>
                <w:rFonts w:ascii="Times New Roman" w:hAnsi="Times New Roman"/>
                <w:color w:val="auto"/>
              </w:rPr>
              <w:t>O</w:t>
            </w:r>
            <w:r>
              <w:rPr>
                <w:rFonts w:ascii="Times New Roman" w:hAnsi="Times New Roman"/>
                <w:color w:val="auto"/>
                <w:vertAlign w:val="subscript"/>
              </w:rPr>
              <w:t>5</w:t>
            </w:r>
            <w:r>
              <w:rPr>
                <w:rFonts w:ascii="Times New Roman" w:hAnsi="Times New Roman"/>
                <w:color w:val="auto"/>
              </w:rPr>
              <w:t>＋K</w:t>
            </w:r>
            <w:r>
              <w:rPr>
                <w:rFonts w:ascii="Times New Roman" w:hAnsi="Times New Roman"/>
                <w:color w:val="auto"/>
                <w:vertAlign w:val="subscript"/>
              </w:rPr>
              <w:t>2</w:t>
            </w:r>
            <w:r>
              <w:rPr>
                <w:rFonts w:ascii="Times New Roman" w:hAnsi="Times New Roman"/>
                <w:color w:val="auto"/>
              </w:rPr>
              <w:t>O）</w:t>
            </w:r>
            <w:r>
              <w:rPr>
                <w:rFonts w:ascii="Times New Roman" w:hAnsi="Times New Roman"/>
                <w:color w:val="auto"/>
                <w:vertAlign w:val="superscript"/>
              </w:rPr>
              <w:t>1</w:t>
            </w:r>
            <w:r>
              <w:rPr>
                <w:rFonts w:ascii="Times New Roman" w:hAnsi="Times New Roman"/>
                <w:color w:val="auto"/>
              </w:rPr>
              <w:t>的质量分数、水溶性磷占有效磷的质量分数</w:t>
            </w:r>
            <w:r>
              <w:rPr>
                <w:rFonts w:ascii="Times New Roman" w:hAnsi="Times New Roman"/>
                <w:color w:val="auto"/>
                <w:vertAlign w:val="superscript"/>
              </w:rPr>
              <w:t>3</w:t>
            </w:r>
            <w:r>
              <w:rPr>
                <w:rFonts w:ascii="Times New Roman" w:hAnsi="Times New Roman"/>
                <w:color w:val="auto"/>
              </w:rPr>
              <w:t>、硫（S）的质量分数、氨挥发氮占总氮的百分率、酰胺态氮占总氮的百分率、粒度、pH值、氯离子的质量分数、总砷、总镉、总铅、总铬、总汞、总铊、缩二脲</w:t>
            </w:r>
            <w:r>
              <w:rPr>
                <w:rFonts w:ascii="Times New Roman" w:hAnsi="Times New Roman"/>
                <w:color w:val="auto"/>
                <w:vertAlign w:val="superscript"/>
              </w:rPr>
              <w:t>7</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trHeight w:val="20" w:hRule="atLeast"/>
          <w:jc w:val="center"/>
        </w:trPr>
        <w:tc>
          <w:tcPr>
            <w:tcW w:w="1285" w:type="dxa"/>
            <w:vMerge w:val="restart"/>
            <w:tcBorders>
              <w:top w:val="single" w:color="auto" w:sz="4" w:space="0"/>
              <w:tl2br w:val="nil"/>
              <w:tr2bl w:val="nil"/>
            </w:tcBorders>
            <w:vAlign w:val="center"/>
          </w:tcPr>
          <w:p>
            <w:pPr>
              <w:snapToGrid w:val="0"/>
              <w:jc w:val="center"/>
              <w:rPr>
                <w:rFonts w:ascii="Times New Roman" w:hAnsi="Times New Roman"/>
                <w:color w:val="auto"/>
              </w:rPr>
            </w:pPr>
            <w:r>
              <w:rPr>
                <w:rFonts w:ascii="Times New Roman" w:hAnsi="Times New Roman"/>
                <w:color w:val="auto"/>
              </w:rPr>
              <w:t>掺混肥料</w:t>
            </w:r>
          </w:p>
        </w:tc>
        <w:tc>
          <w:tcPr>
            <w:tcW w:w="980" w:type="dxa"/>
            <w:gridSpan w:val="2"/>
            <w:tcBorders>
              <w:tl2br w:val="nil"/>
              <w:tr2bl w:val="nil"/>
            </w:tcBorders>
            <w:vAlign w:val="center"/>
          </w:tcPr>
          <w:p>
            <w:pPr>
              <w:snapToGrid w:val="0"/>
              <w:jc w:val="center"/>
              <w:rPr>
                <w:rFonts w:ascii="Times New Roman" w:hAnsi="Times New Roman"/>
                <w:color w:val="auto"/>
              </w:rPr>
            </w:pPr>
            <w:r>
              <w:rPr>
                <w:rFonts w:ascii="Times New Roman" w:hAnsi="Times New Roman"/>
                <w:color w:val="auto"/>
              </w:rPr>
              <w:t>1</w:t>
            </w:r>
          </w:p>
        </w:tc>
        <w:tc>
          <w:tcPr>
            <w:tcW w:w="1985" w:type="dxa"/>
            <w:tcBorders>
              <w:tl2br w:val="nil"/>
              <w:tr2bl w:val="nil"/>
            </w:tcBorders>
            <w:vAlign w:val="center"/>
          </w:tcPr>
          <w:p>
            <w:pPr>
              <w:snapToGrid w:val="0"/>
              <w:jc w:val="left"/>
              <w:rPr>
                <w:rFonts w:ascii="Times New Roman" w:hAnsi="Times New Roman"/>
                <w:color w:val="auto"/>
              </w:rPr>
            </w:pPr>
            <w:r>
              <w:rPr>
                <w:rFonts w:ascii="Times New Roman" w:hAnsi="Times New Roman"/>
                <w:color w:val="auto"/>
              </w:rPr>
              <w:t>掺混肥料</w:t>
            </w:r>
          </w:p>
        </w:tc>
        <w:tc>
          <w:tcPr>
            <w:tcW w:w="3544" w:type="dxa"/>
            <w:tcBorders>
              <w:tl2br w:val="nil"/>
              <w:tr2bl w:val="nil"/>
            </w:tcBorders>
            <w:vAlign w:val="center"/>
          </w:tcPr>
          <w:p>
            <w:pPr>
              <w:snapToGrid w:val="0"/>
              <w:jc w:val="left"/>
              <w:rPr>
                <w:rFonts w:ascii="Times New Roman" w:hAnsi="Times New Roman"/>
                <w:color w:val="auto"/>
              </w:rPr>
            </w:pPr>
            <w:r>
              <w:rPr>
                <w:rFonts w:ascii="Times New Roman" w:hAnsi="Times New Roman"/>
                <w:color w:val="auto"/>
              </w:rPr>
              <w:t>GB/T 21633—2020 掺混肥料（BB肥）</w:t>
            </w:r>
          </w:p>
          <w:p>
            <w:pPr>
              <w:snapToGrid w:val="0"/>
              <w:jc w:val="left"/>
              <w:rPr>
                <w:rFonts w:ascii="Times New Roman" w:hAnsi="Times New Roman"/>
                <w:color w:val="auto"/>
              </w:rPr>
            </w:pPr>
            <w:r>
              <w:rPr>
                <w:rFonts w:ascii="Times New Roman" w:hAnsi="Times New Roman"/>
                <w:color w:val="auto"/>
              </w:rPr>
              <w:t>GB 38400—2019 肥料中有毒有害物质的限量要求</w:t>
            </w:r>
          </w:p>
        </w:tc>
        <w:tc>
          <w:tcPr>
            <w:tcW w:w="7406" w:type="dxa"/>
            <w:tcBorders>
              <w:tl2br w:val="nil"/>
              <w:tr2bl w:val="nil"/>
            </w:tcBorders>
            <w:vAlign w:val="center"/>
          </w:tcPr>
          <w:p>
            <w:pPr>
              <w:snapToGrid w:val="0"/>
              <w:rPr>
                <w:rFonts w:ascii="Times New Roman" w:hAnsi="Times New Roman"/>
                <w:color w:val="auto"/>
              </w:rPr>
            </w:pPr>
            <w:r>
              <w:rPr>
                <w:rFonts w:ascii="Times New Roman" w:hAnsi="Times New Roman"/>
                <w:color w:val="auto"/>
              </w:rPr>
              <w:t>总养分（N＋P</w:t>
            </w:r>
            <w:r>
              <w:rPr>
                <w:rFonts w:ascii="Times New Roman" w:hAnsi="Times New Roman"/>
                <w:color w:val="auto"/>
                <w:vertAlign w:val="subscript"/>
              </w:rPr>
              <w:t>2</w:t>
            </w:r>
            <w:r>
              <w:rPr>
                <w:rFonts w:ascii="Times New Roman" w:hAnsi="Times New Roman"/>
                <w:color w:val="auto"/>
              </w:rPr>
              <w:t>O</w:t>
            </w:r>
            <w:r>
              <w:rPr>
                <w:rFonts w:ascii="Times New Roman" w:hAnsi="Times New Roman"/>
                <w:color w:val="auto"/>
                <w:vertAlign w:val="subscript"/>
              </w:rPr>
              <w:t>5</w:t>
            </w:r>
            <w:r>
              <w:rPr>
                <w:rFonts w:ascii="Times New Roman" w:hAnsi="Times New Roman"/>
                <w:color w:val="auto"/>
              </w:rPr>
              <w:t>＋K</w:t>
            </w:r>
            <w:r>
              <w:rPr>
                <w:rFonts w:ascii="Times New Roman" w:hAnsi="Times New Roman"/>
                <w:color w:val="auto"/>
                <w:vertAlign w:val="subscript"/>
              </w:rPr>
              <w:t>2</w:t>
            </w:r>
            <w:r>
              <w:rPr>
                <w:rFonts w:ascii="Times New Roman" w:hAnsi="Times New Roman"/>
                <w:color w:val="auto"/>
              </w:rPr>
              <w:t>O）质量分数</w:t>
            </w:r>
            <w:r>
              <w:rPr>
                <w:rFonts w:ascii="Times New Roman" w:hAnsi="Times New Roman"/>
                <w:color w:val="auto"/>
                <w:vertAlign w:val="superscript"/>
              </w:rPr>
              <w:t>1</w:t>
            </w:r>
            <w:r>
              <w:rPr>
                <w:rFonts w:ascii="Times New Roman" w:hAnsi="Times New Roman"/>
                <w:color w:val="auto"/>
              </w:rPr>
              <w:t>、水溶磷占有效磷的百分率</w:t>
            </w:r>
            <w:r>
              <w:rPr>
                <w:rFonts w:ascii="Times New Roman" w:hAnsi="Times New Roman"/>
                <w:color w:val="auto"/>
                <w:vertAlign w:val="superscript"/>
              </w:rPr>
              <w:t>11</w:t>
            </w:r>
            <w:r>
              <w:rPr>
                <w:rFonts w:ascii="Times New Roman" w:hAnsi="Times New Roman"/>
                <w:color w:val="auto"/>
              </w:rPr>
              <w:t>、粒度、氯离子</w:t>
            </w:r>
            <w:r>
              <w:rPr>
                <w:rFonts w:ascii="Times New Roman" w:hAnsi="Times New Roman"/>
                <w:color w:val="auto"/>
                <w:vertAlign w:val="superscript"/>
              </w:rPr>
              <w:t>6</w:t>
            </w:r>
            <w:r>
              <w:rPr>
                <w:rFonts w:ascii="Times New Roman" w:hAnsi="Times New Roman"/>
                <w:color w:val="auto"/>
              </w:rPr>
              <w:t>、单一中量元素</w:t>
            </w:r>
            <w:r>
              <w:rPr>
                <w:rFonts w:ascii="Times New Roman" w:hAnsi="Times New Roman"/>
                <w:color w:val="auto"/>
                <w:vertAlign w:val="superscript"/>
              </w:rPr>
              <w:t>4</w:t>
            </w:r>
            <w:r>
              <w:rPr>
                <w:rFonts w:ascii="Times New Roman" w:hAnsi="Times New Roman"/>
                <w:color w:val="auto"/>
              </w:rPr>
              <w:t>、单一微量元素</w:t>
            </w:r>
            <w:r>
              <w:rPr>
                <w:rFonts w:ascii="Times New Roman" w:hAnsi="Times New Roman"/>
                <w:color w:val="auto"/>
                <w:vertAlign w:val="superscript"/>
              </w:rPr>
              <w:t>5</w:t>
            </w:r>
            <w:r>
              <w:rPr>
                <w:rFonts w:ascii="Times New Roman" w:hAnsi="Times New Roman"/>
                <w:color w:val="auto"/>
              </w:rPr>
              <w:t>、总砷、总镉、总铅、总铬、总汞、总铊、缩二脲</w:t>
            </w:r>
            <w:r>
              <w:rPr>
                <w:rFonts w:ascii="Times New Roman" w:hAnsi="Times New Roman"/>
                <w:color w:val="auto"/>
                <w:vertAlign w:val="superscript"/>
              </w:rPr>
              <w:t>7</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trHeight w:val="20" w:hRule="atLeast"/>
          <w:jc w:val="center"/>
        </w:trPr>
        <w:tc>
          <w:tcPr>
            <w:tcW w:w="1285" w:type="dxa"/>
            <w:vMerge w:val="continue"/>
            <w:tcBorders>
              <w:tl2br w:val="nil"/>
              <w:tr2bl w:val="nil"/>
            </w:tcBorders>
            <w:vAlign w:val="center"/>
          </w:tcPr>
          <w:p>
            <w:pPr>
              <w:snapToGrid w:val="0"/>
              <w:jc w:val="center"/>
              <w:rPr>
                <w:rFonts w:ascii="Times New Roman" w:hAnsi="Times New Roman"/>
                <w:color w:val="auto"/>
              </w:rPr>
            </w:pPr>
          </w:p>
        </w:tc>
        <w:tc>
          <w:tcPr>
            <w:tcW w:w="980" w:type="dxa"/>
            <w:gridSpan w:val="2"/>
            <w:tcBorders>
              <w:tl2br w:val="nil"/>
              <w:tr2bl w:val="nil"/>
            </w:tcBorders>
            <w:vAlign w:val="center"/>
          </w:tcPr>
          <w:p>
            <w:pPr>
              <w:snapToGrid w:val="0"/>
              <w:jc w:val="center"/>
              <w:rPr>
                <w:rFonts w:ascii="Times New Roman" w:hAnsi="Times New Roman"/>
                <w:color w:val="auto"/>
              </w:rPr>
            </w:pPr>
            <w:r>
              <w:rPr>
                <w:rFonts w:ascii="Times New Roman" w:hAnsi="Times New Roman"/>
                <w:color w:val="auto"/>
              </w:rPr>
              <w:t>2</w:t>
            </w:r>
          </w:p>
        </w:tc>
        <w:tc>
          <w:tcPr>
            <w:tcW w:w="1985" w:type="dxa"/>
            <w:tcBorders>
              <w:tl2br w:val="nil"/>
              <w:tr2bl w:val="nil"/>
            </w:tcBorders>
            <w:vAlign w:val="center"/>
          </w:tcPr>
          <w:p>
            <w:pPr>
              <w:snapToGrid w:val="0"/>
              <w:jc w:val="left"/>
              <w:rPr>
                <w:rFonts w:ascii="Times New Roman" w:hAnsi="Times New Roman"/>
                <w:color w:val="auto"/>
              </w:rPr>
            </w:pPr>
            <w:r>
              <w:rPr>
                <w:rFonts w:ascii="Times New Roman" w:hAnsi="Times New Roman"/>
                <w:color w:val="auto"/>
              </w:rPr>
              <w:t>缓释掺混肥料</w:t>
            </w:r>
          </w:p>
        </w:tc>
        <w:tc>
          <w:tcPr>
            <w:tcW w:w="3544" w:type="dxa"/>
            <w:tcBorders>
              <w:tl2br w:val="nil"/>
              <w:tr2bl w:val="nil"/>
            </w:tcBorders>
            <w:vAlign w:val="center"/>
          </w:tcPr>
          <w:p>
            <w:pPr>
              <w:snapToGrid w:val="0"/>
              <w:jc w:val="left"/>
              <w:rPr>
                <w:rFonts w:ascii="Times New Roman" w:hAnsi="Times New Roman"/>
                <w:bCs/>
                <w:color w:val="auto"/>
              </w:rPr>
            </w:pPr>
            <w:r>
              <w:rPr>
                <w:rFonts w:ascii="Times New Roman" w:hAnsi="Times New Roman"/>
                <w:bCs/>
                <w:color w:val="auto"/>
              </w:rPr>
              <w:t>GB/T 23348—2009 缓释肥料</w:t>
            </w:r>
          </w:p>
          <w:p>
            <w:pPr>
              <w:snapToGrid w:val="0"/>
              <w:jc w:val="left"/>
              <w:rPr>
                <w:rFonts w:ascii="Times New Roman" w:hAnsi="Times New Roman"/>
                <w:color w:val="auto"/>
              </w:rPr>
            </w:pPr>
            <w:r>
              <w:rPr>
                <w:rFonts w:ascii="Times New Roman" w:hAnsi="Times New Roman"/>
                <w:color w:val="auto"/>
              </w:rPr>
              <w:t>GB/T 21633—2020 掺混肥料（BB肥）</w:t>
            </w:r>
          </w:p>
          <w:p>
            <w:pPr>
              <w:snapToGrid w:val="0"/>
              <w:jc w:val="left"/>
              <w:rPr>
                <w:rFonts w:ascii="Times New Roman" w:hAnsi="Times New Roman"/>
                <w:color w:val="auto"/>
              </w:rPr>
            </w:pPr>
            <w:r>
              <w:rPr>
                <w:rFonts w:ascii="Times New Roman" w:hAnsi="Times New Roman"/>
                <w:color w:val="auto"/>
              </w:rPr>
              <w:t>GB 38400—2019 肥料中有毒有害物质的限量要求</w:t>
            </w:r>
          </w:p>
        </w:tc>
        <w:tc>
          <w:tcPr>
            <w:tcW w:w="7406" w:type="dxa"/>
            <w:tcBorders>
              <w:tl2br w:val="nil"/>
              <w:tr2bl w:val="nil"/>
            </w:tcBorders>
            <w:vAlign w:val="center"/>
          </w:tcPr>
          <w:p>
            <w:pPr>
              <w:snapToGrid w:val="0"/>
              <w:rPr>
                <w:rFonts w:ascii="Times New Roman" w:hAnsi="Times New Roman"/>
                <w:color w:val="auto"/>
              </w:rPr>
            </w:pPr>
            <w:r>
              <w:rPr>
                <w:rFonts w:ascii="Times New Roman" w:hAnsi="Times New Roman"/>
                <w:color w:val="auto"/>
              </w:rPr>
              <w:t>总养分（N＋P</w:t>
            </w:r>
            <w:r>
              <w:rPr>
                <w:rFonts w:ascii="Times New Roman" w:hAnsi="Times New Roman"/>
                <w:color w:val="auto"/>
                <w:vertAlign w:val="subscript"/>
              </w:rPr>
              <w:t>2</w:t>
            </w:r>
            <w:r>
              <w:rPr>
                <w:rFonts w:ascii="Times New Roman" w:hAnsi="Times New Roman"/>
                <w:color w:val="auto"/>
              </w:rPr>
              <w:t>O</w:t>
            </w:r>
            <w:r>
              <w:rPr>
                <w:rFonts w:ascii="Times New Roman" w:hAnsi="Times New Roman"/>
                <w:color w:val="auto"/>
                <w:vertAlign w:val="subscript"/>
              </w:rPr>
              <w:t>5</w:t>
            </w:r>
            <w:r>
              <w:rPr>
                <w:rFonts w:ascii="Times New Roman" w:hAnsi="Times New Roman"/>
                <w:color w:val="auto"/>
              </w:rPr>
              <w:t>＋K</w:t>
            </w:r>
            <w:r>
              <w:rPr>
                <w:rFonts w:ascii="Times New Roman" w:hAnsi="Times New Roman"/>
                <w:color w:val="auto"/>
                <w:vertAlign w:val="subscript"/>
              </w:rPr>
              <w:t>2</w:t>
            </w:r>
            <w:r>
              <w:rPr>
                <w:rFonts w:ascii="Times New Roman" w:hAnsi="Times New Roman"/>
                <w:color w:val="auto"/>
              </w:rPr>
              <w:t>O）的质量分数、缓释养分量、</w:t>
            </w:r>
            <w:r>
              <w:rPr>
                <w:rFonts w:hint="eastAsia" w:ascii="Times New Roman" w:hAnsi="Times New Roman"/>
                <w:color w:val="auto"/>
              </w:rPr>
              <w:t>缓释养分释放期、</w:t>
            </w:r>
            <w:r>
              <w:rPr>
                <w:rFonts w:ascii="Times New Roman" w:hAnsi="Times New Roman"/>
                <w:color w:val="auto"/>
              </w:rPr>
              <w:t>缓释养分28天的累积养分释放率（部分缓释肥料同时应符合其核芯肥料标准和包装标明值的要求）、</w:t>
            </w:r>
            <w:r>
              <w:rPr>
                <w:rFonts w:hint="eastAsia" w:ascii="Times New Roman" w:hAnsi="Times New Roman"/>
                <w:color w:val="auto"/>
              </w:rPr>
              <w:t>缓释养分释放期的累积养分释放率、</w:t>
            </w:r>
            <w:r>
              <w:rPr>
                <w:rFonts w:ascii="Times New Roman" w:hAnsi="Times New Roman"/>
                <w:color w:val="auto"/>
              </w:rPr>
              <w:t>粒度、总砷、总镉、总铅、总铬、总汞、总铊、缩二脲</w:t>
            </w:r>
            <w:r>
              <w:rPr>
                <w:rFonts w:ascii="Times New Roman" w:hAnsi="Times New Roman"/>
                <w:color w:val="auto"/>
                <w:vertAlign w:val="superscript"/>
              </w:rPr>
              <w:t>7</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trHeight w:val="20" w:hRule="atLeast"/>
          <w:jc w:val="center"/>
        </w:trPr>
        <w:tc>
          <w:tcPr>
            <w:tcW w:w="1285" w:type="dxa"/>
            <w:vMerge w:val="continue"/>
            <w:tcBorders>
              <w:tl2br w:val="nil"/>
              <w:tr2bl w:val="nil"/>
            </w:tcBorders>
            <w:vAlign w:val="center"/>
          </w:tcPr>
          <w:p>
            <w:pPr>
              <w:snapToGrid w:val="0"/>
              <w:jc w:val="center"/>
              <w:rPr>
                <w:rFonts w:ascii="Times New Roman" w:hAnsi="Times New Roman"/>
                <w:color w:val="auto"/>
              </w:rPr>
            </w:pPr>
          </w:p>
        </w:tc>
        <w:tc>
          <w:tcPr>
            <w:tcW w:w="980" w:type="dxa"/>
            <w:gridSpan w:val="2"/>
            <w:tcBorders>
              <w:tl2br w:val="nil"/>
              <w:tr2bl w:val="nil"/>
            </w:tcBorders>
            <w:vAlign w:val="center"/>
          </w:tcPr>
          <w:p>
            <w:pPr>
              <w:snapToGrid w:val="0"/>
              <w:jc w:val="center"/>
              <w:rPr>
                <w:rFonts w:ascii="Times New Roman" w:hAnsi="Times New Roman"/>
                <w:color w:val="auto"/>
              </w:rPr>
            </w:pPr>
            <w:r>
              <w:rPr>
                <w:rFonts w:ascii="Times New Roman" w:hAnsi="Times New Roman"/>
                <w:color w:val="auto"/>
              </w:rPr>
              <w:t>3</w:t>
            </w:r>
          </w:p>
        </w:tc>
        <w:tc>
          <w:tcPr>
            <w:tcW w:w="1985" w:type="dxa"/>
            <w:tcBorders>
              <w:tl2br w:val="nil"/>
              <w:tr2bl w:val="nil"/>
            </w:tcBorders>
            <w:vAlign w:val="center"/>
          </w:tcPr>
          <w:p>
            <w:pPr>
              <w:snapToGrid w:val="0"/>
              <w:jc w:val="left"/>
              <w:rPr>
                <w:rFonts w:ascii="Times New Roman" w:hAnsi="Times New Roman"/>
                <w:color w:val="auto"/>
              </w:rPr>
            </w:pPr>
            <w:r>
              <w:rPr>
                <w:rFonts w:ascii="Times New Roman" w:hAnsi="Times New Roman"/>
                <w:color w:val="auto"/>
              </w:rPr>
              <w:t>控释掺混肥料</w:t>
            </w:r>
          </w:p>
        </w:tc>
        <w:tc>
          <w:tcPr>
            <w:tcW w:w="3544" w:type="dxa"/>
            <w:tcBorders>
              <w:tl2br w:val="nil"/>
              <w:tr2bl w:val="nil"/>
            </w:tcBorders>
            <w:vAlign w:val="center"/>
          </w:tcPr>
          <w:p>
            <w:pPr>
              <w:snapToGrid w:val="0"/>
              <w:jc w:val="left"/>
              <w:rPr>
                <w:rFonts w:ascii="Times New Roman" w:hAnsi="Times New Roman"/>
                <w:bCs/>
                <w:color w:val="auto"/>
              </w:rPr>
            </w:pPr>
            <w:r>
              <w:rPr>
                <w:rFonts w:ascii="Times New Roman" w:hAnsi="Times New Roman"/>
                <w:bCs/>
                <w:color w:val="auto"/>
              </w:rPr>
              <w:t>HG/T 4215—2011 控释肥料</w:t>
            </w:r>
          </w:p>
          <w:p>
            <w:pPr>
              <w:snapToGrid w:val="0"/>
              <w:jc w:val="left"/>
              <w:rPr>
                <w:rFonts w:ascii="Times New Roman" w:hAnsi="Times New Roman"/>
                <w:color w:val="auto"/>
              </w:rPr>
            </w:pPr>
            <w:r>
              <w:rPr>
                <w:rFonts w:ascii="Times New Roman" w:hAnsi="Times New Roman"/>
                <w:color w:val="auto"/>
              </w:rPr>
              <w:t>GB/T 21633—2020 掺混肥料（BB肥）</w:t>
            </w:r>
          </w:p>
          <w:p>
            <w:pPr>
              <w:snapToGrid w:val="0"/>
              <w:jc w:val="left"/>
              <w:rPr>
                <w:rFonts w:ascii="Times New Roman" w:hAnsi="Times New Roman"/>
                <w:color w:val="auto"/>
              </w:rPr>
            </w:pPr>
            <w:r>
              <w:rPr>
                <w:rFonts w:ascii="Times New Roman" w:hAnsi="Times New Roman"/>
                <w:color w:val="auto"/>
              </w:rPr>
              <w:t>GB 38400—2019 肥料中有毒有害物质的限量要求</w:t>
            </w:r>
          </w:p>
        </w:tc>
        <w:tc>
          <w:tcPr>
            <w:tcW w:w="7406" w:type="dxa"/>
            <w:tcBorders>
              <w:tl2br w:val="nil"/>
              <w:tr2bl w:val="nil"/>
            </w:tcBorders>
            <w:vAlign w:val="center"/>
          </w:tcPr>
          <w:p>
            <w:pPr>
              <w:snapToGrid w:val="0"/>
              <w:rPr>
                <w:rFonts w:ascii="Times New Roman" w:hAnsi="Times New Roman"/>
                <w:color w:val="auto"/>
              </w:rPr>
            </w:pPr>
            <w:r>
              <w:rPr>
                <w:rFonts w:ascii="Times New Roman" w:hAnsi="Times New Roman"/>
                <w:color w:val="auto"/>
              </w:rPr>
              <w:t>总养分（N＋P</w:t>
            </w:r>
            <w:r>
              <w:rPr>
                <w:rFonts w:ascii="Times New Roman" w:hAnsi="Times New Roman"/>
                <w:color w:val="auto"/>
                <w:vertAlign w:val="subscript"/>
              </w:rPr>
              <w:t>2</w:t>
            </w:r>
            <w:r>
              <w:rPr>
                <w:rFonts w:ascii="Times New Roman" w:hAnsi="Times New Roman"/>
                <w:color w:val="auto"/>
              </w:rPr>
              <w:t>O</w:t>
            </w:r>
            <w:r>
              <w:rPr>
                <w:rFonts w:ascii="Times New Roman" w:hAnsi="Times New Roman"/>
                <w:color w:val="auto"/>
                <w:vertAlign w:val="subscript"/>
              </w:rPr>
              <w:t>5</w:t>
            </w:r>
            <w:r>
              <w:rPr>
                <w:rFonts w:ascii="Times New Roman" w:hAnsi="Times New Roman"/>
                <w:color w:val="auto"/>
              </w:rPr>
              <w:t>＋K</w:t>
            </w:r>
            <w:r>
              <w:rPr>
                <w:rFonts w:ascii="Times New Roman" w:hAnsi="Times New Roman"/>
                <w:color w:val="auto"/>
                <w:vertAlign w:val="subscript"/>
              </w:rPr>
              <w:t>2</w:t>
            </w:r>
            <w:r>
              <w:rPr>
                <w:rFonts w:ascii="Times New Roman" w:hAnsi="Times New Roman"/>
                <w:color w:val="auto"/>
              </w:rPr>
              <w:t>O）的质量分数、控释养分量、</w:t>
            </w:r>
            <w:r>
              <w:rPr>
                <w:rFonts w:hint="eastAsia" w:ascii="Times New Roman" w:hAnsi="Times New Roman"/>
                <w:color w:val="auto"/>
              </w:rPr>
              <w:t>控释养分释放期、</w:t>
            </w:r>
            <w:r>
              <w:rPr>
                <w:rFonts w:ascii="Times New Roman" w:hAnsi="Times New Roman"/>
                <w:color w:val="auto"/>
              </w:rPr>
              <w:t>控释养分28天的累积养分释放率（部分控释肥料同时应符合其核芯肥料标准和包装标明值的要求）、</w:t>
            </w:r>
            <w:r>
              <w:rPr>
                <w:rFonts w:hint="eastAsia" w:ascii="Times New Roman" w:hAnsi="Times New Roman"/>
                <w:color w:val="auto"/>
              </w:rPr>
              <w:t>控释养分释放期的累积养分释放率、</w:t>
            </w:r>
            <w:r>
              <w:rPr>
                <w:rFonts w:ascii="Times New Roman" w:hAnsi="Times New Roman"/>
                <w:color w:val="auto"/>
              </w:rPr>
              <w:t>粒度、总砷、总镉、总铅、总铬、总汞、总铊、缩二脲</w:t>
            </w:r>
            <w:r>
              <w:rPr>
                <w:rFonts w:ascii="Times New Roman" w:hAnsi="Times New Roman"/>
                <w:color w:val="auto"/>
                <w:vertAlign w:val="superscript"/>
              </w:rPr>
              <w:t>7</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trHeight w:val="20" w:hRule="atLeast"/>
          <w:jc w:val="center"/>
        </w:trPr>
        <w:tc>
          <w:tcPr>
            <w:tcW w:w="1285" w:type="dxa"/>
            <w:vMerge w:val="continue"/>
            <w:tcBorders>
              <w:tl2br w:val="nil"/>
              <w:tr2bl w:val="nil"/>
            </w:tcBorders>
            <w:vAlign w:val="center"/>
          </w:tcPr>
          <w:p>
            <w:pPr>
              <w:snapToGrid w:val="0"/>
              <w:jc w:val="center"/>
              <w:rPr>
                <w:rFonts w:ascii="Times New Roman" w:hAnsi="Times New Roman"/>
                <w:color w:val="auto"/>
              </w:rPr>
            </w:pPr>
          </w:p>
        </w:tc>
        <w:tc>
          <w:tcPr>
            <w:tcW w:w="980" w:type="dxa"/>
            <w:gridSpan w:val="2"/>
            <w:tcBorders>
              <w:tl2br w:val="nil"/>
              <w:tr2bl w:val="nil"/>
            </w:tcBorders>
            <w:vAlign w:val="center"/>
          </w:tcPr>
          <w:p>
            <w:pPr>
              <w:snapToGrid w:val="0"/>
              <w:jc w:val="center"/>
              <w:rPr>
                <w:rFonts w:ascii="Times New Roman" w:hAnsi="Times New Roman"/>
                <w:color w:val="auto"/>
              </w:rPr>
            </w:pPr>
            <w:r>
              <w:rPr>
                <w:rFonts w:ascii="Times New Roman" w:hAnsi="Times New Roman"/>
                <w:color w:val="auto"/>
              </w:rPr>
              <w:t>4</w:t>
            </w:r>
          </w:p>
        </w:tc>
        <w:tc>
          <w:tcPr>
            <w:tcW w:w="1985" w:type="dxa"/>
            <w:tcBorders>
              <w:tl2br w:val="nil"/>
              <w:tr2bl w:val="nil"/>
            </w:tcBorders>
            <w:vAlign w:val="center"/>
          </w:tcPr>
          <w:p>
            <w:pPr>
              <w:snapToGrid w:val="0"/>
              <w:jc w:val="left"/>
              <w:rPr>
                <w:rFonts w:ascii="Times New Roman" w:hAnsi="Times New Roman"/>
                <w:color w:val="auto"/>
              </w:rPr>
            </w:pPr>
            <w:r>
              <w:rPr>
                <w:rFonts w:ascii="Times New Roman" w:hAnsi="Times New Roman"/>
                <w:color w:val="auto"/>
              </w:rPr>
              <w:t>硫包衣缓释掺混肥料</w:t>
            </w:r>
          </w:p>
        </w:tc>
        <w:tc>
          <w:tcPr>
            <w:tcW w:w="3544" w:type="dxa"/>
            <w:tcBorders>
              <w:tl2br w:val="nil"/>
              <w:tr2bl w:val="nil"/>
            </w:tcBorders>
            <w:vAlign w:val="center"/>
          </w:tcPr>
          <w:p>
            <w:pPr>
              <w:snapToGrid w:val="0"/>
              <w:jc w:val="left"/>
              <w:rPr>
                <w:rFonts w:ascii="Times New Roman" w:hAnsi="Times New Roman"/>
                <w:bCs/>
                <w:color w:val="auto"/>
              </w:rPr>
            </w:pPr>
            <w:r>
              <w:rPr>
                <w:rFonts w:ascii="Times New Roman" w:hAnsi="Times New Roman"/>
                <w:bCs/>
                <w:color w:val="auto"/>
              </w:rPr>
              <w:t>GB/T 29401—2020 硫包衣尿素</w:t>
            </w:r>
          </w:p>
          <w:p>
            <w:pPr>
              <w:snapToGrid w:val="0"/>
              <w:jc w:val="left"/>
              <w:rPr>
                <w:rFonts w:ascii="Times New Roman" w:hAnsi="Times New Roman"/>
                <w:color w:val="auto"/>
              </w:rPr>
            </w:pPr>
            <w:r>
              <w:rPr>
                <w:rFonts w:ascii="Times New Roman" w:hAnsi="Times New Roman"/>
                <w:color w:val="auto"/>
              </w:rPr>
              <w:t>GB/T 21633—2020 掺混肥料（BB肥）</w:t>
            </w:r>
          </w:p>
          <w:p>
            <w:pPr>
              <w:snapToGrid w:val="0"/>
              <w:jc w:val="left"/>
              <w:rPr>
                <w:rFonts w:ascii="Times New Roman" w:hAnsi="Times New Roman"/>
                <w:color w:val="auto"/>
              </w:rPr>
            </w:pPr>
            <w:r>
              <w:rPr>
                <w:rFonts w:ascii="Times New Roman" w:hAnsi="Times New Roman"/>
                <w:color w:val="auto"/>
              </w:rPr>
              <w:t>GB 38400—2019 肥料中有毒有害物质的限量要求</w:t>
            </w:r>
          </w:p>
        </w:tc>
        <w:tc>
          <w:tcPr>
            <w:tcW w:w="7406" w:type="dxa"/>
            <w:tcBorders>
              <w:tl2br w:val="nil"/>
              <w:tr2bl w:val="nil"/>
            </w:tcBorders>
            <w:vAlign w:val="center"/>
          </w:tcPr>
          <w:p>
            <w:pPr>
              <w:snapToGrid w:val="0"/>
              <w:rPr>
                <w:rFonts w:ascii="Times New Roman" w:hAnsi="Times New Roman"/>
                <w:color w:val="auto"/>
              </w:rPr>
            </w:pPr>
            <w:r>
              <w:rPr>
                <w:rFonts w:ascii="Times New Roman" w:hAnsi="Times New Roman"/>
                <w:color w:val="auto"/>
              </w:rPr>
              <w:t>缓释氮养分量、单一中量元素</w:t>
            </w:r>
            <w:r>
              <w:rPr>
                <w:rFonts w:ascii="Times New Roman" w:hAnsi="Times New Roman"/>
                <w:color w:val="auto"/>
                <w:vertAlign w:val="superscript"/>
              </w:rPr>
              <w:t>4</w:t>
            </w:r>
            <w:r>
              <w:rPr>
                <w:rFonts w:ascii="Times New Roman" w:hAnsi="Times New Roman"/>
                <w:color w:val="auto"/>
              </w:rPr>
              <w:t>、单一微量元素</w:t>
            </w:r>
            <w:r>
              <w:rPr>
                <w:rFonts w:ascii="Times New Roman" w:hAnsi="Times New Roman"/>
                <w:color w:val="auto"/>
                <w:vertAlign w:val="superscript"/>
              </w:rPr>
              <w:t>5</w:t>
            </w:r>
            <w:r>
              <w:rPr>
                <w:rFonts w:ascii="Times New Roman" w:hAnsi="Times New Roman"/>
                <w:color w:val="auto"/>
              </w:rPr>
              <w:t>（硫包衣缓释肥料同时应符合其核芯肥料标准和包装标明值的要求）、粒度、总砷、总镉、总铅、总铬、总汞、总铊、缩二脲</w:t>
            </w:r>
            <w:r>
              <w:rPr>
                <w:rFonts w:ascii="Times New Roman" w:hAnsi="Times New Roman"/>
                <w:color w:val="auto"/>
                <w:vertAlign w:val="superscript"/>
              </w:rPr>
              <w:t>7</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trHeight w:val="20" w:hRule="atLeast"/>
          <w:jc w:val="center"/>
        </w:trPr>
        <w:tc>
          <w:tcPr>
            <w:tcW w:w="1285" w:type="dxa"/>
            <w:vMerge w:val="continue"/>
            <w:tcBorders>
              <w:tl2br w:val="nil"/>
              <w:tr2bl w:val="nil"/>
            </w:tcBorders>
            <w:vAlign w:val="center"/>
          </w:tcPr>
          <w:p>
            <w:pPr>
              <w:snapToGrid w:val="0"/>
              <w:jc w:val="center"/>
              <w:rPr>
                <w:rFonts w:ascii="Times New Roman" w:hAnsi="Times New Roman"/>
                <w:color w:val="auto"/>
              </w:rPr>
            </w:pPr>
          </w:p>
        </w:tc>
        <w:tc>
          <w:tcPr>
            <w:tcW w:w="980" w:type="dxa"/>
            <w:gridSpan w:val="2"/>
            <w:tcBorders>
              <w:tl2br w:val="nil"/>
              <w:tr2bl w:val="nil"/>
            </w:tcBorders>
            <w:vAlign w:val="center"/>
          </w:tcPr>
          <w:p>
            <w:pPr>
              <w:snapToGrid w:val="0"/>
              <w:jc w:val="center"/>
              <w:rPr>
                <w:rFonts w:ascii="Times New Roman" w:hAnsi="Times New Roman"/>
                <w:color w:val="auto"/>
              </w:rPr>
            </w:pPr>
            <w:r>
              <w:rPr>
                <w:rFonts w:ascii="Times New Roman" w:hAnsi="Times New Roman"/>
                <w:color w:val="auto"/>
              </w:rPr>
              <w:t>5</w:t>
            </w:r>
          </w:p>
        </w:tc>
        <w:tc>
          <w:tcPr>
            <w:tcW w:w="1985" w:type="dxa"/>
            <w:tcBorders>
              <w:tl2br w:val="nil"/>
              <w:tr2bl w:val="nil"/>
            </w:tcBorders>
            <w:vAlign w:val="center"/>
          </w:tcPr>
          <w:p>
            <w:pPr>
              <w:snapToGrid w:val="0"/>
              <w:jc w:val="left"/>
              <w:rPr>
                <w:rFonts w:ascii="Times New Roman" w:hAnsi="Times New Roman"/>
                <w:color w:val="auto"/>
              </w:rPr>
            </w:pPr>
            <w:r>
              <w:rPr>
                <w:rFonts w:ascii="Times New Roman" w:hAnsi="Times New Roman"/>
                <w:color w:val="auto"/>
              </w:rPr>
              <w:t>脲醛缓释掺混肥料</w:t>
            </w:r>
          </w:p>
        </w:tc>
        <w:tc>
          <w:tcPr>
            <w:tcW w:w="3544" w:type="dxa"/>
            <w:tcBorders>
              <w:tl2br w:val="nil"/>
              <w:tr2bl w:val="nil"/>
            </w:tcBorders>
            <w:vAlign w:val="center"/>
          </w:tcPr>
          <w:p>
            <w:pPr>
              <w:snapToGrid w:val="0"/>
              <w:jc w:val="left"/>
              <w:rPr>
                <w:rFonts w:ascii="Times New Roman" w:hAnsi="Times New Roman"/>
                <w:bCs/>
                <w:color w:val="auto"/>
              </w:rPr>
            </w:pPr>
            <w:r>
              <w:rPr>
                <w:rFonts w:ascii="Times New Roman" w:hAnsi="Times New Roman"/>
                <w:bCs/>
                <w:color w:val="auto"/>
              </w:rPr>
              <w:t>GB/T 34763—2017 脲醛缓释肥料</w:t>
            </w:r>
          </w:p>
          <w:p>
            <w:pPr>
              <w:snapToGrid w:val="0"/>
              <w:jc w:val="left"/>
              <w:rPr>
                <w:rFonts w:ascii="Times New Roman" w:hAnsi="Times New Roman"/>
                <w:color w:val="auto"/>
              </w:rPr>
            </w:pPr>
            <w:r>
              <w:rPr>
                <w:rFonts w:ascii="Times New Roman" w:hAnsi="Times New Roman"/>
                <w:color w:val="auto"/>
              </w:rPr>
              <w:t>GB/T 21633—2020 掺混肥料（BB肥）</w:t>
            </w:r>
          </w:p>
          <w:p>
            <w:pPr>
              <w:snapToGrid w:val="0"/>
              <w:jc w:val="left"/>
              <w:rPr>
                <w:rFonts w:ascii="Times New Roman" w:hAnsi="Times New Roman"/>
                <w:bCs/>
                <w:color w:val="auto"/>
              </w:rPr>
            </w:pPr>
            <w:r>
              <w:rPr>
                <w:rFonts w:ascii="Times New Roman" w:hAnsi="Times New Roman"/>
                <w:color w:val="auto"/>
              </w:rPr>
              <w:t>GB 38400—2019 肥料中有毒有害物质的限量要求</w:t>
            </w:r>
          </w:p>
        </w:tc>
        <w:tc>
          <w:tcPr>
            <w:tcW w:w="7406" w:type="dxa"/>
            <w:tcBorders>
              <w:tl2br w:val="nil"/>
              <w:tr2bl w:val="nil"/>
            </w:tcBorders>
            <w:vAlign w:val="center"/>
          </w:tcPr>
          <w:p>
            <w:pPr>
              <w:snapToGrid w:val="0"/>
              <w:rPr>
                <w:rFonts w:ascii="Times New Roman" w:hAnsi="Times New Roman"/>
                <w:color w:val="auto"/>
              </w:rPr>
            </w:pPr>
            <w:r>
              <w:rPr>
                <w:rFonts w:ascii="Times New Roman" w:hAnsi="Times New Roman"/>
                <w:color w:val="auto"/>
              </w:rPr>
              <w:t>缓释有效氮的质量分数（脲醛缓释掺混肥料以冷水不溶性氮CWIN计）、单一中量元素</w:t>
            </w:r>
            <w:r>
              <w:rPr>
                <w:rFonts w:ascii="Times New Roman" w:hAnsi="Times New Roman"/>
                <w:color w:val="auto"/>
                <w:vertAlign w:val="superscript"/>
              </w:rPr>
              <w:t>4</w:t>
            </w:r>
            <w:r>
              <w:rPr>
                <w:rFonts w:ascii="Times New Roman" w:hAnsi="Times New Roman"/>
                <w:color w:val="auto"/>
              </w:rPr>
              <w:t>、单一微量元素</w:t>
            </w:r>
            <w:r>
              <w:rPr>
                <w:rFonts w:ascii="Times New Roman" w:hAnsi="Times New Roman"/>
                <w:color w:val="auto"/>
                <w:vertAlign w:val="superscript"/>
              </w:rPr>
              <w:t>5</w:t>
            </w:r>
            <w:r>
              <w:rPr>
                <w:rFonts w:ascii="Times New Roman" w:hAnsi="Times New Roman"/>
                <w:color w:val="auto"/>
              </w:rPr>
              <w:t>（脲醛缓释肥料同时应符合其核芯肥料标准和包装标明值的要求）、粒度、总砷、总镉、总铅、总铬、总汞、总铊、缩二脲</w:t>
            </w:r>
            <w:r>
              <w:rPr>
                <w:rFonts w:ascii="Times New Roman" w:hAnsi="Times New Roman"/>
                <w:color w:val="auto"/>
                <w:vertAlign w:val="superscript"/>
              </w:rPr>
              <w:t>7</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trHeight w:val="20" w:hRule="atLeast"/>
          <w:jc w:val="center"/>
        </w:trPr>
        <w:tc>
          <w:tcPr>
            <w:tcW w:w="1285" w:type="dxa"/>
            <w:vMerge w:val="continue"/>
            <w:tcBorders>
              <w:tl2br w:val="nil"/>
              <w:tr2bl w:val="nil"/>
            </w:tcBorders>
            <w:vAlign w:val="center"/>
          </w:tcPr>
          <w:p>
            <w:pPr>
              <w:snapToGrid w:val="0"/>
              <w:jc w:val="center"/>
              <w:rPr>
                <w:rFonts w:ascii="Times New Roman" w:hAnsi="Times New Roman"/>
                <w:color w:val="auto"/>
              </w:rPr>
            </w:pPr>
          </w:p>
        </w:tc>
        <w:tc>
          <w:tcPr>
            <w:tcW w:w="980" w:type="dxa"/>
            <w:gridSpan w:val="2"/>
            <w:tcBorders>
              <w:tl2br w:val="nil"/>
              <w:tr2bl w:val="nil"/>
            </w:tcBorders>
            <w:vAlign w:val="center"/>
          </w:tcPr>
          <w:p>
            <w:pPr>
              <w:snapToGrid w:val="0"/>
              <w:jc w:val="center"/>
              <w:rPr>
                <w:rFonts w:ascii="Times New Roman" w:hAnsi="Times New Roman"/>
                <w:color w:val="auto"/>
              </w:rPr>
            </w:pPr>
            <w:r>
              <w:rPr>
                <w:rFonts w:ascii="Times New Roman" w:hAnsi="Times New Roman"/>
                <w:color w:val="auto"/>
              </w:rPr>
              <w:t>6</w:t>
            </w:r>
          </w:p>
        </w:tc>
        <w:tc>
          <w:tcPr>
            <w:tcW w:w="1985" w:type="dxa"/>
            <w:tcBorders>
              <w:tl2br w:val="nil"/>
              <w:tr2bl w:val="nil"/>
            </w:tcBorders>
            <w:vAlign w:val="center"/>
          </w:tcPr>
          <w:p>
            <w:pPr>
              <w:snapToGrid w:val="0"/>
              <w:jc w:val="left"/>
              <w:rPr>
                <w:rFonts w:ascii="Times New Roman" w:hAnsi="Times New Roman"/>
                <w:color w:val="auto"/>
              </w:rPr>
            </w:pPr>
            <w:r>
              <w:rPr>
                <w:rFonts w:ascii="Times New Roman" w:hAnsi="Times New Roman"/>
                <w:color w:val="auto"/>
              </w:rPr>
              <w:t>稳定性掺混肥料</w:t>
            </w:r>
          </w:p>
        </w:tc>
        <w:tc>
          <w:tcPr>
            <w:tcW w:w="3544" w:type="dxa"/>
            <w:tcBorders>
              <w:tl2br w:val="nil"/>
              <w:tr2bl w:val="nil"/>
            </w:tcBorders>
            <w:vAlign w:val="center"/>
          </w:tcPr>
          <w:p>
            <w:pPr>
              <w:snapToGrid w:val="0"/>
              <w:jc w:val="left"/>
              <w:rPr>
                <w:rFonts w:ascii="Times New Roman" w:hAnsi="Times New Roman"/>
                <w:bCs/>
                <w:color w:val="auto"/>
              </w:rPr>
            </w:pPr>
            <w:r>
              <w:rPr>
                <w:rFonts w:ascii="Times New Roman" w:hAnsi="Times New Roman"/>
                <w:bCs/>
                <w:color w:val="auto"/>
              </w:rPr>
              <w:t>GB/T 35113—2017 稳定性肥料</w:t>
            </w:r>
          </w:p>
          <w:p>
            <w:pPr>
              <w:snapToGrid w:val="0"/>
              <w:jc w:val="left"/>
              <w:rPr>
                <w:rFonts w:ascii="Times New Roman" w:hAnsi="Times New Roman"/>
                <w:b/>
                <w:color w:val="auto"/>
              </w:rPr>
            </w:pPr>
            <w:r>
              <w:rPr>
                <w:rFonts w:ascii="Times New Roman" w:hAnsi="Times New Roman"/>
                <w:color w:val="auto"/>
              </w:rPr>
              <w:t>GB/T 21633—2020 掺混肥料（BB肥）</w:t>
            </w:r>
          </w:p>
          <w:p>
            <w:pPr>
              <w:snapToGrid w:val="0"/>
              <w:jc w:val="left"/>
              <w:rPr>
                <w:rFonts w:ascii="Times New Roman" w:hAnsi="Times New Roman"/>
                <w:bCs/>
                <w:color w:val="auto"/>
              </w:rPr>
            </w:pPr>
            <w:r>
              <w:rPr>
                <w:rFonts w:ascii="Times New Roman" w:hAnsi="Times New Roman"/>
                <w:color w:val="auto"/>
              </w:rPr>
              <w:t>GB 38400—2019 肥料中有毒有害物质的限量要求</w:t>
            </w:r>
          </w:p>
        </w:tc>
        <w:tc>
          <w:tcPr>
            <w:tcW w:w="7406" w:type="dxa"/>
            <w:tcBorders>
              <w:tl2br w:val="nil"/>
              <w:tr2bl w:val="nil"/>
            </w:tcBorders>
            <w:vAlign w:val="center"/>
          </w:tcPr>
          <w:p>
            <w:pPr>
              <w:snapToGrid w:val="0"/>
              <w:rPr>
                <w:rFonts w:ascii="Times New Roman" w:hAnsi="Times New Roman"/>
                <w:color w:val="auto"/>
              </w:rPr>
            </w:pPr>
            <w:r>
              <w:rPr>
                <w:rFonts w:ascii="Times New Roman" w:hAnsi="Times New Roman"/>
                <w:color w:val="auto"/>
              </w:rPr>
              <w:t>尿素残留差异率、硝化抑制率（稳定性肥料同时应符合其核芯肥料标准和包装标明值的要求）、粒度、总砷、总镉、总铅、总铬、总汞、总铊、缩二脲</w:t>
            </w:r>
            <w:r>
              <w:rPr>
                <w:rFonts w:ascii="Times New Roman" w:hAnsi="Times New Roman"/>
                <w:color w:val="auto"/>
                <w:vertAlign w:val="superscript"/>
              </w:rPr>
              <w:t>7</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trHeight w:val="20" w:hRule="atLeast"/>
          <w:jc w:val="center"/>
        </w:trPr>
        <w:tc>
          <w:tcPr>
            <w:tcW w:w="1285" w:type="dxa"/>
            <w:vMerge w:val="continue"/>
            <w:tcBorders>
              <w:tl2br w:val="nil"/>
              <w:tr2bl w:val="nil"/>
            </w:tcBorders>
            <w:vAlign w:val="center"/>
          </w:tcPr>
          <w:p>
            <w:pPr>
              <w:snapToGrid w:val="0"/>
              <w:jc w:val="center"/>
              <w:rPr>
                <w:rFonts w:ascii="Times New Roman" w:hAnsi="Times New Roman"/>
                <w:color w:val="auto"/>
              </w:rPr>
            </w:pPr>
          </w:p>
        </w:tc>
        <w:tc>
          <w:tcPr>
            <w:tcW w:w="980" w:type="dxa"/>
            <w:gridSpan w:val="2"/>
            <w:tcBorders>
              <w:tl2br w:val="nil"/>
              <w:tr2bl w:val="nil"/>
            </w:tcBorders>
            <w:vAlign w:val="center"/>
          </w:tcPr>
          <w:p>
            <w:pPr>
              <w:snapToGrid w:val="0"/>
              <w:jc w:val="center"/>
              <w:rPr>
                <w:rFonts w:ascii="Times New Roman" w:hAnsi="Times New Roman"/>
                <w:color w:val="auto"/>
              </w:rPr>
            </w:pPr>
            <w:r>
              <w:rPr>
                <w:rFonts w:ascii="Times New Roman" w:hAnsi="Times New Roman"/>
                <w:color w:val="auto"/>
              </w:rPr>
              <w:t>7</w:t>
            </w:r>
          </w:p>
        </w:tc>
        <w:tc>
          <w:tcPr>
            <w:tcW w:w="1985" w:type="dxa"/>
            <w:tcBorders>
              <w:tl2br w:val="nil"/>
              <w:tr2bl w:val="nil"/>
            </w:tcBorders>
            <w:vAlign w:val="center"/>
          </w:tcPr>
          <w:p>
            <w:pPr>
              <w:snapToGrid w:val="0"/>
              <w:jc w:val="left"/>
              <w:rPr>
                <w:rFonts w:ascii="Times New Roman" w:hAnsi="Times New Roman"/>
                <w:color w:val="auto"/>
              </w:rPr>
            </w:pPr>
            <w:r>
              <w:rPr>
                <w:rFonts w:ascii="Times New Roman" w:hAnsi="Times New Roman"/>
                <w:color w:val="auto"/>
              </w:rPr>
              <w:t>无机包裹型掺混肥料</w:t>
            </w:r>
          </w:p>
        </w:tc>
        <w:tc>
          <w:tcPr>
            <w:tcW w:w="3544" w:type="dxa"/>
            <w:tcBorders>
              <w:tl2br w:val="nil"/>
              <w:tr2bl w:val="nil"/>
            </w:tcBorders>
            <w:vAlign w:val="center"/>
          </w:tcPr>
          <w:p>
            <w:pPr>
              <w:snapToGrid w:val="0"/>
              <w:jc w:val="left"/>
              <w:rPr>
                <w:rFonts w:ascii="Times New Roman" w:hAnsi="Times New Roman"/>
                <w:color w:val="auto"/>
              </w:rPr>
            </w:pPr>
            <w:r>
              <w:rPr>
                <w:rFonts w:ascii="Times New Roman" w:hAnsi="Times New Roman"/>
                <w:color w:val="auto"/>
              </w:rPr>
              <w:t>HG/T 4217—2011 无机包裹型复混肥料</w:t>
            </w:r>
          </w:p>
          <w:p>
            <w:pPr>
              <w:snapToGrid w:val="0"/>
              <w:jc w:val="left"/>
              <w:rPr>
                <w:rFonts w:ascii="Times New Roman" w:hAnsi="Times New Roman"/>
                <w:color w:val="auto"/>
              </w:rPr>
            </w:pPr>
            <w:r>
              <w:rPr>
                <w:rFonts w:ascii="Times New Roman" w:hAnsi="Times New Roman"/>
                <w:color w:val="auto"/>
              </w:rPr>
              <w:t>GB/T 21633—2020 掺混肥料（BB肥）</w:t>
            </w:r>
          </w:p>
          <w:p>
            <w:pPr>
              <w:snapToGrid w:val="0"/>
              <w:jc w:val="left"/>
              <w:rPr>
                <w:rFonts w:ascii="Times New Roman" w:hAnsi="Times New Roman"/>
                <w:color w:val="auto"/>
              </w:rPr>
            </w:pPr>
            <w:r>
              <w:rPr>
                <w:rFonts w:ascii="Times New Roman" w:hAnsi="Times New Roman"/>
                <w:color w:val="auto"/>
              </w:rPr>
              <w:t>GB 38400—2019肥料中有毒有害物质的限量要求</w:t>
            </w:r>
          </w:p>
        </w:tc>
        <w:tc>
          <w:tcPr>
            <w:tcW w:w="7406" w:type="dxa"/>
            <w:tcBorders>
              <w:tl2br w:val="nil"/>
              <w:tr2bl w:val="nil"/>
            </w:tcBorders>
            <w:vAlign w:val="center"/>
          </w:tcPr>
          <w:p>
            <w:pPr>
              <w:snapToGrid w:val="0"/>
              <w:rPr>
                <w:rFonts w:ascii="Times New Roman" w:hAnsi="Times New Roman"/>
                <w:color w:val="auto"/>
              </w:rPr>
            </w:pPr>
            <w:r>
              <w:rPr>
                <w:rFonts w:ascii="Times New Roman" w:hAnsi="Times New Roman"/>
                <w:color w:val="auto"/>
              </w:rPr>
              <w:t>缓释氮的质量分数、单一中量元素</w:t>
            </w:r>
            <w:r>
              <w:rPr>
                <w:rFonts w:ascii="Times New Roman" w:hAnsi="Times New Roman"/>
                <w:color w:val="auto"/>
                <w:vertAlign w:val="superscript"/>
              </w:rPr>
              <w:t>4</w:t>
            </w:r>
            <w:r>
              <w:rPr>
                <w:rFonts w:ascii="Times New Roman" w:hAnsi="Times New Roman"/>
                <w:color w:val="auto"/>
              </w:rPr>
              <w:t>、单一微量元素</w:t>
            </w:r>
            <w:r>
              <w:rPr>
                <w:rFonts w:ascii="Times New Roman" w:hAnsi="Times New Roman"/>
                <w:color w:val="auto"/>
                <w:vertAlign w:val="superscript"/>
              </w:rPr>
              <w:t>5</w:t>
            </w:r>
            <w:r>
              <w:rPr>
                <w:rFonts w:ascii="Times New Roman" w:hAnsi="Times New Roman"/>
                <w:color w:val="auto"/>
              </w:rPr>
              <w:t>，（同时应符合GB/T 21633—2020 掺混肥料（BB肥）标准和包装标明值的要求）、粒度、总砷、总镉、总铅、总铬、总汞、总铊、缩二脲</w:t>
            </w:r>
            <w:r>
              <w:rPr>
                <w:rFonts w:ascii="Times New Roman" w:hAnsi="Times New Roman"/>
                <w:color w:val="auto"/>
                <w:vertAlign w:val="superscript"/>
              </w:rPr>
              <w:t>7</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trHeight w:val="20" w:hRule="atLeast"/>
          <w:jc w:val="center"/>
        </w:trPr>
        <w:tc>
          <w:tcPr>
            <w:tcW w:w="1285" w:type="dxa"/>
            <w:vMerge w:val="continue"/>
            <w:tcBorders>
              <w:tl2br w:val="nil"/>
              <w:tr2bl w:val="nil"/>
            </w:tcBorders>
            <w:vAlign w:val="center"/>
          </w:tcPr>
          <w:p>
            <w:pPr>
              <w:snapToGrid w:val="0"/>
              <w:jc w:val="center"/>
              <w:rPr>
                <w:rFonts w:ascii="Times New Roman" w:hAnsi="Times New Roman"/>
                <w:color w:val="auto"/>
              </w:rPr>
            </w:pPr>
          </w:p>
        </w:tc>
        <w:tc>
          <w:tcPr>
            <w:tcW w:w="980" w:type="dxa"/>
            <w:gridSpan w:val="2"/>
            <w:tcBorders>
              <w:tl2br w:val="nil"/>
              <w:tr2bl w:val="nil"/>
            </w:tcBorders>
            <w:vAlign w:val="center"/>
          </w:tcPr>
          <w:p>
            <w:pPr>
              <w:snapToGrid w:val="0"/>
              <w:jc w:val="center"/>
              <w:rPr>
                <w:rFonts w:ascii="Times New Roman" w:hAnsi="Times New Roman"/>
                <w:color w:val="auto"/>
              </w:rPr>
            </w:pPr>
            <w:r>
              <w:rPr>
                <w:rFonts w:ascii="Times New Roman" w:hAnsi="Times New Roman"/>
                <w:color w:val="auto"/>
              </w:rPr>
              <w:t>8</w:t>
            </w:r>
          </w:p>
        </w:tc>
        <w:tc>
          <w:tcPr>
            <w:tcW w:w="1985" w:type="dxa"/>
            <w:tcBorders>
              <w:tl2br w:val="nil"/>
              <w:tr2bl w:val="nil"/>
            </w:tcBorders>
            <w:vAlign w:val="center"/>
          </w:tcPr>
          <w:p>
            <w:pPr>
              <w:snapToGrid w:val="0"/>
              <w:jc w:val="left"/>
              <w:rPr>
                <w:rFonts w:ascii="Times New Roman" w:hAnsi="Times New Roman"/>
                <w:color w:val="auto"/>
              </w:rPr>
            </w:pPr>
            <w:r>
              <w:rPr>
                <w:rFonts w:ascii="Times New Roman" w:hAnsi="Times New Roman"/>
                <w:color w:val="auto"/>
              </w:rPr>
              <w:t>含部分海藻酸包膜尿素的掺混肥料</w:t>
            </w:r>
          </w:p>
        </w:tc>
        <w:tc>
          <w:tcPr>
            <w:tcW w:w="3544" w:type="dxa"/>
            <w:tcBorders>
              <w:tl2br w:val="nil"/>
              <w:tr2bl w:val="nil"/>
            </w:tcBorders>
            <w:vAlign w:val="center"/>
          </w:tcPr>
          <w:p>
            <w:pPr>
              <w:snapToGrid w:val="0"/>
              <w:jc w:val="left"/>
              <w:rPr>
                <w:rFonts w:ascii="Times New Roman" w:hAnsi="Times New Roman"/>
                <w:color w:val="auto"/>
              </w:rPr>
            </w:pPr>
            <w:r>
              <w:rPr>
                <w:rFonts w:ascii="Times New Roman" w:hAnsi="Times New Roman"/>
                <w:color w:val="auto"/>
              </w:rPr>
              <w:t>HG/T 5050—2016 海藻酸类肥料</w:t>
            </w:r>
          </w:p>
          <w:p>
            <w:pPr>
              <w:snapToGrid w:val="0"/>
              <w:jc w:val="left"/>
              <w:rPr>
                <w:rFonts w:ascii="Times New Roman" w:hAnsi="Times New Roman"/>
                <w:color w:val="auto"/>
              </w:rPr>
            </w:pPr>
            <w:r>
              <w:rPr>
                <w:rFonts w:ascii="Times New Roman" w:hAnsi="Times New Roman"/>
                <w:color w:val="auto"/>
              </w:rPr>
              <w:t>GB/T 21633—2020 掺混肥料（BB肥）</w:t>
            </w:r>
          </w:p>
          <w:p>
            <w:pPr>
              <w:snapToGrid w:val="0"/>
              <w:jc w:val="left"/>
              <w:rPr>
                <w:rFonts w:ascii="Times New Roman" w:hAnsi="Times New Roman"/>
                <w:color w:val="auto"/>
              </w:rPr>
            </w:pPr>
            <w:r>
              <w:rPr>
                <w:rFonts w:ascii="Times New Roman" w:hAnsi="Times New Roman"/>
                <w:color w:val="auto"/>
              </w:rPr>
              <w:t>GB 38400—2019 肥料中有毒有害物质的限量要求</w:t>
            </w:r>
          </w:p>
        </w:tc>
        <w:tc>
          <w:tcPr>
            <w:tcW w:w="7406" w:type="dxa"/>
            <w:tcBorders>
              <w:tl2br w:val="nil"/>
              <w:tr2bl w:val="nil"/>
            </w:tcBorders>
            <w:vAlign w:val="center"/>
          </w:tcPr>
          <w:p>
            <w:pPr>
              <w:snapToGrid w:val="0"/>
              <w:rPr>
                <w:rFonts w:ascii="Times New Roman" w:hAnsi="Times New Roman"/>
                <w:color w:val="auto"/>
              </w:rPr>
            </w:pPr>
            <w:r>
              <w:rPr>
                <w:rFonts w:ascii="Times New Roman" w:hAnsi="Times New Roman"/>
                <w:color w:val="auto"/>
              </w:rPr>
              <w:t>海藻酸的质量分数、海藻酸包膜尿素氮占尿素总氮的质量分数（同时应符合GB/T 21633—2020 掺混肥料（BB肥）标准和包装标明值的要求）、粒度、总砷、总镉、总铅、总铬、总汞、总铊、缩二脲</w:t>
            </w:r>
            <w:r>
              <w:rPr>
                <w:rFonts w:ascii="Times New Roman" w:hAnsi="Times New Roman"/>
                <w:color w:val="auto"/>
                <w:vertAlign w:val="superscript"/>
              </w:rPr>
              <w:t>7</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trHeight w:val="20" w:hRule="atLeast"/>
          <w:jc w:val="center"/>
        </w:trPr>
        <w:tc>
          <w:tcPr>
            <w:tcW w:w="1285" w:type="dxa"/>
            <w:vMerge w:val="restart"/>
            <w:tcBorders>
              <w:tl2br w:val="nil"/>
              <w:tr2bl w:val="nil"/>
            </w:tcBorders>
            <w:vAlign w:val="center"/>
          </w:tcPr>
          <w:p>
            <w:pPr>
              <w:snapToGrid w:val="0"/>
              <w:jc w:val="center"/>
              <w:rPr>
                <w:rFonts w:ascii="Times New Roman" w:hAnsi="Times New Roman"/>
                <w:color w:val="auto"/>
              </w:rPr>
            </w:pPr>
            <w:r>
              <w:rPr>
                <w:rFonts w:ascii="Times New Roman" w:hAnsi="Times New Roman"/>
                <w:color w:val="auto"/>
              </w:rPr>
              <w:t>有机无机复混肥料</w:t>
            </w:r>
          </w:p>
        </w:tc>
        <w:tc>
          <w:tcPr>
            <w:tcW w:w="980" w:type="dxa"/>
            <w:gridSpan w:val="2"/>
            <w:tcBorders>
              <w:tl2br w:val="nil"/>
              <w:tr2bl w:val="nil"/>
            </w:tcBorders>
            <w:vAlign w:val="center"/>
          </w:tcPr>
          <w:p>
            <w:pPr>
              <w:snapToGrid w:val="0"/>
              <w:jc w:val="center"/>
              <w:rPr>
                <w:rFonts w:ascii="Times New Roman" w:hAnsi="Times New Roman"/>
                <w:color w:val="auto"/>
              </w:rPr>
            </w:pPr>
            <w:r>
              <w:rPr>
                <w:rFonts w:ascii="Times New Roman" w:hAnsi="Times New Roman"/>
                <w:color w:val="auto"/>
              </w:rPr>
              <w:t>1</w:t>
            </w:r>
          </w:p>
        </w:tc>
        <w:tc>
          <w:tcPr>
            <w:tcW w:w="1985" w:type="dxa"/>
            <w:tcBorders>
              <w:tl2br w:val="nil"/>
              <w:tr2bl w:val="nil"/>
            </w:tcBorders>
            <w:vAlign w:val="center"/>
          </w:tcPr>
          <w:p>
            <w:pPr>
              <w:snapToGrid w:val="0"/>
              <w:jc w:val="left"/>
              <w:rPr>
                <w:rFonts w:ascii="Times New Roman" w:hAnsi="Times New Roman"/>
                <w:color w:val="auto"/>
              </w:rPr>
            </w:pPr>
            <w:r>
              <w:rPr>
                <w:rFonts w:ascii="Times New Roman" w:hAnsi="Times New Roman"/>
                <w:color w:val="auto"/>
              </w:rPr>
              <w:t>有机无机复混肥料</w:t>
            </w:r>
          </w:p>
        </w:tc>
        <w:tc>
          <w:tcPr>
            <w:tcW w:w="3544" w:type="dxa"/>
            <w:tcBorders>
              <w:tl2br w:val="nil"/>
              <w:tr2bl w:val="nil"/>
            </w:tcBorders>
            <w:vAlign w:val="center"/>
          </w:tcPr>
          <w:p>
            <w:pPr>
              <w:snapToGrid w:val="0"/>
              <w:jc w:val="left"/>
              <w:rPr>
                <w:rFonts w:ascii="Times New Roman" w:hAnsi="Times New Roman"/>
                <w:color w:val="auto"/>
              </w:rPr>
            </w:pPr>
            <w:r>
              <w:rPr>
                <w:rFonts w:ascii="Times New Roman" w:hAnsi="Times New Roman"/>
                <w:bCs/>
                <w:color w:val="auto"/>
              </w:rPr>
              <w:t>GB/T 18877—2020 有机无机复混肥料（含第1号修改单）</w:t>
            </w:r>
          </w:p>
          <w:p>
            <w:pPr>
              <w:snapToGrid w:val="0"/>
              <w:jc w:val="left"/>
              <w:rPr>
                <w:rFonts w:ascii="Times New Roman" w:hAnsi="Times New Roman"/>
                <w:color w:val="auto"/>
              </w:rPr>
            </w:pPr>
            <w:r>
              <w:rPr>
                <w:rFonts w:ascii="Times New Roman" w:hAnsi="Times New Roman"/>
                <w:color w:val="auto"/>
              </w:rPr>
              <w:t>GB 38400—2019 肥料中有毒有害物质的限量要求</w:t>
            </w:r>
          </w:p>
        </w:tc>
        <w:tc>
          <w:tcPr>
            <w:tcW w:w="7406" w:type="dxa"/>
            <w:tcBorders>
              <w:tl2br w:val="nil"/>
              <w:tr2bl w:val="nil"/>
            </w:tcBorders>
            <w:vAlign w:val="center"/>
          </w:tcPr>
          <w:p>
            <w:pPr>
              <w:snapToGrid w:val="0"/>
              <w:rPr>
                <w:rFonts w:ascii="Times New Roman" w:hAnsi="Times New Roman"/>
                <w:color w:val="auto"/>
              </w:rPr>
            </w:pPr>
            <w:r>
              <w:rPr>
                <w:rFonts w:ascii="Times New Roman" w:hAnsi="Times New Roman"/>
                <w:color w:val="auto"/>
              </w:rPr>
              <w:t>总养分（N＋P</w:t>
            </w:r>
            <w:r>
              <w:rPr>
                <w:rFonts w:ascii="Times New Roman" w:hAnsi="Times New Roman"/>
                <w:color w:val="auto"/>
                <w:vertAlign w:val="subscript"/>
              </w:rPr>
              <w:t>2</w:t>
            </w:r>
            <w:r>
              <w:rPr>
                <w:rFonts w:ascii="Times New Roman" w:hAnsi="Times New Roman"/>
                <w:color w:val="auto"/>
              </w:rPr>
              <w:t>O</w:t>
            </w:r>
            <w:r>
              <w:rPr>
                <w:rFonts w:ascii="Times New Roman" w:hAnsi="Times New Roman"/>
                <w:color w:val="auto"/>
                <w:vertAlign w:val="subscript"/>
              </w:rPr>
              <w:t>5</w:t>
            </w:r>
            <w:r>
              <w:rPr>
                <w:rFonts w:ascii="Times New Roman" w:hAnsi="Times New Roman"/>
                <w:color w:val="auto"/>
              </w:rPr>
              <w:t>＋K</w:t>
            </w:r>
            <w:r>
              <w:rPr>
                <w:rFonts w:ascii="Times New Roman" w:hAnsi="Times New Roman"/>
                <w:color w:val="auto"/>
                <w:vertAlign w:val="subscript"/>
              </w:rPr>
              <w:t>2</w:t>
            </w:r>
            <w:r>
              <w:rPr>
                <w:rFonts w:ascii="Times New Roman" w:hAnsi="Times New Roman"/>
                <w:color w:val="auto"/>
              </w:rPr>
              <w:t>O）</w:t>
            </w:r>
            <w:r>
              <w:rPr>
                <w:rFonts w:ascii="Times New Roman" w:hAnsi="Times New Roman"/>
                <w:color w:val="auto"/>
                <w:vertAlign w:val="superscript"/>
              </w:rPr>
              <w:t>12</w:t>
            </w:r>
            <w:r>
              <w:rPr>
                <w:rFonts w:ascii="Times New Roman" w:hAnsi="Times New Roman"/>
                <w:color w:val="auto"/>
              </w:rPr>
              <w:t>的质量分数、有机质的质量分数、酸碱度（pH）、粒度、蛔虫卵死亡率、粪大肠菌群数、氯离子</w:t>
            </w:r>
            <w:r>
              <w:rPr>
                <w:rFonts w:ascii="Times New Roman" w:hAnsi="Times New Roman"/>
                <w:color w:val="auto"/>
                <w:vertAlign w:val="superscript"/>
              </w:rPr>
              <w:t>6</w:t>
            </w:r>
            <w:r>
              <w:rPr>
                <w:rFonts w:ascii="Times New Roman" w:hAnsi="Times New Roman"/>
                <w:color w:val="auto"/>
              </w:rPr>
              <w:t>、钠离子、总砷、总镉、总铅、总铬、总汞、总铊、缩二脲</w:t>
            </w:r>
            <w:r>
              <w:rPr>
                <w:rFonts w:ascii="Times New Roman" w:hAnsi="Times New Roman"/>
                <w:color w:val="auto"/>
                <w:vertAlign w:val="superscript"/>
              </w:rPr>
              <w:t>7</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trHeight w:val="20" w:hRule="atLeast"/>
          <w:jc w:val="center"/>
        </w:trPr>
        <w:tc>
          <w:tcPr>
            <w:tcW w:w="1285" w:type="dxa"/>
            <w:vMerge w:val="continue"/>
            <w:tcBorders>
              <w:tl2br w:val="nil"/>
              <w:tr2bl w:val="nil"/>
            </w:tcBorders>
            <w:vAlign w:val="center"/>
          </w:tcPr>
          <w:p>
            <w:pPr>
              <w:snapToGrid w:val="0"/>
              <w:jc w:val="center"/>
              <w:rPr>
                <w:rFonts w:ascii="Times New Roman" w:hAnsi="Times New Roman"/>
                <w:color w:val="auto"/>
              </w:rPr>
            </w:pPr>
          </w:p>
        </w:tc>
        <w:tc>
          <w:tcPr>
            <w:tcW w:w="980" w:type="dxa"/>
            <w:gridSpan w:val="2"/>
            <w:tcBorders>
              <w:tl2br w:val="nil"/>
              <w:tr2bl w:val="nil"/>
            </w:tcBorders>
            <w:vAlign w:val="center"/>
          </w:tcPr>
          <w:p>
            <w:pPr>
              <w:snapToGrid w:val="0"/>
              <w:jc w:val="center"/>
              <w:rPr>
                <w:rFonts w:ascii="Times New Roman" w:hAnsi="Times New Roman"/>
                <w:color w:val="auto"/>
              </w:rPr>
            </w:pPr>
            <w:r>
              <w:rPr>
                <w:rFonts w:ascii="Times New Roman" w:hAnsi="Times New Roman"/>
                <w:color w:val="auto"/>
              </w:rPr>
              <w:t>2</w:t>
            </w:r>
          </w:p>
        </w:tc>
        <w:tc>
          <w:tcPr>
            <w:tcW w:w="1985" w:type="dxa"/>
            <w:tcBorders>
              <w:tl2br w:val="nil"/>
              <w:tr2bl w:val="nil"/>
            </w:tcBorders>
            <w:vAlign w:val="center"/>
          </w:tcPr>
          <w:p>
            <w:pPr>
              <w:snapToGrid w:val="0"/>
              <w:jc w:val="left"/>
              <w:rPr>
                <w:rFonts w:ascii="Times New Roman" w:hAnsi="Times New Roman"/>
                <w:color w:val="auto"/>
              </w:rPr>
            </w:pPr>
            <w:r>
              <w:rPr>
                <w:rFonts w:ascii="Times New Roman" w:hAnsi="Times New Roman"/>
                <w:color w:val="auto"/>
              </w:rPr>
              <w:t>腐植酸有机无机复混肥料</w:t>
            </w:r>
          </w:p>
        </w:tc>
        <w:tc>
          <w:tcPr>
            <w:tcW w:w="3544" w:type="dxa"/>
            <w:tcBorders>
              <w:tl2br w:val="nil"/>
              <w:tr2bl w:val="nil"/>
            </w:tcBorders>
            <w:vAlign w:val="center"/>
          </w:tcPr>
          <w:p>
            <w:pPr>
              <w:snapToGrid w:val="0"/>
              <w:jc w:val="left"/>
              <w:rPr>
                <w:rFonts w:ascii="Times New Roman" w:hAnsi="Times New Roman"/>
                <w:bCs/>
                <w:color w:val="auto"/>
              </w:rPr>
            </w:pPr>
            <w:r>
              <w:rPr>
                <w:rFonts w:ascii="Times New Roman" w:hAnsi="Times New Roman"/>
                <w:bCs/>
                <w:color w:val="auto"/>
              </w:rPr>
              <w:t>HG/T 5933—2021 腐植酸有机无机复混肥料</w:t>
            </w:r>
          </w:p>
          <w:p>
            <w:pPr>
              <w:snapToGrid w:val="0"/>
              <w:jc w:val="left"/>
              <w:rPr>
                <w:rFonts w:ascii="Times New Roman" w:hAnsi="Times New Roman"/>
                <w:color w:val="auto"/>
              </w:rPr>
            </w:pPr>
            <w:r>
              <w:rPr>
                <w:rFonts w:ascii="Times New Roman" w:hAnsi="Times New Roman"/>
                <w:bCs/>
                <w:color w:val="auto"/>
              </w:rPr>
              <w:t>GB/T 18877—2020 有机无机复混肥料</w:t>
            </w:r>
            <w:r>
              <w:rPr>
                <w:rFonts w:hint="eastAsia" w:ascii="Times New Roman" w:hAnsi="Times New Roman"/>
                <w:bCs/>
                <w:color w:val="auto"/>
              </w:rPr>
              <w:t>（含第1号修改单）</w:t>
            </w:r>
          </w:p>
          <w:p>
            <w:pPr>
              <w:snapToGrid w:val="0"/>
              <w:jc w:val="left"/>
              <w:rPr>
                <w:rFonts w:ascii="Times New Roman" w:hAnsi="Times New Roman"/>
                <w:bCs/>
                <w:color w:val="auto"/>
              </w:rPr>
            </w:pPr>
            <w:r>
              <w:rPr>
                <w:rFonts w:ascii="Times New Roman" w:hAnsi="Times New Roman"/>
                <w:color w:val="auto"/>
              </w:rPr>
              <w:t>GB 38400—2019 肥料中有毒有害物质的限量要求</w:t>
            </w:r>
          </w:p>
        </w:tc>
        <w:tc>
          <w:tcPr>
            <w:tcW w:w="7406" w:type="dxa"/>
            <w:tcBorders>
              <w:tl2br w:val="nil"/>
              <w:tr2bl w:val="nil"/>
            </w:tcBorders>
            <w:vAlign w:val="center"/>
          </w:tcPr>
          <w:p>
            <w:pPr>
              <w:snapToGrid w:val="0"/>
              <w:rPr>
                <w:rFonts w:ascii="Times New Roman" w:hAnsi="Times New Roman"/>
                <w:color w:val="auto"/>
              </w:rPr>
            </w:pPr>
            <w:r>
              <w:rPr>
                <w:rFonts w:ascii="Times New Roman" w:hAnsi="Times New Roman"/>
                <w:color w:val="auto"/>
              </w:rPr>
              <w:t>总养分（N＋P</w:t>
            </w:r>
            <w:r>
              <w:rPr>
                <w:rFonts w:ascii="Times New Roman" w:hAnsi="Times New Roman"/>
                <w:color w:val="auto"/>
                <w:vertAlign w:val="subscript"/>
              </w:rPr>
              <w:t>2</w:t>
            </w:r>
            <w:r>
              <w:rPr>
                <w:rFonts w:ascii="Times New Roman" w:hAnsi="Times New Roman"/>
                <w:color w:val="auto"/>
              </w:rPr>
              <w:t>O</w:t>
            </w:r>
            <w:r>
              <w:rPr>
                <w:rFonts w:ascii="Times New Roman" w:hAnsi="Times New Roman"/>
                <w:color w:val="auto"/>
                <w:vertAlign w:val="subscript"/>
              </w:rPr>
              <w:t>5</w:t>
            </w:r>
            <w:r>
              <w:rPr>
                <w:rFonts w:ascii="Times New Roman" w:hAnsi="Times New Roman"/>
                <w:color w:val="auto"/>
              </w:rPr>
              <w:t>＋K</w:t>
            </w:r>
            <w:r>
              <w:rPr>
                <w:rFonts w:ascii="Times New Roman" w:hAnsi="Times New Roman"/>
                <w:color w:val="auto"/>
                <w:vertAlign w:val="subscript"/>
              </w:rPr>
              <w:t>2</w:t>
            </w:r>
            <w:r>
              <w:rPr>
                <w:rFonts w:ascii="Times New Roman" w:hAnsi="Times New Roman"/>
                <w:color w:val="auto"/>
              </w:rPr>
              <w:t>O）</w:t>
            </w:r>
            <w:r>
              <w:rPr>
                <w:rFonts w:ascii="Times New Roman" w:hAnsi="Times New Roman"/>
                <w:color w:val="auto"/>
                <w:vertAlign w:val="superscript"/>
              </w:rPr>
              <w:t>12</w:t>
            </w:r>
            <w:r>
              <w:rPr>
                <w:rFonts w:ascii="Times New Roman" w:hAnsi="Times New Roman"/>
                <w:color w:val="auto"/>
              </w:rPr>
              <w:t>的质量分数、总腐植酸的质量分数、可溶性腐植酸的质量分数、有机质的质量分数、酸碱度（pH）、粒度、蛔虫卵死亡率、粪大肠菌群数、氯离子</w:t>
            </w:r>
            <w:r>
              <w:rPr>
                <w:rFonts w:ascii="Times New Roman" w:hAnsi="Times New Roman"/>
                <w:color w:val="auto"/>
                <w:vertAlign w:val="superscript"/>
              </w:rPr>
              <w:t>6</w:t>
            </w:r>
            <w:r>
              <w:rPr>
                <w:rFonts w:ascii="Times New Roman" w:hAnsi="Times New Roman"/>
                <w:color w:val="auto"/>
              </w:rPr>
              <w:t>、钠离子、总砷、总镉、总铅、总铬、总汞、总铊、缩二脲</w:t>
            </w:r>
            <w:r>
              <w:rPr>
                <w:rFonts w:ascii="Times New Roman" w:hAnsi="Times New Roman"/>
                <w:color w:val="auto"/>
                <w:vertAlign w:val="superscript"/>
              </w:rPr>
              <w:t>7</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trHeight w:val="20" w:hRule="atLeast"/>
          <w:jc w:val="center"/>
        </w:trPr>
        <w:tc>
          <w:tcPr>
            <w:tcW w:w="1285" w:type="dxa"/>
            <w:tcBorders>
              <w:tl2br w:val="nil"/>
              <w:tr2bl w:val="nil"/>
            </w:tcBorders>
            <w:vAlign w:val="center"/>
          </w:tcPr>
          <w:p>
            <w:pPr>
              <w:snapToGrid w:val="0"/>
              <w:jc w:val="center"/>
              <w:rPr>
                <w:rFonts w:ascii="Times New Roman" w:hAnsi="Times New Roman"/>
                <w:color w:val="auto"/>
              </w:rPr>
            </w:pPr>
            <w:r>
              <w:rPr>
                <w:rFonts w:ascii="Times New Roman" w:hAnsi="Times New Roman"/>
                <w:color w:val="auto"/>
              </w:rPr>
              <w:t>有机无机掺混肥料</w:t>
            </w:r>
          </w:p>
        </w:tc>
        <w:tc>
          <w:tcPr>
            <w:tcW w:w="980" w:type="dxa"/>
            <w:gridSpan w:val="2"/>
            <w:tcBorders>
              <w:tl2br w:val="nil"/>
              <w:tr2bl w:val="nil"/>
            </w:tcBorders>
            <w:vAlign w:val="center"/>
          </w:tcPr>
          <w:p>
            <w:pPr>
              <w:snapToGrid w:val="0"/>
              <w:jc w:val="center"/>
              <w:rPr>
                <w:rFonts w:ascii="Times New Roman" w:hAnsi="Times New Roman"/>
                <w:color w:val="auto"/>
              </w:rPr>
            </w:pPr>
            <w:r>
              <w:rPr>
                <w:rFonts w:ascii="Times New Roman" w:hAnsi="Times New Roman"/>
                <w:color w:val="auto"/>
              </w:rPr>
              <w:t>1</w:t>
            </w:r>
          </w:p>
        </w:tc>
        <w:tc>
          <w:tcPr>
            <w:tcW w:w="1985" w:type="dxa"/>
            <w:tcBorders>
              <w:tl2br w:val="nil"/>
              <w:tr2bl w:val="nil"/>
            </w:tcBorders>
            <w:vAlign w:val="center"/>
          </w:tcPr>
          <w:p>
            <w:pPr>
              <w:snapToGrid w:val="0"/>
              <w:jc w:val="left"/>
              <w:rPr>
                <w:rFonts w:ascii="Times New Roman" w:hAnsi="Times New Roman"/>
                <w:color w:val="auto"/>
              </w:rPr>
            </w:pPr>
            <w:r>
              <w:rPr>
                <w:rFonts w:ascii="Times New Roman" w:hAnsi="Times New Roman"/>
                <w:color w:val="auto"/>
              </w:rPr>
              <w:t>有机无机掺混肥料</w:t>
            </w:r>
          </w:p>
        </w:tc>
        <w:tc>
          <w:tcPr>
            <w:tcW w:w="3544" w:type="dxa"/>
            <w:tcBorders>
              <w:tl2br w:val="nil"/>
              <w:tr2bl w:val="nil"/>
            </w:tcBorders>
            <w:vAlign w:val="center"/>
          </w:tcPr>
          <w:p>
            <w:pPr>
              <w:snapToGrid w:val="0"/>
              <w:jc w:val="left"/>
              <w:rPr>
                <w:rFonts w:ascii="Times New Roman" w:hAnsi="Times New Roman"/>
                <w:color w:val="auto"/>
              </w:rPr>
            </w:pPr>
            <w:r>
              <w:rPr>
                <w:rFonts w:ascii="Times New Roman" w:hAnsi="Times New Roman"/>
                <w:bCs/>
                <w:color w:val="auto"/>
              </w:rPr>
              <w:t>GB/T 18877—2020 有机无机复混肥料</w:t>
            </w:r>
            <w:r>
              <w:rPr>
                <w:rFonts w:hint="eastAsia" w:ascii="Times New Roman" w:hAnsi="Times New Roman"/>
                <w:bCs/>
                <w:color w:val="auto"/>
              </w:rPr>
              <w:t>（含第1号修改单）</w:t>
            </w:r>
          </w:p>
          <w:p>
            <w:pPr>
              <w:snapToGrid w:val="0"/>
              <w:jc w:val="left"/>
              <w:rPr>
                <w:rFonts w:ascii="Times New Roman" w:hAnsi="Times New Roman"/>
                <w:bCs/>
                <w:color w:val="auto"/>
              </w:rPr>
            </w:pPr>
            <w:r>
              <w:rPr>
                <w:rFonts w:ascii="Times New Roman" w:hAnsi="Times New Roman"/>
                <w:color w:val="auto"/>
              </w:rPr>
              <w:t>GB 38400—2019 肥料中有毒有害物质的限量要求</w:t>
            </w:r>
          </w:p>
        </w:tc>
        <w:tc>
          <w:tcPr>
            <w:tcW w:w="7406" w:type="dxa"/>
            <w:tcBorders>
              <w:tl2br w:val="nil"/>
              <w:tr2bl w:val="nil"/>
            </w:tcBorders>
            <w:vAlign w:val="center"/>
          </w:tcPr>
          <w:p>
            <w:pPr>
              <w:snapToGrid w:val="0"/>
              <w:rPr>
                <w:rFonts w:ascii="Times New Roman" w:hAnsi="Times New Roman"/>
                <w:color w:val="auto"/>
              </w:rPr>
            </w:pPr>
            <w:r>
              <w:rPr>
                <w:rFonts w:ascii="Times New Roman" w:hAnsi="Times New Roman"/>
                <w:color w:val="auto"/>
              </w:rPr>
              <w:t>总养分（N＋P</w:t>
            </w:r>
            <w:r>
              <w:rPr>
                <w:rFonts w:ascii="Times New Roman" w:hAnsi="Times New Roman"/>
                <w:color w:val="auto"/>
                <w:vertAlign w:val="subscript"/>
              </w:rPr>
              <w:t>2</w:t>
            </w:r>
            <w:r>
              <w:rPr>
                <w:rFonts w:ascii="Times New Roman" w:hAnsi="Times New Roman"/>
                <w:color w:val="auto"/>
              </w:rPr>
              <w:t>O</w:t>
            </w:r>
            <w:r>
              <w:rPr>
                <w:rFonts w:ascii="Times New Roman" w:hAnsi="Times New Roman"/>
                <w:color w:val="auto"/>
                <w:vertAlign w:val="subscript"/>
              </w:rPr>
              <w:t>5</w:t>
            </w:r>
            <w:r>
              <w:rPr>
                <w:rFonts w:ascii="Times New Roman" w:hAnsi="Times New Roman"/>
                <w:color w:val="auto"/>
              </w:rPr>
              <w:t>＋K</w:t>
            </w:r>
            <w:r>
              <w:rPr>
                <w:rFonts w:ascii="Times New Roman" w:hAnsi="Times New Roman"/>
                <w:color w:val="auto"/>
                <w:vertAlign w:val="subscript"/>
              </w:rPr>
              <w:t>2</w:t>
            </w:r>
            <w:r>
              <w:rPr>
                <w:rFonts w:ascii="Times New Roman" w:hAnsi="Times New Roman"/>
                <w:color w:val="auto"/>
              </w:rPr>
              <w:t>O）</w:t>
            </w:r>
            <w:r>
              <w:rPr>
                <w:rFonts w:ascii="Times New Roman" w:hAnsi="Times New Roman"/>
                <w:color w:val="auto"/>
                <w:vertAlign w:val="superscript"/>
              </w:rPr>
              <w:t>12</w:t>
            </w:r>
            <w:r>
              <w:rPr>
                <w:rFonts w:ascii="Times New Roman" w:hAnsi="Times New Roman"/>
                <w:color w:val="auto"/>
              </w:rPr>
              <w:t>的质量分数、有机质的质量分数、酸碱度（pH）、粒度、蛔虫卵死亡率、粪大肠菌群数、氯离子</w:t>
            </w:r>
            <w:r>
              <w:rPr>
                <w:rFonts w:ascii="Times New Roman" w:hAnsi="Times New Roman"/>
                <w:color w:val="auto"/>
                <w:vertAlign w:val="superscript"/>
              </w:rPr>
              <w:t>6</w:t>
            </w:r>
            <w:r>
              <w:rPr>
                <w:rFonts w:ascii="Times New Roman" w:hAnsi="Times New Roman"/>
                <w:color w:val="auto"/>
              </w:rPr>
              <w:t>、钠离子、总砷、总镉、总铅、总铬、总汞、总铊、缩二脲</w:t>
            </w:r>
            <w:r>
              <w:rPr>
                <w:rFonts w:ascii="Times New Roman" w:hAnsi="Times New Roman"/>
                <w:color w:val="auto"/>
                <w:vertAlign w:val="superscript"/>
              </w:rPr>
              <w:t>7</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trHeight w:val="20" w:hRule="atLeast"/>
          <w:jc w:val="center"/>
        </w:trPr>
        <w:tc>
          <w:tcPr>
            <w:tcW w:w="2126" w:type="dxa"/>
            <w:gridSpan w:val="2"/>
            <w:tcBorders>
              <w:tl2br w:val="nil"/>
              <w:tr2bl w:val="nil"/>
            </w:tcBorders>
          </w:tcPr>
          <w:p>
            <w:pPr>
              <w:snapToGrid w:val="0"/>
              <w:rPr>
                <w:rFonts w:ascii="Times New Roman" w:hAnsi="Times New Roman"/>
                <w:color w:val="auto"/>
              </w:rPr>
            </w:pPr>
            <w:r>
              <w:rPr>
                <w:rFonts w:ascii="Times New Roman" w:hAnsi="Times New Roman"/>
                <w:color w:val="auto"/>
              </w:rPr>
              <w:t>备注</w:t>
            </w:r>
          </w:p>
        </w:tc>
        <w:tc>
          <w:tcPr>
            <w:tcW w:w="13074" w:type="dxa"/>
            <w:gridSpan w:val="4"/>
            <w:tcBorders>
              <w:tl2br w:val="nil"/>
              <w:tr2bl w:val="nil"/>
            </w:tcBorders>
            <w:vAlign w:val="center"/>
          </w:tcPr>
          <w:p>
            <w:pPr>
              <w:snapToGrid w:val="0"/>
              <w:rPr>
                <w:rFonts w:ascii="Times New Roman" w:hAnsi="Times New Roman"/>
                <w:color w:val="auto"/>
              </w:rPr>
            </w:pPr>
            <w:r>
              <w:rPr>
                <w:rFonts w:ascii="Times New Roman" w:hAnsi="Times New Roman"/>
                <w:color w:val="auto"/>
              </w:rPr>
              <w:t>1. 组成产品的单一养分含量不应小于4.0%，且单一养分测定值与标明值负偏差的绝对值不应大于1.5%；</w:t>
            </w:r>
          </w:p>
          <w:p>
            <w:pPr>
              <w:snapToGrid w:val="0"/>
              <w:rPr>
                <w:rFonts w:ascii="Times New Roman" w:hAnsi="Times New Roman"/>
                <w:color w:val="auto"/>
              </w:rPr>
            </w:pPr>
            <w:r>
              <w:rPr>
                <w:rFonts w:ascii="Times New Roman" w:hAnsi="Times New Roman"/>
                <w:color w:val="auto"/>
              </w:rPr>
              <w:t>2. 包装容器上标明“含硝态氮”时检测本项目；</w:t>
            </w:r>
          </w:p>
          <w:p>
            <w:pPr>
              <w:snapToGrid w:val="0"/>
              <w:rPr>
                <w:rFonts w:ascii="Times New Roman" w:hAnsi="Times New Roman"/>
                <w:color w:val="auto"/>
              </w:rPr>
            </w:pPr>
            <w:r>
              <w:rPr>
                <w:rFonts w:ascii="Times New Roman" w:hAnsi="Times New Roman"/>
                <w:color w:val="auto"/>
              </w:rPr>
              <w:t>3. 以钙镁磷肥等枸溶性磷肥为基础磷肥并在包装容器上注明为“枸溶性磷”时，“水溶性磷占有效磷百分率”项目不做检验和判定。若为氮、钾二元肥料，“水溶性磷占有效磷百分率”项目不做检验和判定；</w:t>
            </w:r>
          </w:p>
          <w:p>
            <w:pPr>
              <w:snapToGrid w:val="0"/>
              <w:rPr>
                <w:rFonts w:ascii="Times New Roman" w:hAnsi="Times New Roman"/>
                <w:color w:val="auto"/>
              </w:rPr>
            </w:pPr>
            <w:r>
              <w:rPr>
                <w:rFonts w:ascii="Times New Roman" w:hAnsi="Times New Roman"/>
                <w:color w:val="auto"/>
              </w:rPr>
              <w:t>4. 包装容器标明含有钙、镁、硫时检测本项目；</w:t>
            </w:r>
          </w:p>
          <w:p>
            <w:pPr>
              <w:snapToGrid w:val="0"/>
              <w:jc w:val="left"/>
              <w:rPr>
                <w:rFonts w:ascii="Times New Roman" w:hAnsi="Times New Roman"/>
                <w:color w:val="auto"/>
              </w:rPr>
            </w:pPr>
            <w:r>
              <w:rPr>
                <w:rFonts w:ascii="Times New Roman" w:hAnsi="Times New Roman"/>
                <w:color w:val="auto"/>
              </w:rPr>
              <w:t>5. 包装容器标明含有铜、铁、锰、锌、硼、钼时检测本项目；</w:t>
            </w:r>
          </w:p>
          <w:p>
            <w:pPr>
              <w:snapToGrid w:val="0"/>
              <w:jc w:val="left"/>
              <w:rPr>
                <w:rFonts w:ascii="Times New Roman" w:hAnsi="Times New Roman"/>
                <w:color w:val="auto"/>
              </w:rPr>
            </w:pPr>
            <w:r>
              <w:rPr>
                <w:rFonts w:ascii="Times New Roman" w:hAnsi="Times New Roman"/>
                <w:color w:val="auto"/>
              </w:rPr>
              <w:t>6. 氯离子的质量分数大于30.0%的产品，应在包装袋上标明“含氯（高氯）”，标识“含氯（高氯）”的产品氯离子的质量分数可不做检验和判定；</w:t>
            </w:r>
          </w:p>
          <w:p>
            <w:pPr>
              <w:snapToGrid w:val="0"/>
              <w:jc w:val="left"/>
              <w:rPr>
                <w:rFonts w:ascii="Times New Roman" w:hAnsi="Times New Roman"/>
                <w:color w:val="auto"/>
              </w:rPr>
            </w:pPr>
            <w:r>
              <w:rPr>
                <w:rFonts w:ascii="Times New Roman" w:hAnsi="Times New Roman"/>
                <w:color w:val="auto"/>
              </w:rPr>
              <w:t>7. 仅在标明总氮含量时检测本项目，包装容器或使用说明中标明适用于种肥同播的而产品缩二脲含量应≤0.8%；</w:t>
            </w:r>
          </w:p>
          <w:p>
            <w:pPr>
              <w:snapToGrid w:val="0"/>
              <w:jc w:val="left"/>
              <w:rPr>
                <w:rFonts w:ascii="Times New Roman" w:hAnsi="Times New Roman"/>
                <w:color w:val="auto"/>
              </w:rPr>
            </w:pPr>
            <w:r>
              <w:rPr>
                <w:rFonts w:ascii="Times New Roman" w:hAnsi="Times New Roman"/>
                <w:color w:val="auto"/>
              </w:rPr>
              <w:t>8. 以钙镁磷肥等枸溶性磷肥为基础磷肥并在包装袋上注明为“枸溶性磷”的产品.未标明磷含量的产品.缓释氮肥以及缓释钾肥，“水溶性磷占有效磷的质量分数”这一指标不做检验和判定；</w:t>
            </w:r>
          </w:p>
          <w:p>
            <w:pPr>
              <w:snapToGrid w:val="0"/>
              <w:rPr>
                <w:rFonts w:ascii="Times New Roman" w:hAnsi="Times New Roman"/>
                <w:color w:val="auto"/>
              </w:rPr>
            </w:pPr>
            <w:r>
              <w:rPr>
                <w:rFonts w:ascii="Times New Roman" w:hAnsi="Times New Roman"/>
                <w:color w:val="auto"/>
              </w:rPr>
              <w:t>9. 三元或二元缓释肥料的养分释放率用总氮释放率来表征；对于不含氮的缓释肥料，其养分释放率用钾释放率来表征。</w:t>
            </w:r>
          </w:p>
          <w:p>
            <w:pPr>
              <w:snapToGrid w:val="0"/>
              <w:rPr>
                <w:rFonts w:ascii="Times New Roman" w:hAnsi="Times New Roman"/>
                <w:color w:val="auto"/>
              </w:rPr>
            </w:pPr>
            <w:r>
              <w:rPr>
                <w:rFonts w:ascii="Times New Roman" w:hAnsi="Times New Roman"/>
                <w:color w:val="auto"/>
              </w:rPr>
              <w:t>10. 以钙镁磷肥等枸溶性磷肥为基础磷肥并在包装袋上注明为“枸溶性磷”的产品.未标明磷含量的产品.控释氮肥以及控释钾肥，“水溶性磷占有效磷的质量分数”这一指标不做检验和判定；</w:t>
            </w:r>
          </w:p>
          <w:p>
            <w:pPr>
              <w:snapToGrid w:val="0"/>
              <w:rPr>
                <w:rFonts w:ascii="Times New Roman" w:hAnsi="Times New Roman"/>
                <w:color w:val="auto"/>
              </w:rPr>
            </w:pPr>
            <w:r>
              <w:rPr>
                <w:rFonts w:ascii="Times New Roman" w:hAnsi="Times New Roman"/>
                <w:color w:val="auto"/>
              </w:rPr>
              <w:t>11. 以钙镁磷肥等枸溶性磷肥为基础磷肥并在包装容器上注明为“枸溶性磷”，可不控制“水溶性磷占有效磷百分率”指标。若为氮、钾二元肥料，也不控制“水溶性磷占有效磷百分率”指标；</w:t>
            </w:r>
          </w:p>
          <w:p>
            <w:pPr>
              <w:snapToGrid w:val="0"/>
              <w:rPr>
                <w:rFonts w:ascii="Times New Roman" w:hAnsi="Times New Roman"/>
                <w:color w:val="auto"/>
              </w:rPr>
            </w:pPr>
            <w:r>
              <w:rPr>
                <w:rFonts w:ascii="Times New Roman" w:hAnsi="Times New Roman"/>
                <w:color w:val="auto"/>
              </w:rPr>
              <w:t>12. 标明的单一养分含量不得低于3.0%，且单一养分测定值与标明值负偏差的绝对值不得大于1.5%；</w:t>
            </w:r>
          </w:p>
          <w:p>
            <w:pPr>
              <w:pStyle w:val="2"/>
              <w:rPr>
                <w:rFonts w:ascii="Times New Roman" w:hAnsi="Times New Roman"/>
                <w:color w:val="auto"/>
              </w:rPr>
            </w:pPr>
            <w:r>
              <w:rPr>
                <w:rFonts w:ascii="Times New Roman" w:hAnsi="Times New Roman"/>
                <w:b w:val="0"/>
                <w:color w:val="auto"/>
                <w:sz w:val="21"/>
                <w:szCs w:val="21"/>
              </w:rPr>
              <w:t>13.不含尿素的复合肥料产品不检测该项目。</w:t>
            </w:r>
          </w:p>
        </w:tc>
      </w:tr>
    </w:tbl>
    <w:p>
      <w:pPr>
        <w:rPr>
          <w:rFonts w:ascii="Times New Roman" w:hAnsi="Times New Roman"/>
          <w:color w:val="auto"/>
          <w:sz w:val="28"/>
          <w:szCs w:val="28"/>
        </w:rPr>
        <w:sectPr>
          <w:pgSz w:w="16838" w:h="11906" w:orient="landscape"/>
          <w:pgMar w:top="1418" w:right="1418" w:bottom="1418" w:left="1418" w:header="851" w:footer="992" w:gutter="0"/>
          <w:cols w:space="720" w:num="1"/>
          <w:docGrid w:linePitch="360" w:charSpace="6144"/>
        </w:sectPr>
      </w:pPr>
    </w:p>
    <w:p>
      <w:pPr>
        <w:outlineLvl w:val="0"/>
        <w:rPr>
          <w:rFonts w:ascii="Times New Roman" w:hAnsi="Times New Roman"/>
          <w:b/>
          <w:color w:val="auto"/>
          <w:sz w:val="28"/>
          <w:szCs w:val="28"/>
        </w:rPr>
      </w:pPr>
      <w:r>
        <w:rPr>
          <w:rFonts w:ascii="Times New Roman" w:hAnsi="Times New Roman"/>
          <w:color w:val="auto"/>
          <w:sz w:val="28"/>
          <w:szCs w:val="28"/>
        </w:rPr>
        <w:t>附件</w:t>
      </w:r>
      <w:bookmarkEnd w:id="36"/>
      <w:r>
        <w:rPr>
          <w:rFonts w:ascii="Times New Roman" w:hAnsi="Times New Roman"/>
          <w:color w:val="auto"/>
          <w:sz w:val="28"/>
          <w:szCs w:val="28"/>
        </w:rPr>
        <w:t>2</w:t>
      </w:r>
    </w:p>
    <w:p>
      <w:pPr>
        <w:jc w:val="center"/>
        <w:outlineLvl w:val="0"/>
        <w:rPr>
          <w:rFonts w:ascii="Times New Roman" w:hAnsi="Times New Roman"/>
          <w:b/>
          <w:color w:val="auto"/>
          <w:sz w:val="28"/>
          <w:szCs w:val="28"/>
        </w:rPr>
      </w:pPr>
      <w:bookmarkStart w:id="37" w:name="_Toc178002559"/>
      <w:bookmarkStart w:id="38" w:name="_Toc507721783"/>
      <w:bookmarkStart w:id="39" w:name="_Toc178002841"/>
      <w:r>
        <w:rPr>
          <w:rFonts w:ascii="Times New Roman" w:hAnsi="Times New Roman"/>
          <w:b/>
          <w:color w:val="auto"/>
          <w:sz w:val="28"/>
          <w:szCs w:val="28"/>
        </w:rPr>
        <w:t>企业核查时需准备的书面材料清单</w:t>
      </w:r>
      <w:bookmarkEnd w:id="37"/>
      <w:bookmarkEnd w:id="38"/>
      <w:bookmarkEnd w:id="39"/>
    </w:p>
    <w:p>
      <w:pPr>
        <w:spacing w:line="360" w:lineRule="auto"/>
        <w:rPr>
          <w:rFonts w:ascii="Times New Roman" w:hAnsi="Times New Roman"/>
          <w:color w:val="auto"/>
          <w:sz w:val="28"/>
          <w:szCs w:val="28"/>
        </w:rPr>
      </w:pPr>
    </w:p>
    <w:p>
      <w:pPr>
        <w:snapToGrid w:val="0"/>
        <w:spacing w:line="360" w:lineRule="auto"/>
        <w:ind w:firstLine="420"/>
        <w:rPr>
          <w:rFonts w:ascii="Times New Roman" w:hAnsi="Times New Roman"/>
          <w:color w:val="auto"/>
        </w:rPr>
      </w:pPr>
      <w:r>
        <w:rPr>
          <w:rFonts w:ascii="Times New Roman" w:hAnsi="Times New Roman"/>
          <w:color w:val="auto"/>
        </w:rPr>
        <w:t>附件2-1生产场所示意图</w:t>
      </w:r>
    </w:p>
    <w:p>
      <w:pPr>
        <w:snapToGrid w:val="0"/>
        <w:spacing w:line="360" w:lineRule="auto"/>
        <w:ind w:firstLine="420"/>
        <w:rPr>
          <w:rFonts w:ascii="Times New Roman" w:hAnsi="Times New Roman"/>
          <w:color w:val="auto"/>
        </w:rPr>
      </w:pPr>
      <w:r>
        <w:rPr>
          <w:rFonts w:ascii="Times New Roman" w:hAnsi="Times New Roman"/>
          <w:color w:val="auto"/>
        </w:rPr>
        <w:t>附件2-2主要工艺流程图</w:t>
      </w:r>
    </w:p>
    <w:p>
      <w:pPr>
        <w:snapToGrid w:val="0"/>
        <w:spacing w:line="360" w:lineRule="auto"/>
        <w:ind w:firstLine="420"/>
        <w:rPr>
          <w:rFonts w:ascii="Times New Roman" w:hAnsi="Times New Roman"/>
          <w:color w:val="auto"/>
        </w:rPr>
      </w:pPr>
      <w:r>
        <w:rPr>
          <w:rFonts w:ascii="Times New Roman" w:hAnsi="Times New Roman"/>
          <w:color w:val="auto"/>
        </w:rPr>
        <w:t>附件2-3主要生产设施和检验检测设施表</w:t>
      </w:r>
    </w:p>
    <w:p>
      <w:pPr>
        <w:snapToGrid w:val="0"/>
        <w:spacing w:line="360" w:lineRule="auto"/>
        <w:ind w:firstLine="420"/>
        <w:rPr>
          <w:rFonts w:ascii="Times New Roman" w:hAnsi="Times New Roman"/>
          <w:color w:val="auto"/>
        </w:rPr>
      </w:pPr>
      <w:r>
        <w:rPr>
          <w:rFonts w:ascii="Times New Roman" w:hAnsi="Times New Roman"/>
          <w:color w:val="auto"/>
        </w:rPr>
        <w:t>附件2-4主要生产设备表</w:t>
      </w:r>
    </w:p>
    <w:p>
      <w:pPr>
        <w:snapToGrid w:val="0"/>
        <w:spacing w:line="360" w:lineRule="auto"/>
        <w:ind w:firstLine="420"/>
        <w:rPr>
          <w:rFonts w:ascii="Times New Roman" w:hAnsi="Times New Roman"/>
          <w:color w:val="auto"/>
        </w:rPr>
      </w:pPr>
      <w:r>
        <w:rPr>
          <w:rFonts w:ascii="Times New Roman" w:hAnsi="Times New Roman"/>
          <w:color w:val="auto"/>
        </w:rPr>
        <w:t>附件2-5主要检验检测设备表</w:t>
      </w:r>
    </w:p>
    <w:p>
      <w:pPr>
        <w:snapToGrid w:val="0"/>
        <w:spacing w:line="360" w:lineRule="auto"/>
        <w:ind w:firstLine="420"/>
        <w:rPr>
          <w:rFonts w:ascii="Times New Roman" w:hAnsi="Times New Roman"/>
          <w:color w:val="auto"/>
        </w:rPr>
      </w:pPr>
      <w:r>
        <w:rPr>
          <w:rFonts w:ascii="Times New Roman" w:hAnsi="Times New Roman"/>
          <w:color w:val="auto"/>
        </w:rPr>
        <w:t>附件2-6主要原材料明细表</w:t>
      </w:r>
    </w:p>
    <w:p>
      <w:pPr>
        <w:snapToGrid w:val="0"/>
        <w:spacing w:line="360" w:lineRule="auto"/>
        <w:ind w:firstLine="420"/>
        <w:rPr>
          <w:rFonts w:ascii="Times New Roman" w:hAnsi="Times New Roman"/>
          <w:color w:val="auto"/>
        </w:rPr>
      </w:pPr>
      <w:r>
        <w:rPr>
          <w:rFonts w:ascii="Times New Roman" w:hAnsi="Times New Roman"/>
          <w:color w:val="auto"/>
        </w:rPr>
        <w:t>附件2-7关键岗位管理和专业技术人员表</w:t>
      </w:r>
    </w:p>
    <w:p>
      <w:pPr>
        <w:snapToGrid w:val="0"/>
        <w:spacing w:line="360" w:lineRule="auto"/>
        <w:ind w:firstLine="420"/>
        <w:rPr>
          <w:rFonts w:ascii="Times New Roman" w:hAnsi="Times New Roman"/>
          <w:color w:val="auto"/>
        </w:rPr>
      </w:pPr>
      <w:r>
        <w:rPr>
          <w:rFonts w:ascii="Times New Roman" w:hAnsi="Times New Roman"/>
          <w:color w:val="auto"/>
        </w:rPr>
        <w:t>附件2-8技术文件和工艺文件清单</w:t>
      </w:r>
    </w:p>
    <w:p>
      <w:pPr>
        <w:snapToGrid w:val="0"/>
        <w:spacing w:line="360" w:lineRule="auto"/>
        <w:ind w:firstLine="420"/>
        <w:rPr>
          <w:rFonts w:ascii="Times New Roman" w:hAnsi="Times New Roman"/>
          <w:color w:val="auto"/>
        </w:rPr>
      </w:pPr>
      <w:r>
        <w:rPr>
          <w:rFonts w:ascii="Times New Roman" w:hAnsi="Times New Roman"/>
          <w:color w:val="auto"/>
        </w:rPr>
        <w:t>附件2-9产品质量安全管理制度和产品质量安全追溯制度文件清单</w:t>
      </w:r>
    </w:p>
    <w:p>
      <w:pPr>
        <w:snapToGrid w:val="0"/>
        <w:spacing w:line="360" w:lineRule="auto"/>
        <w:ind w:firstLine="420"/>
        <w:rPr>
          <w:rFonts w:ascii="Times New Roman" w:hAnsi="Times New Roman"/>
          <w:color w:val="auto"/>
        </w:rPr>
      </w:pPr>
      <w:r>
        <w:rPr>
          <w:rFonts w:ascii="Times New Roman" w:hAnsi="Times New Roman"/>
          <w:color w:val="auto"/>
        </w:rPr>
        <w:t>附件2-10企业执行的产品标准及相关标准清单</w:t>
      </w:r>
    </w:p>
    <w:p>
      <w:pPr>
        <w:pStyle w:val="12"/>
        <w:rPr>
          <w:rFonts w:ascii="Times New Roman" w:hAnsi="Times New Roman"/>
          <w:color w:val="auto"/>
        </w:rPr>
      </w:pPr>
    </w:p>
    <w:p>
      <w:pPr>
        <w:spacing w:line="360" w:lineRule="auto"/>
        <w:ind w:firstLine="420"/>
        <w:rPr>
          <w:rFonts w:ascii="Times New Roman" w:hAnsi="Times New Roman"/>
          <w:color w:val="auto"/>
        </w:rPr>
      </w:pPr>
    </w:p>
    <w:p>
      <w:pPr>
        <w:spacing w:line="360" w:lineRule="auto"/>
        <w:rPr>
          <w:rFonts w:ascii="Times New Roman" w:hAnsi="Times New Roman"/>
          <w:color w:val="auto"/>
        </w:rPr>
      </w:pPr>
    </w:p>
    <w:p>
      <w:pPr>
        <w:spacing w:line="360" w:lineRule="auto"/>
        <w:rPr>
          <w:rFonts w:ascii="Times New Roman" w:hAnsi="Times New Roman"/>
          <w:color w:val="auto"/>
        </w:rPr>
      </w:pPr>
    </w:p>
    <w:p>
      <w:pPr>
        <w:spacing w:line="360" w:lineRule="auto"/>
        <w:rPr>
          <w:rFonts w:ascii="Times New Roman" w:hAnsi="Times New Roman"/>
          <w:color w:val="auto"/>
        </w:rPr>
      </w:pPr>
    </w:p>
    <w:p>
      <w:pPr>
        <w:spacing w:line="360" w:lineRule="auto"/>
        <w:rPr>
          <w:rFonts w:ascii="Times New Roman" w:hAnsi="Times New Roman"/>
          <w:color w:val="auto"/>
        </w:rPr>
      </w:pPr>
    </w:p>
    <w:p>
      <w:pPr>
        <w:spacing w:line="360" w:lineRule="auto"/>
        <w:rPr>
          <w:rFonts w:ascii="Times New Roman" w:hAnsi="Times New Roman"/>
          <w:color w:val="auto"/>
        </w:rPr>
      </w:pPr>
    </w:p>
    <w:p>
      <w:pPr>
        <w:spacing w:line="360" w:lineRule="auto"/>
        <w:rPr>
          <w:rFonts w:ascii="Times New Roman" w:hAnsi="Times New Roman"/>
          <w:color w:val="auto"/>
        </w:rPr>
      </w:pPr>
    </w:p>
    <w:p>
      <w:pPr>
        <w:spacing w:line="360" w:lineRule="auto"/>
        <w:rPr>
          <w:rFonts w:ascii="Times New Roman" w:hAnsi="Times New Roman"/>
          <w:color w:val="auto"/>
        </w:rPr>
      </w:pPr>
    </w:p>
    <w:p>
      <w:pPr>
        <w:spacing w:line="360" w:lineRule="auto"/>
        <w:rPr>
          <w:rFonts w:ascii="Times New Roman" w:hAnsi="Times New Roman"/>
          <w:color w:val="auto"/>
        </w:rPr>
      </w:pPr>
    </w:p>
    <w:p>
      <w:pPr>
        <w:spacing w:line="360" w:lineRule="auto"/>
        <w:rPr>
          <w:rFonts w:ascii="Times New Roman" w:hAnsi="Times New Roman"/>
          <w:color w:val="auto"/>
        </w:rPr>
      </w:pPr>
    </w:p>
    <w:p>
      <w:pPr>
        <w:spacing w:line="360" w:lineRule="auto"/>
        <w:rPr>
          <w:rFonts w:ascii="Times New Roman" w:hAnsi="Times New Roman"/>
          <w:color w:val="auto"/>
        </w:rPr>
      </w:pPr>
    </w:p>
    <w:p>
      <w:pPr>
        <w:spacing w:line="360" w:lineRule="auto"/>
        <w:rPr>
          <w:rFonts w:ascii="Times New Roman" w:hAnsi="Times New Roman"/>
          <w:color w:val="auto"/>
        </w:rPr>
      </w:pPr>
    </w:p>
    <w:p>
      <w:pPr>
        <w:spacing w:line="360" w:lineRule="auto"/>
        <w:ind w:firstLine="420"/>
        <w:rPr>
          <w:rFonts w:ascii="Times New Roman" w:hAnsi="Times New Roman"/>
          <w:color w:val="auto"/>
        </w:rPr>
      </w:pPr>
      <w:r>
        <w:rPr>
          <w:rFonts w:ascii="Times New Roman" w:hAnsi="Times New Roman"/>
          <w:color w:val="auto"/>
        </w:rPr>
        <w:t>企业名称：                          （盖章）</w:t>
      </w:r>
    </w:p>
    <w:p>
      <w:pPr>
        <w:spacing w:line="360" w:lineRule="auto"/>
        <w:rPr>
          <w:rFonts w:ascii="Times New Roman" w:hAnsi="Times New Roman"/>
          <w:color w:val="auto"/>
        </w:rPr>
      </w:pPr>
    </w:p>
    <w:p>
      <w:pPr>
        <w:spacing w:line="360" w:lineRule="auto"/>
        <w:rPr>
          <w:rFonts w:ascii="Times New Roman" w:hAnsi="Times New Roman"/>
          <w:color w:val="auto"/>
        </w:rPr>
      </w:pPr>
    </w:p>
    <w:p>
      <w:pPr>
        <w:spacing w:line="360" w:lineRule="auto"/>
        <w:ind w:firstLine="420"/>
        <w:rPr>
          <w:rFonts w:ascii="Times New Roman" w:hAnsi="Times New Roman"/>
          <w:color w:val="auto"/>
        </w:rPr>
      </w:pPr>
      <w:r>
        <w:rPr>
          <w:rFonts w:ascii="Times New Roman" w:hAnsi="Times New Roman"/>
          <w:color w:val="auto"/>
        </w:rPr>
        <w:t>企业代表签字：                       年  月  日</w:t>
      </w:r>
    </w:p>
    <w:p>
      <w:pPr>
        <w:spacing w:line="360" w:lineRule="auto"/>
        <w:ind w:firstLine="420"/>
        <w:rPr>
          <w:rFonts w:ascii="Times New Roman" w:hAnsi="Times New Roman"/>
          <w:color w:val="auto"/>
        </w:rPr>
      </w:pPr>
      <w:r>
        <w:rPr>
          <w:rFonts w:hint="eastAsia" w:ascii="Times New Roman" w:hAnsi="Times New Roman"/>
          <w:color w:val="auto"/>
        </w:rPr>
        <w:t>核查</w:t>
      </w:r>
      <w:r>
        <w:rPr>
          <w:rFonts w:ascii="Times New Roman" w:hAnsi="Times New Roman"/>
          <w:color w:val="auto"/>
        </w:rPr>
        <w:t>组确认签字：                     年  月  日</w:t>
      </w:r>
    </w:p>
    <w:p>
      <w:pPr>
        <w:spacing w:line="360" w:lineRule="auto"/>
        <w:rPr>
          <w:rFonts w:ascii="Times New Roman" w:hAnsi="Times New Roman"/>
          <w:color w:val="auto"/>
        </w:rPr>
      </w:pPr>
    </w:p>
    <w:p>
      <w:pPr>
        <w:snapToGrid w:val="0"/>
        <w:ind w:firstLine="420"/>
        <w:jc w:val="left"/>
        <w:rPr>
          <w:rFonts w:ascii="Times New Roman" w:hAnsi="Times New Roman"/>
          <w:color w:val="auto"/>
          <w:sz w:val="18"/>
          <w:szCs w:val="18"/>
        </w:rPr>
      </w:pPr>
      <w:r>
        <w:rPr>
          <w:rFonts w:ascii="Times New Roman" w:hAnsi="Times New Roman"/>
          <w:color w:val="auto"/>
          <w:sz w:val="18"/>
          <w:szCs w:val="18"/>
        </w:rPr>
        <w:t>注：本清单内所有书面材料经实地核查确认后企业加盖骑缝章。</w:t>
      </w:r>
    </w:p>
    <w:p>
      <w:pPr>
        <w:spacing w:line="360" w:lineRule="auto"/>
        <w:rPr>
          <w:rFonts w:ascii="Times New Roman" w:hAnsi="Times New Roman"/>
          <w:color w:val="auto"/>
        </w:rPr>
      </w:pPr>
    </w:p>
    <w:p>
      <w:pPr>
        <w:spacing w:line="360" w:lineRule="auto"/>
        <w:rPr>
          <w:rFonts w:ascii="Times New Roman" w:hAnsi="Times New Roman"/>
          <w:color w:val="auto"/>
          <w:sz w:val="28"/>
          <w:szCs w:val="28"/>
        </w:rPr>
      </w:pPr>
    </w:p>
    <w:p>
      <w:pPr>
        <w:pStyle w:val="4"/>
        <w:spacing w:line="360" w:lineRule="auto"/>
        <w:rPr>
          <w:rFonts w:eastAsia="宋体"/>
          <w:color w:val="auto"/>
        </w:rPr>
        <w:sectPr>
          <w:pgSz w:w="11906" w:h="16838"/>
          <w:pgMar w:top="1418" w:right="1418" w:bottom="1418" w:left="1418" w:header="851" w:footer="992" w:gutter="0"/>
          <w:cols w:space="720" w:num="1"/>
          <w:docGrid w:linePitch="360" w:charSpace="6144"/>
        </w:sectPr>
      </w:pPr>
      <w:bookmarkStart w:id="40" w:name="_Toc507721784"/>
      <w:bookmarkEnd w:id="40"/>
    </w:p>
    <w:p>
      <w:pPr>
        <w:spacing w:line="360" w:lineRule="auto"/>
        <w:outlineLvl w:val="0"/>
        <w:rPr>
          <w:rFonts w:ascii="Times New Roman" w:hAnsi="Times New Roman"/>
          <w:color w:val="auto"/>
          <w:sz w:val="28"/>
          <w:szCs w:val="28"/>
        </w:rPr>
      </w:pPr>
      <w:r>
        <w:rPr>
          <w:rFonts w:ascii="Times New Roman" w:hAnsi="Times New Roman"/>
          <w:color w:val="auto"/>
          <w:sz w:val="28"/>
          <w:szCs w:val="28"/>
        </w:rPr>
        <w:t>附件2-1</w:t>
      </w:r>
    </w:p>
    <w:p>
      <w:pPr>
        <w:spacing w:line="380" w:lineRule="exact"/>
        <w:jc w:val="center"/>
        <w:outlineLvl w:val="0"/>
        <w:rPr>
          <w:rFonts w:ascii="Times New Roman" w:hAnsi="Times New Roman"/>
          <w:b/>
          <w:color w:val="auto"/>
          <w:sz w:val="28"/>
          <w:szCs w:val="28"/>
        </w:rPr>
      </w:pPr>
      <w:bookmarkStart w:id="41" w:name="_Toc178002842"/>
      <w:bookmarkStart w:id="42" w:name="_Toc178002560"/>
      <w:r>
        <w:rPr>
          <w:rFonts w:ascii="Times New Roman" w:hAnsi="Times New Roman"/>
          <w:b/>
          <w:color w:val="auto"/>
          <w:sz w:val="28"/>
          <w:szCs w:val="28"/>
        </w:rPr>
        <w:t>生产场所示意图</w:t>
      </w:r>
      <w:bookmarkEnd w:id="41"/>
      <w:bookmarkEnd w:id="42"/>
    </w:p>
    <w:p>
      <w:pPr>
        <w:snapToGrid w:val="0"/>
        <w:spacing w:line="380" w:lineRule="exact"/>
        <w:ind w:firstLine="7379"/>
        <w:jc w:val="left"/>
        <w:rPr>
          <w:rFonts w:ascii="Times New Roman" w:hAnsi="Times New Roman"/>
          <w:b/>
          <w:color w:val="auto"/>
          <w:sz w:val="28"/>
          <w:szCs w:val="28"/>
        </w:rPr>
      </w:pPr>
      <w:r>
        <w:rPr>
          <w:rFonts w:ascii="Times New Roman" w:hAnsi="Times New Roman"/>
          <w:b/>
          <w:color w:val="auto"/>
        </w:rPr>
        <w:t>第  页</w:t>
      </w:r>
      <w:r>
        <w:rPr>
          <w:rFonts w:hint="eastAsia" w:ascii="Times New Roman" w:hAnsi="Times New Roman"/>
          <w:b/>
          <w:color w:val="auto"/>
        </w:rPr>
        <w:t xml:space="preserve"> </w:t>
      </w:r>
      <w:r>
        <w:rPr>
          <w:rFonts w:ascii="Times New Roman" w:hAnsi="Times New Roman"/>
          <w:b/>
          <w:color w:val="auto"/>
        </w:rPr>
        <w:t xml:space="preserve"> 共  页</w:t>
      </w:r>
    </w:p>
    <w:tbl>
      <w:tblPr>
        <w:tblStyle w:val="37"/>
        <w:tblW w:w="9551"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678"/>
        <w:gridCol w:w="787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4" w:hRule="atLeast"/>
          <w:jc w:val="center"/>
        </w:trPr>
        <w:tc>
          <w:tcPr>
            <w:tcW w:w="1678" w:type="dxa"/>
            <w:tcBorders>
              <w:tl2br w:val="nil"/>
              <w:tr2bl w:val="nil"/>
            </w:tcBorders>
            <w:shd w:val="clear" w:color="000000" w:fill="FFFFFF"/>
            <w:vAlign w:val="center"/>
          </w:tcPr>
          <w:p>
            <w:pPr>
              <w:snapToGrid w:val="0"/>
              <w:jc w:val="center"/>
              <w:rPr>
                <w:rFonts w:ascii="Times New Roman" w:hAnsi="Times New Roman"/>
                <w:b/>
                <w:bCs/>
                <w:color w:val="auto"/>
              </w:rPr>
            </w:pPr>
            <w:r>
              <w:rPr>
                <w:rFonts w:ascii="Times New Roman" w:hAnsi="Times New Roman"/>
                <w:b/>
                <w:bCs/>
                <w:color w:val="auto"/>
              </w:rPr>
              <w:t>企业名称</w:t>
            </w:r>
          </w:p>
        </w:tc>
        <w:tc>
          <w:tcPr>
            <w:tcW w:w="7873" w:type="dxa"/>
            <w:tcBorders>
              <w:tl2br w:val="nil"/>
              <w:tr2bl w:val="nil"/>
            </w:tcBorders>
            <w:shd w:val="clear" w:color="000000" w:fill="FFFFFF"/>
            <w:vAlign w:val="center"/>
          </w:tcPr>
          <w:p>
            <w:pPr>
              <w:snapToGrid w:val="0"/>
              <w:rPr>
                <w:rFonts w:ascii="Times New Roman" w:hAnsi="Times New Roman"/>
                <w:color w:val="auto"/>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4" w:hRule="atLeast"/>
          <w:jc w:val="center"/>
        </w:trPr>
        <w:tc>
          <w:tcPr>
            <w:tcW w:w="1678" w:type="dxa"/>
            <w:tcBorders>
              <w:tl2br w:val="nil"/>
              <w:tr2bl w:val="nil"/>
            </w:tcBorders>
            <w:shd w:val="clear" w:color="000000" w:fill="FFFFFF"/>
            <w:vAlign w:val="center"/>
          </w:tcPr>
          <w:p>
            <w:pPr>
              <w:snapToGrid w:val="0"/>
              <w:jc w:val="center"/>
              <w:rPr>
                <w:rFonts w:ascii="Times New Roman" w:hAnsi="Times New Roman"/>
                <w:b/>
                <w:bCs/>
                <w:color w:val="auto"/>
              </w:rPr>
            </w:pPr>
            <w:r>
              <w:rPr>
                <w:rFonts w:ascii="Times New Roman" w:hAnsi="Times New Roman"/>
                <w:b/>
                <w:bCs/>
                <w:color w:val="auto"/>
              </w:rPr>
              <w:t>生产地址</w:t>
            </w:r>
          </w:p>
        </w:tc>
        <w:tc>
          <w:tcPr>
            <w:tcW w:w="7873" w:type="dxa"/>
            <w:tcBorders>
              <w:tl2br w:val="nil"/>
              <w:tr2bl w:val="nil"/>
            </w:tcBorders>
            <w:shd w:val="clear" w:color="000000" w:fill="FFFFFF"/>
            <w:vAlign w:val="center"/>
          </w:tcPr>
          <w:p>
            <w:pPr>
              <w:snapToGrid w:val="0"/>
              <w:rPr>
                <w:rFonts w:ascii="Times New Roman" w:hAnsi="Times New Roman"/>
                <w:color w:val="auto"/>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918" w:hRule="atLeast"/>
          <w:jc w:val="center"/>
        </w:trPr>
        <w:tc>
          <w:tcPr>
            <w:tcW w:w="9551" w:type="dxa"/>
            <w:gridSpan w:val="2"/>
            <w:tcBorders>
              <w:tl2br w:val="nil"/>
              <w:tr2bl w:val="nil"/>
            </w:tcBorders>
            <w:shd w:val="clear" w:color="000000" w:fill="FFFFFF"/>
          </w:tcPr>
          <w:p>
            <w:pPr>
              <w:snapToGrid w:val="0"/>
              <w:spacing w:before="144"/>
              <w:rPr>
                <w:rFonts w:ascii="Times New Roman" w:hAnsi="Times New Roman"/>
                <w:color w:val="auto"/>
              </w:rPr>
            </w:pPr>
            <w:r>
              <w:rPr>
                <w:rFonts w:ascii="Times New Roman" w:hAnsi="Times New Roman"/>
                <w:color w:val="auto"/>
              </w:rPr>
              <w:t>（生产场所示意图，应标明其相邻特征道路、建筑物或单位方位、距离等，以及企业生产线在场所里的具体位置）</w:t>
            </w:r>
          </w:p>
          <w:p>
            <w:pPr>
              <w:snapToGrid w:val="0"/>
              <w:rPr>
                <w:rFonts w:ascii="Times New Roman" w:hAnsi="Times New Roman"/>
                <w:color w:val="auto"/>
              </w:rPr>
            </w:pPr>
          </w:p>
          <w:p>
            <w:pPr>
              <w:snapToGrid w:val="0"/>
              <w:rPr>
                <w:rFonts w:ascii="Times New Roman" w:hAnsi="Times New Roman"/>
                <w:color w:val="auto"/>
              </w:rPr>
            </w:pPr>
          </w:p>
          <w:p>
            <w:pPr>
              <w:snapToGrid w:val="0"/>
              <w:rPr>
                <w:rFonts w:ascii="Times New Roman" w:hAnsi="Times New Roman"/>
                <w:color w:val="auto"/>
              </w:rPr>
            </w:pPr>
          </w:p>
          <w:p>
            <w:pPr>
              <w:snapToGrid w:val="0"/>
              <w:rPr>
                <w:rFonts w:ascii="Times New Roman" w:hAnsi="Times New Roman"/>
                <w:color w:val="auto"/>
              </w:rPr>
            </w:pPr>
          </w:p>
        </w:tc>
      </w:tr>
    </w:tbl>
    <w:p>
      <w:pPr>
        <w:pStyle w:val="54"/>
        <w:widowControl w:val="0"/>
        <w:adjustRightInd/>
        <w:spacing w:before="120" w:beforeLines="50" w:after="240" w:afterLines="100"/>
        <w:rPr>
          <w:rFonts w:ascii="Times New Roman" w:hAnsi="Times New Roman"/>
          <w:iCs/>
          <w:color w:val="auto"/>
          <w:sz w:val="18"/>
          <w:szCs w:val="18"/>
        </w:rPr>
      </w:pPr>
      <w:r>
        <w:rPr>
          <w:rFonts w:ascii="Times New Roman" w:hAnsi="Times New Roman"/>
          <w:iCs/>
          <w:color w:val="auto"/>
          <w:sz w:val="18"/>
          <w:szCs w:val="18"/>
        </w:rPr>
        <w:t>注：企业多场点的，应按照场点分别绘制。</w:t>
      </w:r>
    </w:p>
    <w:p>
      <w:pPr>
        <w:pStyle w:val="54"/>
        <w:widowControl w:val="0"/>
        <w:adjustRightInd/>
        <w:spacing w:before="120" w:beforeLines="50" w:after="240" w:afterLines="100"/>
        <w:rPr>
          <w:rFonts w:ascii="Times New Roman" w:hAnsi="Times New Roman"/>
          <w:iCs/>
          <w:color w:val="auto"/>
          <w:sz w:val="18"/>
          <w:szCs w:val="18"/>
        </w:rPr>
        <w:sectPr>
          <w:pgSz w:w="11906" w:h="16838"/>
          <w:pgMar w:top="1418" w:right="1418" w:bottom="1418" w:left="1418" w:header="851" w:footer="992" w:gutter="0"/>
          <w:cols w:space="720" w:num="1"/>
          <w:docGrid w:linePitch="360" w:charSpace="6144"/>
        </w:sectPr>
      </w:pPr>
    </w:p>
    <w:p>
      <w:pPr>
        <w:snapToGrid w:val="0"/>
        <w:spacing w:line="360" w:lineRule="auto"/>
        <w:outlineLvl w:val="0"/>
        <w:rPr>
          <w:rFonts w:ascii="Times New Roman" w:hAnsi="Times New Roman"/>
          <w:color w:val="auto"/>
          <w:sz w:val="28"/>
          <w:szCs w:val="28"/>
        </w:rPr>
      </w:pPr>
      <w:r>
        <w:rPr>
          <w:rFonts w:ascii="Times New Roman" w:hAnsi="Times New Roman"/>
          <w:color w:val="auto"/>
          <w:sz w:val="28"/>
          <w:szCs w:val="28"/>
        </w:rPr>
        <w:t>附件2-2</w:t>
      </w:r>
    </w:p>
    <w:p>
      <w:pPr>
        <w:pStyle w:val="2"/>
        <w:snapToGrid w:val="0"/>
        <w:spacing w:before="340" w:after="330"/>
        <w:jc w:val="center"/>
        <w:rPr>
          <w:rFonts w:ascii="Times New Roman" w:hAnsi="Times New Roman"/>
          <w:b w:val="0"/>
          <w:color w:val="auto"/>
          <w:sz w:val="28"/>
          <w:szCs w:val="28"/>
        </w:rPr>
      </w:pPr>
      <w:bookmarkStart w:id="43" w:name="_Toc162467097"/>
      <w:bookmarkStart w:id="44" w:name="_Toc178002561"/>
      <w:bookmarkStart w:id="45" w:name="_Toc178002843"/>
      <w:r>
        <w:rPr>
          <w:rFonts w:ascii="Times New Roman" w:hAnsi="Times New Roman"/>
          <w:color w:val="auto"/>
          <w:sz w:val="28"/>
          <w:szCs w:val="28"/>
        </w:rPr>
        <w:t>主要工艺流程图</w:t>
      </w:r>
      <w:bookmarkEnd w:id="43"/>
      <w:bookmarkEnd w:id="44"/>
      <w:bookmarkEnd w:id="45"/>
    </w:p>
    <w:p>
      <w:pPr>
        <w:snapToGrid w:val="0"/>
        <w:spacing w:line="380" w:lineRule="exact"/>
        <w:ind w:firstLine="7379"/>
        <w:rPr>
          <w:rFonts w:ascii="Times New Roman" w:hAnsi="Times New Roman"/>
          <w:b/>
          <w:i/>
          <w:color w:val="auto"/>
          <w:sz w:val="30"/>
          <w:szCs w:val="30"/>
        </w:rPr>
      </w:pPr>
      <w:r>
        <w:rPr>
          <w:rFonts w:ascii="Times New Roman" w:hAnsi="Times New Roman"/>
          <w:b/>
          <w:color w:val="auto"/>
        </w:rPr>
        <w:t>第  页</w:t>
      </w:r>
      <w:r>
        <w:rPr>
          <w:rFonts w:hint="eastAsia" w:ascii="Times New Roman" w:hAnsi="Times New Roman"/>
          <w:b/>
          <w:color w:val="auto"/>
        </w:rPr>
        <w:t xml:space="preserve"> </w:t>
      </w:r>
      <w:r>
        <w:rPr>
          <w:rFonts w:ascii="Times New Roman" w:hAnsi="Times New Roman"/>
          <w:b/>
          <w:color w:val="auto"/>
        </w:rPr>
        <w:t xml:space="preserve"> 共  页</w:t>
      </w:r>
    </w:p>
    <w:tbl>
      <w:tblPr>
        <w:tblStyle w:val="37"/>
        <w:tblW w:w="950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795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8" w:hRule="atLeast"/>
          <w:jc w:val="center"/>
        </w:trPr>
        <w:tc>
          <w:tcPr>
            <w:tcW w:w="1550" w:type="dxa"/>
            <w:tcBorders>
              <w:tl2br w:val="nil"/>
              <w:tr2bl w:val="nil"/>
            </w:tcBorders>
            <w:shd w:val="clear" w:color="000000" w:fill="FFFFFF"/>
            <w:vAlign w:val="center"/>
          </w:tcPr>
          <w:p>
            <w:pPr>
              <w:snapToGrid w:val="0"/>
              <w:jc w:val="center"/>
              <w:rPr>
                <w:rFonts w:ascii="Times New Roman" w:hAnsi="Times New Roman"/>
                <w:b/>
                <w:color w:val="auto"/>
              </w:rPr>
            </w:pPr>
            <w:r>
              <w:rPr>
                <w:rFonts w:ascii="Times New Roman" w:hAnsi="Times New Roman"/>
                <w:b/>
                <w:color w:val="auto"/>
              </w:rPr>
              <w:t>产品单元</w:t>
            </w:r>
          </w:p>
        </w:tc>
        <w:tc>
          <w:tcPr>
            <w:tcW w:w="7955" w:type="dxa"/>
            <w:tcBorders>
              <w:tl2br w:val="nil"/>
              <w:tr2bl w:val="nil"/>
            </w:tcBorders>
            <w:shd w:val="clear" w:color="000000" w:fill="FFFFFF"/>
            <w:vAlign w:val="center"/>
          </w:tcPr>
          <w:p>
            <w:pPr>
              <w:snapToGrid w:val="0"/>
              <w:rPr>
                <w:rFonts w:ascii="Times New Roman" w:hAnsi="Times New Roman"/>
                <w:b/>
                <w:color w:val="auto"/>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421" w:hRule="atLeast"/>
          <w:jc w:val="center"/>
        </w:trPr>
        <w:tc>
          <w:tcPr>
            <w:tcW w:w="1550" w:type="dxa"/>
            <w:tcBorders>
              <w:tl2br w:val="nil"/>
              <w:tr2bl w:val="nil"/>
            </w:tcBorders>
            <w:shd w:val="clear" w:color="000000" w:fill="FFFFFF"/>
            <w:vAlign w:val="center"/>
          </w:tcPr>
          <w:p>
            <w:pPr>
              <w:snapToGrid w:val="0"/>
              <w:jc w:val="center"/>
              <w:rPr>
                <w:rFonts w:ascii="Times New Roman" w:hAnsi="Times New Roman"/>
                <w:b/>
                <w:color w:val="auto"/>
              </w:rPr>
            </w:pPr>
            <w:r>
              <w:rPr>
                <w:rFonts w:ascii="Times New Roman" w:hAnsi="Times New Roman"/>
                <w:b/>
                <w:color w:val="auto"/>
              </w:rPr>
              <w:t>工艺流程图</w:t>
            </w:r>
          </w:p>
          <w:p>
            <w:pPr>
              <w:snapToGrid w:val="0"/>
              <w:jc w:val="center"/>
              <w:rPr>
                <w:rFonts w:ascii="Times New Roman" w:hAnsi="Times New Roman"/>
                <w:b/>
                <w:color w:val="auto"/>
              </w:rPr>
            </w:pPr>
            <w:r>
              <w:rPr>
                <w:rFonts w:ascii="Times New Roman" w:hAnsi="Times New Roman"/>
                <w:b/>
                <w:color w:val="auto"/>
              </w:rPr>
              <w:t>（企业填写）</w:t>
            </w:r>
          </w:p>
        </w:tc>
        <w:tc>
          <w:tcPr>
            <w:tcW w:w="7955" w:type="dxa"/>
            <w:tcBorders>
              <w:tl2br w:val="nil"/>
              <w:tr2bl w:val="nil"/>
            </w:tcBorders>
            <w:shd w:val="clear" w:color="000000" w:fill="FFFFFF"/>
          </w:tcPr>
          <w:p>
            <w:pPr>
              <w:snapToGrid w:val="0"/>
              <w:rPr>
                <w:rFonts w:ascii="Times New Roman" w:hAnsi="Times New Roman"/>
                <w:color w:val="auto"/>
              </w:rPr>
            </w:pPr>
            <w:r>
              <w:rPr>
                <w:rFonts w:ascii="Times New Roman" w:hAnsi="Times New Roman"/>
                <w:color w:val="auto"/>
              </w:rPr>
              <w:t>以框图+箭头方式表述企业生产该产品的实际工艺流程、并以“★”在相应的框图上表示关键工序、以“▲”表示质量控制点。</w:t>
            </w:r>
          </w:p>
          <w:p>
            <w:pPr>
              <w:snapToGrid w:val="0"/>
              <w:rPr>
                <w:rFonts w:ascii="Times New Roman" w:hAnsi="Times New Roman"/>
                <w:color w:val="auto"/>
              </w:rPr>
            </w:pPr>
          </w:p>
          <w:p>
            <w:pPr>
              <w:snapToGrid w:val="0"/>
              <w:rPr>
                <w:rFonts w:ascii="Times New Roman" w:hAnsi="Times New Roman"/>
                <w:color w:val="auto"/>
              </w:rPr>
            </w:pPr>
          </w:p>
          <w:p>
            <w:pPr>
              <w:snapToGrid w:val="0"/>
              <w:rPr>
                <w:rFonts w:ascii="Times New Roman" w:hAnsi="Times New Roman"/>
                <w:color w:val="auto"/>
              </w:rPr>
            </w:pPr>
          </w:p>
          <w:p>
            <w:pPr>
              <w:ind w:firstLine="420"/>
              <w:rPr>
                <w:rFonts w:ascii="Times New Roman" w:hAnsi="Times New Roman"/>
                <w:color w:val="auto"/>
              </w:rPr>
            </w:pPr>
          </w:p>
        </w:tc>
      </w:tr>
    </w:tbl>
    <w:p>
      <w:pPr>
        <w:pStyle w:val="54"/>
        <w:widowControl w:val="0"/>
        <w:adjustRightInd/>
        <w:spacing w:before="120" w:beforeLines="50" w:after="240" w:afterLines="100"/>
        <w:rPr>
          <w:rFonts w:ascii="Times New Roman" w:hAnsi="Times New Roman"/>
          <w:color w:val="auto"/>
          <w:sz w:val="28"/>
          <w:szCs w:val="28"/>
        </w:rPr>
      </w:pPr>
      <w:r>
        <w:rPr>
          <w:rFonts w:ascii="Times New Roman" w:hAnsi="Times New Roman"/>
          <w:iCs/>
          <w:color w:val="auto"/>
          <w:sz w:val="18"/>
          <w:szCs w:val="18"/>
        </w:rPr>
        <w:t>注：如果产品单元中各复肥种类的生产工艺不同，则应分别绘制。</w:t>
      </w:r>
    </w:p>
    <w:p>
      <w:pPr>
        <w:pStyle w:val="4"/>
        <w:spacing w:line="360" w:lineRule="auto"/>
        <w:outlineLvl w:val="0"/>
        <w:rPr>
          <w:rFonts w:eastAsia="宋体"/>
          <w:b w:val="0"/>
          <w:color w:val="auto"/>
          <w:sz w:val="28"/>
          <w:szCs w:val="28"/>
        </w:rPr>
      </w:pPr>
      <w:bookmarkStart w:id="46" w:name="_Toc178002562"/>
      <w:r>
        <w:rPr>
          <w:rFonts w:eastAsia="宋体"/>
          <w:b w:val="0"/>
          <w:color w:val="auto"/>
          <w:sz w:val="28"/>
          <w:szCs w:val="28"/>
        </w:rPr>
        <w:t>附件2-3</w:t>
      </w:r>
      <w:bookmarkEnd w:id="46"/>
    </w:p>
    <w:p>
      <w:pPr>
        <w:spacing w:after="120"/>
        <w:jc w:val="center"/>
        <w:outlineLvl w:val="0"/>
        <w:rPr>
          <w:rFonts w:ascii="Times New Roman" w:hAnsi="Times New Roman"/>
          <w:color w:val="auto"/>
        </w:rPr>
      </w:pPr>
      <w:bookmarkStart w:id="47" w:name="_Toc178002563"/>
      <w:bookmarkStart w:id="48" w:name="_Toc178002844"/>
      <w:r>
        <w:rPr>
          <w:rFonts w:ascii="Times New Roman" w:hAnsi="Times New Roman"/>
          <w:b/>
          <w:color w:val="auto"/>
          <w:sz w:val="28"/>
          <w:szCs w:val="28"/>
        </w:rPr>
        <w:t>主要生产设施和检验检测设施表</w:t>
      </w:r>
      <w:bookmarkEnd w:id="47"/>
      <w:bookmarkEnd w:id="48"/>
    </w:p>
    <w:tbl>
      <w:tblPr>
        <w:tblStyle w:val="37"/>
        <w:tblW w:w="991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80"/>
        <w:gridCol w:w="1081"/>
        <w:gridCol w:w="1353"/>
        <w:gridCol w:w="1701"/>
        <w:gridCol w:w="1701"/>
        <w:gridCol w:w="1559"/>
        <w:gridCol w:w="18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5" w:hRule="atLeast"/>
          <w:jc w:val="center"/>
        </w:trPr>
        <w:tc>
          <w:tcPr>
            <w:tcW w:w="680" w:type="dxa"/>
            <w:vAlign w:val="center"/>
          </w:tcPr>
          <w:p>
            <w:pPr>
              <w:jc w:val="center"/>
              <w:rPr>
                <w:rFonts w:ascii="Times New Roman" w:hAnsi="Times New Roman"/>
                <w:b/>
                <w:color w:val="auto"/>
              </w:rPr>
            </w:pPr>
            <w:r>
              <w:rPr>
                <w:rFonts w:ascii="Times New Roman" w:hAnsi="Times New Roman"/>
                <w:b/>
                <w:color w:val="auto"/>
              </w:rPr>
              <w:t>序号</w:t>
            </w:r>
          </w:p>
        </w:tc>
        <w:tc>
          <w:tcPr>
            <w:tcW w:w="1081" w:type="dxa"/>
            <w:vAlign w:val="center"/>
          </w:tcPr>
          <w:p>
            <w:pPr>
              <w:jc w:val="center"/>
              <w:rPr>
                <w:rFonts w:ascii="Times New Roman" w:hAnsi="Times New Roman"/>
                <w:b/>
                <w:color w:val="auto"/>
              </w:rPr>
            </w:pPr>
            <w:r>
              <w:rPr>
                <w:rFonts w:ascii="Times New Roman" w:hAnsi="Times New Roman"/>
                <w:b/>
                <w:color w:val="auto"/>
              </w:rPr>
              <w:t>产品单元</w:t>
            </w:r>
          </w:p>
        </w:tc>
        <w:tc>
          <w:tcPr>
            <w:tcW w:w="1353" w:type="dxa"/>
            <w:vAlign w:val="center"/>
          </w:tcPr>
          <w:p>
            <w:pPr>
              <w:jc w:val="center"/>
              <w:rPr>
                <w:rFonts w:ascii="Times New Roman" w:hAnsi="Times New Roman"/>
                <w:b/>
                <w:color w:val="auto"/>
              </w:rPr>
            </w:pPr>
            <w:r>
              <w:rPr>
                <w:rFonts w:ascii="Times New Roman" w:hAnsi="Times New Roman"/>
                <w:b/>
                <w:color w:val="auto"/>
              </w:rPr>
              <w:t>复肥种类</w:t>
            </w:r>
          </w:p>
        </w:tc>
        <w:tc>
          <w:tcPr>
            <w:tcW w:w="1701" w:type="dxa"/>
            <w:vAlign w:val="center"/>
          </w:tcPr>
          <w:p>
            <w:pPr>
              <w:jc w:val="center"/>
              <w:rPr>
                <w:rFonts w:ascii="Times New Roman" w:hAnsi="Times New Roman"/>
                <w:b/>
                <w:color w:val="auto"/>
              </w:rPr>
            </w:pPr>
            <w:r>
              <w:rPr>
                <w:rFonts w:ascii="Times New Roman" w:hAnsi="Times New Roman"/>
                <w:b/>
                <w:color w:val="auto"/>
              </w:rPr>
              <w:t>生产设施和检验检测设施名称</w:t>
            </w:r>
          </w:p>
        </w:tc>
        <w:tc>
          <w:tcPr>
            <w:tcW w:w="1701" w:type="dxa"/>
            <w:vAlign w:val="center"/>
          </w:tcPr>
          <w:p>
            <w:pPr>
              <w:jc w:val="center"/>
              <w:rPr>
                <w:rFonts w:ascii="Times New Roman" w:hAnsi="Times New Roman"/>
                <w:b/>
                <w:color w:val="auto"/>
              </w:rPr>
            </w:pPr>
            <w:r>
              <w:rPr>
                <w:rFonts w:ascii="Times New Roman" w:hAnsi="Times New Roman"/>
                <w:b/>
                <w:color w:val="auto"/>
              </w:rPr>
              <w:t>设施特征及用途描述</w:t>
            </w:r>
          </w:p>
        </w:tc>
        <w:tc>
          <w:tcPr>
            <w:tcW w:w="1559" w:type="dxa"/>
            <w:vAlign w:val="center"/>
          </w:tcPr>
          <w:p>
            <w:pPr>
              <w:jc w:val="center"/>
              <w:rPr>
                <w:rFonts w:ascii="Times New Roman" w:hAnsi="Times New Roman"/>
                <w:b/>
                <w:color w:val="auto"/>
              </w:rPr>
            </w:pPr>
            <w:r>
              <w:rPr>
                <w:rFonts w:ascii="Times New Roman" w:hAnsi="Times New Roman"/>
                <w:b/>
                <w:color w:val="auto"/>
              </w:rPr>
              <w:t>生产地址</w:t>
            </w:r>
          </w:p>
        </w:tc>
        <w:tc>
          <w:tcPr>
            <w:tcW w:w="1843" w:type="dxa"/>
            <w:vAlign w:val="center"/>
          </w:tcPr>
          <w:p>
            <w:pPr>
              <w:jc w:val="center"/>
              <w:rPr>
                <w:rFonts w:ascii="Times New Roman" w:hAnsi="Times New Roman"/>
                <w:b/>
                <w:color w:val="auto"/>
              </w:rPr>
            </w:pPr>
            <w:r>
              <w:rPr>
                <w:rFonts w:ascii="Times New Roman" w:hAnsi="Times New Roman"/>
                <w:b/>
                <w:color w:val="auto"/>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color w:val="auto"/>
              </w:rPr>
            </w:pPr>
          </w:p>
        </w:tc>
        <w:tc>
          <w:tcPr>
            <w:tcW w:w="1081" w:type="dxa"/>
          </w:tcPr>
          <w:p>
            <w:pPr>
              <w:rPr>
                <w:rFonts w:ascii="Times New Roman" w:hAnsi="Times New Roman"/>
                <w:color w:val="auto"/>
              </w:rPr>
            </w:pPr>
          </w:p>
        </w:tc>
        <w:tc>
          <w:tcPr>
            <w:tcW w:w="1353" w:type="dxa"/>
          </w:tcPr>
          <w:p>
            <w:pPr>
              <w:rPr>
                <w:rFonts w:ascii="Times New Roman" w:hAnsi="Times New Roman"/>
                <w:color w:val="auto"/>
              </w:rPr>
            </w:pPr>
          </w:p>
        </w:tc>
        <w:tc>
          <w:tcPr>
            <w:tcW w:w="1701" w:type="dxa"/>
          </w:tcPr>
          <w:p>
            <w:pPr>
              <w:rPr>
                <w:rFonts w:ascii="Times New Roman" w:hAnsi="Times New Roman"/>
                <w:color w:val="auto"/>
              </w:rPr>
            </w:pPr>
          </w:p>
        </w:tc>
        <w:tc>
          <w:tcPr>
            <w:tcW w:w="1701" w:type="dxa"/>
          </w:tcPr>
          <w:p>
            <w:pPr>
              <w:rPr>
                <w:rFonts w:ascii="Times New Roman" w:hAnsi="Times New Roman"/>
                <w:color w:val="auto"/>
              </w:rPr>
            </w:pPr>
          </w:p>
        </w:tc>
        <w:tc>
          <w:tcPr>
            <w:tcW w:w="1559" w:type="dxa"/>
          </w:tcPr>
          <w:p>
            <w:pPr>
              <w:rPr>
                <w:rFonts w:ascii="Times New Roman" w:hAnsi="Times New Roman"/>
                <w:color w:val="auto"/>
              </w:rPr>
            </w:pPr>
          </w:p>
        </w:tc>
        <w:tc>
          <w:tcPr>
            <w:tcW w:w="1843" w:type="dxa"/>
          </w:tcPr>
          <w:p>
            <w:pPr>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color w:val="auto"/>
              </w:rPr>
            </w:pPr>
          </w:p>
        </w:tc>
        <w:tc>
          <w:tcPr>
            <w:tcW w:w="1081" w:type="dxa"/>
          </w:tcPr>
          <w:p>
            <w:pPr>
              <w:rPr>
                <w:rFonts w:ascii="Times New Roman" w:hAnsi="Times New Roman"/>
                <w:color w:val="auto"/>
              </w:rPr>
            </w:pPr>
          </w:p>
        </w:tc>
        <w:tc>
          <w:tcPr>
            <w:tcW w:w="1353" w:type="dxa"/>
          </w:tcPr>
          <w:p>
            <w:pPr>
              <w:rPr>
                <w:rFonts w:ascii="Times New Roman" w:hAnsi="Times New Roman"/>
                <w:color w:val="auto"/>
              </w:rPr>
            </w:pPr>
          </w:p>
        </w:tc>
        <w:tc>
          <w:tcPr>
            <w:tcW w:w="1701" w:type="dxa"/>
          </w:tcPr>
          <w:p>
            <w:pPr>
              <w:rPr>
                <w:rFonts w:ascii="Times New Roman" w:hAnsi="Times New Roman"/>
                <w:color w:val="auto"/>
              </w:rPr>
            </w:pPr>
          </w:p>
        </w:tc>
        <w:tc>
          <w:tcPr>
            <w:tcW w:w="1701" w:type="dxa"/>
          </w:tcPr>
          <w:p>
            <w:pPr>
              <w:rPr>
                <w:rFonts w:ascii="Times New Roman" w:hAnsi="Times New Roman"/>
                <w:color w:val="auto"/>
              </w:rPr>
            </w:pPr>
          </w:p>
        </w:tc>
        <w:tc>
          <w:tcPr>
            <w:tcW w:w="1559" w:type="dxa"/>
          </w:tcPr>
          <w:p>
            <w:pPr>
              <w:rPr>
                <w:rFonts w:ascii="Times New Roman" w:hAnsi="Times New Roman"/>
                <w:color w:val="auto"/>
              </w:rPr>
            </w:pPr>
          </w:p>
        </w:tc>
        <w:tc>
          <w:tcPr>
            <w:tcW w:w="1843" w:type="dxa"/>
          </w:tcPr>
          <w:p>
            <w:pPr>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color w:val="auto"/>
              </w:rPr>
            </w:pPr>
          </w:p>
        </w:tc>
        <w:tc>
          <w:tcPr>
            <w:tcW w:w="1081" w:type="dxa"/>
          </w:tcPr>
          <w:p>
            <w:pPr>
              <w:rPr>
                <w:rFonts w:ascii="Times New Roman" w:hAnsi="Times New Roman"/>
                <w:color w:val="auto"/>
              </w:rPr>
            </w:pPr>
          </w:p>
        </w:tc>
        <w:tc>
          <w:tcPr>
            <w:tcW w:w="1353" w:type="dxa"/>
          </w:tcPr>
          <w:p>
            <w:pPr>
              <w:rPr>
                <w:rFonts w:ascii="Times New Roman" w:hAnsi="Times New Roman"/>
                <w:color w:val="auto"/>
              </w:rPr>
            </w:pPr>
          </w:p>
        </w:tc>
        <w:tc>
          <w:tcPr>
            <w:tcW w:w="1701" w:type="dxa"/>
          </w:tcPr>
          <w:p>
            <w:pPr>
              <w:rPr>
                <w:rFonts w:ascii="Times New Roman" w:hAnsi="Times New Roman"/>
                <w:color w:val="auto"/>
              </w:rPr>
            </w:pPr>
          </w:p>
        </w:tc>
        <w:tc>
          <w:tcPr>
            <w:tcW w:w="1701" w:type="dxa"/>
          </w:tcPr>
          <w:p>
            <w:pPr>
              <w:rPr>
                <w:rFonts w:ascii="Times New Roman" w:hAnsi="Times New Roman"/>
                <w:color w:val="auto"/>
              </w:rPr>
            </w:pPr>
          </w:p>
        </w:tc>
        <w:tc>
          <w:tcPr>
            <w:tcW w:w="1559" w:type="dxa"/>
          </w:tcPr>
          <w:p>
            <w:pPr>
              <w:rPr>
                <w:rFonts w:ascii="Times New Roman" w:hAnsi="Times New Roman"/>
                <w:color w:val="auto"/>
              </w:rPr>
            </w:pPr>
          </w:p>
        </w:tc>
        <w:tc>
          <w:tcPr>
            <w:tcW w:w="1843" w:type="dxa"/>
          </w:tcPr>
          <w:p>
            <w:pPr>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color w:val="auto"/>
              </w:rPr>
            </w:pPr>
          </w:p>
        </w:tc>
        <w:tc>
          <w:tcPr>
            <w:tcW w:w="1081" w:type="dxa"/>
          </w:tcPr>
          <w:p>
            <w:pPr>
              <w:rPr>
                <w:rFonts w:ascii="Times New Roman" w:hAnsi="Times New Roman"/>
                <w:color w:val="auto"/>
              </w:rPr>
            </w:pPr>
          </w:p>
        </w:tc>
        <w:tc>
          <w:tcPr>
            <w:tcW w:w="1353" w:type="dxa"/>
          </w:tcPr>
          <w:p>
            <w:pPr>
              <w:rPr>
                <w:rFonts w:ascii="Times New Roman" w:hAnsi="Times New Roman"/>
                <w:color w:val="auto"/>
              </w:rPr>
            </w:pPr>
          </w:p>
        </w:tc>
        <w:tc>
          <w:tcPr>
            <w:tcW w:w="1701" w:type="dxa"/>
          </w:tcPr>
          <w:p>
            <w:pPr>
              <w:rPr>
                <w:rFonts w:ascii="Times New Roman" w:hAnsi="Times New Roman"/>
                <w:color w:val="auto"/>
              </w:rPr>
            </w:pPr>
          </w:p>
        </w:tc>
        <w:tc>
          <w:tcPr>
            <w:tcW w:w="1701" w:type="dxa"/>
          </w:tcPr>
          <w:p>
            <w:pPr>
              <w:rPr>
                <w:rFonts w:ascii="Times New Roman" w:hAnsi="Times New Roman"/>
                <w:color w:val="auto"/>
              </w:rPr>
            </w:pPr>
          </w:p>
        </w:tc>
        <w:tc>
          <w:tcPr>
            <w:tcW w:w="1559" w:type="dxa"/>
          </w:tcPr>
          <w:p>
            <w:pPr>
              <w:rPr>
                <w:rFonts w:ascii="Times New Roman" w:hAnsi="Times New Roman"/>
                <w:color w:val="auto"/>
              </w:rPr>
            </w:pPr>
          </w:p>
        </w:tc>
        <w:tc>
          <w:tcPr>
            <w:tcW w:w="1843" w:type="dxa"/>
          </w:tcPr>
          <w:p>
            <w:pPr>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color w:val="auto"/>
              </w:rPr>
            </w:pPr>
          </w:p>
        </w:tc>
        <w:tc>
          <w:tcPr>
            <w:tcW w:w="1081" w:type="dxa"/>
          </w:tcPr>
          <w:p>
            <w:pPr>
              <w:rPr>
                <w:rFonts w:ascii="Times New Roman" w:hAnsi="Times New Roman"/>
                <w:color w:val="auto"/>
              </w:rPr>
            </w:pPr>
          </w:p>
        </w:tc>
        <w:tc>
          <w:tcPr>
            <w:tcW w:w="1353" w:type="dxa"/>
          </w:tcPr>
          <w:p>
            <w:pPr>
              <w:rPr>
                <w:rFonts w:ascii="Times New Roman" w:hAnsi="Times New Roman"/>
                <w:color w:val="auto"/>
              </w:rPr>
            </w:pPr>
          </w:p>
        </w:tc>
        <w:tc>
          <w:tcPr>
            <w:tcW w:w="1701" w:type="dxa"/>
          </w:tcPr>
          <w:p>
            <w:pPr>
              <w:rPr>
                <w:rFonts w:ascii="Times New Roman" w:hAnsi="Times New Roman"/>
                <w:color w:val="auto"/>
              </w:rPr>
            </w:pPr>
          </w:p>
        </w:tc>
        <w:tc>
          <w:tcPr>
            <w:tcW w:w="1701" w:type="dxa"/>
          </w:tcPr>
          <w:p>
            <w:pPr>
              <w:rPr>
                <w:rFonts w:ascii="Times New Roman" w:hAnsi="Times New Roman"/>
                <w:color w:val="auto"/>
              </w:rPr>
            </w:pPr>
          </w:p>
        </w:tc>
        <w:tc>
          <w:tcPr>
            <w:tcW w:w="1559" w:type="dxa"/>
          </w:tcPr>
          <w:p>
            <w:pPr>
              <w:rPr>
                <w:rFonts w:ascii="Times New Roman" w:hAnsi="Times New Roman"/>
                <w:color w:val="auto"/>
              </w:rPr>
            </w:pPr>
          </w:p>
        </w:tc>
        <w:tc>
          <w:tcPr>
            <w:tcW w:w="1843" w:type="dxa"/>
          </w:tcPr>
          <w:p>
            <w:pPr>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color w:val="auto"/>
              </w:rPr>
            </w:pPr>
          </w:p>
        </w:tc>
        <w:tc>
          <w:tcPr>
            <w:tcW w:w="1081" w:type="dxa"/>
          </w:tcPr>
          <w:p>
            <w:pPr>
              <w:rPr>
                <w:rFonts w:ascii="Times New Roman" w:hAnsi="Times New Roman"/>
                <w:color w:val="auto"/>
              </w:rPr>
            </w:pPr>
          </w:p>
        </w:tc>
        <w:tc>
          <w:tcPr>
            <w:tcW w:w="1353" w:type="dxa"/>
          </w:tcPr>
          <w:p>
            <w:pPr>
              <w:rPr>
                <w:rFonts w:ascii="Times New Roman" w:hAnsi="Times New Roman"/>
                <w:color w:val="auto"/>
              </w:rPr>
            </w:pPr>
          </w:p>
        </w:tc>
        <w:tc>
          <w:tcPr>
            <w:tcW w:w="1701" w:type="dxa"/>
          </w:tcPr>
          <w:p>
            <w:pPr>
              <w:rPr>
                <w:rFonts w:ascii="Times New Roman" w:hAnsi="Times New Roman"/>
                <w:color w:val="auto"/>
              </w:rPr>
            </w:pPr>
          </w:p>
        </w:tc>
        <w:tc>
          <w:tcPr>
            <w:tcW w:w="1701" w:type="dxa"/>
          </w:tcPr>
          <w:p>
            <w:pPr>
              <w:rPr>
                <w:rFonts w:ascii="Times New Roman" w:hAnsi="Times New Roman"/>
                <w:color w:val="auto"/>
              </w:rPr>
            </w:pPr>
          </w:p>
        </w:tc>
        <w:tc>
          <w:tcPr>
            <w:tcW w:w="1559" w:type="dxa"/>
          </w:tcPr>
          <w:p>
            <w:pPr>
              <w:rPr>
                <w:rFonts w:ascii="Times New Roman" w:hAnsi="Times New Roman"/>
                <w:color w:val="auto"/>
              </w:rPr>
            </w:pPr>
          </w:p>
        </w:tc>
        <w:tc>
          <w:tcPr>
            <w:tcW w:w="1843" w:type="dxa"/>
          </w:tcPr>
          <w:p>
            <w:pPr>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color w:val="auto"/>
              </w:rPr>
            </w:pPr>
          </w:p>
        </w:tc>
        <w:tc>
          <w:tcPr>
            <w:tcW w:w="1081" w:type="dxa"/>
          </w:tcPr>
          <w:p>
            <w:pPr>
              <w:rPr>
                <w:rFonts w:ascii="Times New Roman" w:hAnsi="Times New Roman"/>
                <w:color w:val="auto"/>
              </w:rPr>
            </w:pPr>
          </w:p>
        </w:tc>
        <w:tc>
          <w:tcPr>
            <w:tcW w:w="1353" w:type="dxa"/>
          </w:tcPr>
          <w:p>
            <w:pPr>
              <w:rPr>
                <w:rFonts w:ascii="Times New Roman" w:hAnsi="Times New Roman"/>
                <w:color w:val="auto"/>
              </w:rPr>
            </w:pPr>
          </w:p>
        </w:tc>
        <w:tc>
          <w:tcPr>
            <w:tcW w:w="1701" w:type="dxa"/>
          </w:tcPr>
          <w:p>
            <w:pPr>
              <w:rPr>
                <w:rFonts w:ascii="Times New Roman" w:hAnsi="Times New Roman"/>
                <w:color w:val="auto"/>
              </w:rPr>
            </w:pPr>
          </w:p>
        </w:tc>
        <w:tc>
          <w:tcPr>
            <w:tcW w:w="1701" w:type="dxa"/>
          </w:tcPr>
          <w:p>
            <w:pPr>
              <w:rPr>
                <w:rFonts w:ascii="Times New Roman" w:hAnsi="Times New Roman"/>
                <w:color w:val="auto"/>
              </w:rPr>
            </w:pPr>
          </w:p>
        </w:tc>
        <w:tc>
          <w:tcPr>
            <w:tcW w:w="1559" w:type="dxa"/>
          </w:tcPr>
          <w:p>
            <w:pPr>
              <w:rPr>
                <w:rFonts w:ascii="Times New Roman" w:hAnsi="Times New Roman"/>
                <w:color w:val="auto"/>
              </w:rPr>
            </w:pPr>
          </w:p>
        </w:tc>
        <w:tc>
          <w:tcPr>
            <w:tcW w:w="1843" w:type="dxa"/>
          </w:tcPr>
          <w:p>
            <w:pPr>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color w:val="auto"/>
              </w:rPr>
            </w:pPr>
          </w:p>
        </w:tc>
        <w:tc>
          <w:tcPr>
            <w:tcW w:w="1081" w:type="dxa"/>
          </w:tcPr>
          <w:p>
            <w:pPr>
              <w:rPr>
                <w:rFonts w:ascii="Times New Roman" w:hAnsi="Times New Roman"/>
                <w:color w:val="auto"/>
              </w:rPr>
            </w:pPr>
          </w:p>
        </w:tc>
        <w:tc>
          <w:tcPr>
            <w:tcW w:w="1353" w:type="dxa"/>
          </w:tcPr>
          <w:p>
            <w:pPr>
              <w:rPr>
                <w:rFonts w:ascii="Times New Roman" w:hAnsi="Times New Roman"/>
                <w:color w:val="auto"/>
              </w:rPr>
            </w:pPr>
          </w:p>
        </w:tc>
        <w:tc>
          <w:tcPr>
            <w:tcW w:w="1701" w:type="dxa"/>
          </w:tcPr>
          <w:p>
            <w:pPr>
              <w:rPr>
                <w:rFonts w:ascii="Times New Roman" w:hAnsi="Times New Roman"/>
                <w:color w:val="auto"/>
              </w:rPr>
            </w:pPr>
          </w:p>
        </w:tc>
        <w:tc>
          <w:tcPr>
            <w:tcW w:w="1701" w:type="dxa"/>
          </w:tcPr>
          <w:p>
            <w:pPr>
              <w:rPr>
                <w:rFonts w:ascii="Times New Roman" w:hAnsi="Times New Roman"/>
                <w:color w:val="auto"/>
              </w:rPr>
            </w:pPr>
          </w:p>
        </w:tc>
        <w:tc>
          <w:tcPr>
            <w:tcW w:w="1559" w:type="dxa"/>
          </w:tcPr>
          <w:p>
            <w:pPr>
              <w:rPr>
                <w:rFonts w:ascii="Times New Roman" w:hAnsi="Times New Roman"/>
                <w:color w:val="auto"/>
              </w:rPr>
            </w:pPr>
          </w:p>
        </w:tc>
        <w:tc>
          <w:tcPr>
            <w:tcW w:w="1843" w:type="dxa"/>
          </w:tcPr>
          <w:p>
            <w:pPr>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color w:val="auto"/>
              </w:rPr>
            </w:pPr>
          </w:p>
        </w:tc>
        <w:tc>
          <w:tcPr>
            <w:tcW w:w="1081" w:type="dxa"/>
          </w:tcPr>
          <w:p>
            <w:pPr>
              <w:rPr>
                <w:rFonts w:ascii="Times New Roman" w:hAnsi="Times New Roman"/>
                <w:color w:val="auto"/>
              </w:rPr>
            </w:pPr>
          </w:p>
        </w:tc>
        <w:tc>
          <w:tcPr>
            <w:tcW w:w="1353" w:type="dxa"/>
          </w:tcPr>
          <w:p>
            <w:pPr>
              <w:rPr>
                <w:rFonts w:ascii="Times New Roman" w:hAnsi="Times New Roman"/>
                <w:color w:val="auto"/>
              </w:rPr>
            </w:pPr>
          </w:p>
        </w:tc>
        <w:tc>
          <w:tcPr>
            <w:tcW w:w="1701" w:type="dxa"/>
          </w:tcPr>
          <w:p>
            <w:pPr>
              <w:rPr>
                <w:rFonts w:ascii="Times New Roman" w:hAnsi="Times New Roman"/>
                <w:color w:val="auto"/>
              </w:rPr>
            </w:pPr>
          </w:p>
        </w:tc>
        <w:tc>
          <w:tcPr>
            <w:tcW w:w="1701" w:type="dxa"/>
          </w:tcPr>
          <w:p>
            <w:pPr>
              <w:rPr>
                <w:rFonts w:ascii="Times New Roman" w:hAnsi="Times New Roman"/>
                <w:color w:val="auto"/>
              </w:rPr>
            </w:pPr>
          </w:p>
        </w:tc>
        <w:tc>
          <w:tcPr>
            <w:tcW w:w="1559" w:type="dxa"/>
          </w:tcPr>
          <w:p>
            <w:pPr>
              <w:rPr>
                <w:rFonts w:ascii="Times New Roman" w:hAnsi="Times New Roman"/>
                <w:color w:val="auto"/>
              </w:rPr>
            </w:pPr>
          </w:p>
        </w:tc>
        <w:tc>
          <w:tcPr>
            <w:tcW w:w="1843" w:type="dxa"/>
          </w:tcPr>
          <w:p>
            <w:pPr>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color w:val="auto"/>
              </w:rPr>
            </w:pPr>
          </w:p>
        </w:tc>
        <w:tc>
          <w:tcPr>
            <w:tcW w:w="1081" w:type="dxa"/>
          </w:tcPr>
          <w:p>
            <w:pPr>
              <w:rPr>
                <w:rFonts w:ascii="Times New Roman" w:hAnsi="Times New Roman"/>
                <w:color w:val="auto"/>
              </w:rPr>
            </w:pPr>
          </w:p>
        </w:tc>
        <w:tc>
          <w:tcPr>
            <w:tcW w:w="1353" w:type="dxa"/>
          </w:tcPr>
          <w:p>
            <w:pPr>
              <w:rPr>
                <w:rFonts w:ascii="Times New Roman" w:hAnsi="Times New Roman"/>
                <w:color w:val="auto"/>
              </w:rPr>
            </w:pPr>
          </w:p>
        </w:tc>
        <w:tc>
          <w:tcPr>
            <w:tcW w:w="1701" w:type="dxa"/>
          </w:tcPr>
          <w:p>
            <w:pPr>
              <w:rPr>
                <w:rFonts w:ascii="Times New Roman" w:hAnsi="Times New Roman"/>
                <w:color w:val="auto"/>
              </w:rPr>
            </w:pPr>
          </w:p>
        </w:tc>
        <w:tc>
          <w:tcPr>
            <w:tcW w:w="1701" w:type="dxa"/>
          </w:tcPr>
          <w:p>
            <w:pPr>
              <w:rPr>
                <w:rFonts w:ascii="Times New Roman" w:hAnsi="Times New Roman"/>
                <w:color w:val="auto"/>
              </w:rPr>
            </w:pPr>
          </w:p>
        </w:tc>
        <w:tc>
          <w:tcPr>
            <w:tcW w:w="1559" w:type="dxa"/>
          </w:tcPr>
          <w:p>
            <w:pPr>
              <w:rPr>
                <w:rFonts w:ascii="Times New Roman" w:hAnsi="Times New Roman"/>
                <w:color w:val="auto"/>
              </w:rPr>
            </w:pPr>
          </w:p>
        </w:tc>
        <w:tc>
          <w:tcPr>
            <w:tcW w:w="1843" w:type="dxa"/>
          </w:tcPr>
          <w:p>
            <w:pPr>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color w:val="auto"/>
              </w:rPr>
            </w:pPr>
          </w:p>
        </w:tc>
        <w:tc>
          <w:tcPr>
            <w:tcW w:w="1081" w:type="dxa"/>
          </w:tcPr>
          <w:p>
            <w:pPr>
              <w:rPr>
                <w:rFonts w:ascii="Times New Roman" w:hAnsi="Times New Roman"/>
                <w:color w:val="auto"/>
              </w:rPr>
            </w:pPr>
          </w:p>
        </w:tc>
        <w:tc>
          <w:tcPr>
            <w:tcW w:w="1353" w:type="dxa"/>
          </w:tcPr>
          <w:p>
            <w:pPr>
              <w:rPr>
                <w:rFonts w:ascii="Times New Roman" w:hAnsi="Times New Roman"/>
                <w:color w:val="auto"/>
              </w:rPr>
            </w:pPr>
          </w:p>
        </w:tc>
        <w:tc>
          <w:tcPr>
            <w:tcW w:w="1701" w:type="dxa"/>
          </w:tcPr>
          <w:p>
            <w:pPr>
              <w:rPr>
                <w:rFonts w:ascii="Times New Roman" w:hAnsi="Times New Roman"/>
                <w:color w:val="auto"/>
              </w:rPr>
            </w:pPr>
          </w:p>
        </w:tc>
        <w:tc>
          <w:tcPr>
            <w:tcW w:w="1701" w:type="dxa"/>
          </w:tcPr>
          <w:p>
            <w:pPr>
              <w:rPr>
                <w:rFonts w:ascii="Times New Roman" w:hAnsi="Times New Roman"/>
                <w:color w:val="auto"/>
              </w:rPr>
            </w:pPr>
          </w:p>
        </w:tc>
        <w:tc>
          <w:tcPr>
            <w:tcW w:w="1559" w:type="dxa"/>
          </w:tcPr>
          <w:p>
            <w:pPr>
              <w:rPr>
                <w:rFonts w:ascii="Times New Roman" w:hAnsi="Times New Roman"/>
                <w:color w:val="auto"/>
              </w:rPr>
            </w:pPr>
          </w:p>
        </w:tc>
        <w:tc>
          <w:tcPr>
            <w:tcW w:w="1843" w:type="dxa"/>
          </w:tcPr>
          <w:p>
            <w:pPr>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color w:val="auto"/>
              </w:rPr>
            </w:pPr>
          </w:p>
        </w:tc>
        <w:tc>
          <w:tcPr>
            <w:tcW w:w="1081" w:type="dxa"/>
          </w:tcPr>
          <w:p>
            <w:pPr>
              <w:rPr>
                <w:rFonts w:ascii="Times New Roman" w:hAnsi="Times New Roman"/>
                <w:color w:val="auto"/>
              </w:rPr>
            </w:pPr>
          </w:p>
        </w:tc>
        <w:tc>
          <w:tcPr>
            <w:tcW w:w="1353" w:type="dxa"/>
          </w:tcPr>
          <w:p>
            <w:pPr>
              <w:rPr>
                <w:rFonts w:ascii="Times New Roman" w:hAnsi="Times New Roman"/>
                <w:color w:val="auto"/>
              </w:rPr>
            </w:pPr>
          </w:p>
        </w:tc>
        <w:tc>
          <w:tcPr>
            <w:tcW w:w="1701" w:type="dxa"/>
          </w:tcPr>
          <w:p>
            <w:pPr>
              <w:rPr>
                <w:rFonts w:ascii="Times New Roman" w:hAnsi="Times New Roman"/>
                <w:color w:val="auto"/>
              </w:rPr>
            </w:pPr>
          </w:p>
        </w:tc>
        <w:tc>
          <w:tcPr>
            <w:tcW w:w="1701" w:type="dxa"/>
          </w:tcPr>
          <w:p>
            <w:pPr>
              <w:rPr>
                <w:rFonts w:ascii="Times New Roman" w:hAnsi="Times New Roman"/>
                <w:color w:val="auto"/>
              </w:rPr>
            </w:pPr>
          </w:p>
        </w:tc>
        <w:tc>
          <w:tcPr>
            <w:tcW w:w="1559" w:type="dxa"/>
          </w:tcPr>
          <w:p>
            <w:pPr>
              <w:rPr>
                <w:rFonts w:ascii="Times New Roman" w:hAnsi="Times New Roman"/>
                <w:color w:val="auto"/>
              </w:rPr>
            </w:pPr>
          </w:p>
        </w:tc>
        <w:tc>
          <w:tcPr>
            <w:tcW w:w="1843" w:type="dxa"/>
          </w:tcPr>
          <w:p>
            <w:pPr>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color w:val="auto"/>
              </w:rPr>
            </w:pPr>
          </w:p>
        </w:tc>
        <w:tc>
          <w:tcPr>
            <w:tcW w:w="1081" w:type="dxa"/>
          </w:tcPr>
          <w:p>
            <w:pPr>
              <w:rPr>
                <w:rFonts w:ascii="Times New Roman" w:hAnsi="Times New Roman"/>
                <w:color w:val="auto"/>
              </w:rPr>
            </w:pPr>
          </w:p>
        </w:tc>
        <w:tc>
          <w:tcPr>
            <w:tcW w:w="1353" w:type="dxa"/>
          </w:tcPr>
          <w:p>
            <w:pPr>
              <w:rPr>
                <w:rFonts w:ascii="Times New Roman" w:hAnsi="Times New Roman"/>
                <w:color w:val="auto"/>
              </w:rPr>
            </w:pPr>
          </w:p>
        </w:tc>
        <w:tc>
          <w:tcPr>
            <w:tcW w:w="1701" w:type="dxa"/>
          </w:tcPr>
          <w:p>
            <w:pPr>
              <w:rPr>
                <w:rFonts w:ascii="Times New Roman" w:hAnsi="Times New Roman"/>
                <w:color w:val="auto"/>
              </w:rPr>
            </w:pPr>
          </w:p>
        </w:tc>
        <w:tc>
          <w:tcPr>
            <w:tcW w:w="1701" w:type="dxa"/>
          </w:tcPr>
          <w:p>
            <w:pPr>
              <w:rPr>
                <w:rFonts w:ascii="Times New Roman" w:hAnsi="Times New Roman"/>
                <w:color w:val="auto"/>
              </w:rPr>
            </w:pPr>
          </w:p>
        </w:tc>
        <w:tc>
          <w:tcPr>
            <w:tcW w:w="1559" w:type="dxa"/>
          </w:tcPr>
          <w:p>
            <w:pPr>
              <w:rPr>
                <w:rFonts w:ascii="Times New Roman" w:hAnsi="Times New Roman"/>
                <w:color w:val="auto"/>
              </w:rPr>
            </w:pPr>
          </w:p>
        </w:tc>
        <w:tc>
          <w:tcPr>
            <w:tcW w:w="1843" w:type="dxa"/>
          </w:tcPr>
          <w:p>
            <w:pPr>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color w:val="auto"/>
              </w:rPr>
            </w:pPr>
          </w:p>
        </w:tc>
        <w:tc>
          <w:tcPr>
            <w:tcW w:w="1081" w:type="dxa"/>
          </w:tcPr>
          <w:p>
            <w:pPr>
              <w:rPr>
                <w:rFonts w:ascii="Times New Roman" w:hAnsi="Times New Roman"/>
                <w:color w:val="auto"/>
              </w:rPr>
            </w:pPr>
          </w:p>
        </w:tc>
        <w:tc>
          <w:tcPr>
            <w:tcW w:w="1353" w:type="dxa"/>
          </w:tcPr>
          <w:p>
            <w:pPr>
              <w:rPr>
                <w:rFonts w:ascii="Times New Roman" w:hAnsi="Times New Roman"/>
                <w:color w:val="auto"/>
              </w:rPr>
            </w:pPr>
          </w:p>
        </w:tc>
        <w:tc>
          <w:tcPr>
            <w:tcW w:w="1701" w:type="dxa"/>
          </w:tcPr>
          <w:p>
            <w:pPr>
              <w:rPr>
                <w:rFonts w:ascii="Times New Roman" w:hAnsi="Times New Roman"/>
                <w:color w:val="auto"/>
              </w:rPr>
            </w:pPr>
          </w:p>
        </w:tc>
        <w:tc>
          <w:tcPr>
            <w:tcW w:w="1701" w:type="dxa"/>
          </w:tcPr>
          <w:p>
            <w:pPr>
              <w:rPr>
                <w:rFonts w:ascii="Times New Roman" w:hAnsi="Times New Roman"/>
                <w:color w:val="auto"/>
              </w:rPr>
            </w:pPr>
          </w:p>
        </w:tc>
        <w:tc>
          <w:tcPr>
            <w:tcW w:w="1559" w:type="dxa"/>
          </w:tcPr>
          <w:p>
            <w:pPr>
              <w:rPr>
                <w:rFonts w:ascii="Times New Roman" w:hAnsi="Times New Roman"/>
                <w:color w:val="auto"/>
              </w:rPr>
            </w:pPr>
          </w:p>
        </w:tc>
        <w:tc>
          <w:tcPr>
            <w:tcW w:w="1843" w:type="dxa"/>
          </w:tcPr>
          <w:p>
            <w:pPr>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color w:val="auto"/>
              </w:rPr>
            </w:pPr>
          </w:p>
        </w:tc>
        <w:tc>
          <w:tcPr>
            <w:tcW w:w="1081" w:type="dxa"/>
          </w:tcPr>
          <w:p>
            <w:pPr>
              <w:rPr>
                <w:rFonts w:ascii="Times New Roman" w:hAnsi="Times New Roman"/>
                <w:color w:val="auto"/>
              </w:rPr>
            </w:pPr>
          </w:p>
        </w:tc>
        <w:tc>
          <w:tcPr>
            <w:tcW w:w="1353" w:type="dxa"/>
          </w:tcPr>
          <w:p>
            <w:pPr>
              <w:rPr>
                <w:rFonts w:ascii="Times New Roman" w:hAnsi="Times New Roman"/>
                <w:color w:val="auto"/>
              </w:rPr>
            </w:pPr>
          </w:p>
        </w:tc>
        <w:tc>
          <w:tcPr>
            <w:tcW w:w="1701" w:type="dxa"/>
          </w:tcPr>
          <w:p>
            <w:pPr>
              <w:rPr>
                <w:rFonts w:ascii="Times New Roman" w:hAnsi="Times New Roman"/>
                <w:color w:val="auto"/>
              </w:rPr>
            </w:pPr>
          </w:p>
        </w:tc>
        <w:tc>
          <w:tcPr>
            <w:tcW w:w="1701" w:type="dxa"/>
          </w:tcPr>
          <w:p>
            <w:pPr>
              <w:rPr>
                <w:rFonts w:ascii="Times New Roman" w:hAnsi="Times New Roman"/>
                <w:color w:val="auto"/>
              </w:rPr>
            </w:pPr>
          </w:p>
        </w:tc>
        <w:tc>
          <w:tcPr>
            <w:tcW w:w="1559" w:type="dxa"/>
          </w:tcPr>
          <w:p>
            <w:pPr>
              <w:rPr>
                <w:rFonts w:ascii="Times New Roman" w:hAnsi="Times New Roman"/>
                <w:color w:val="auto"/>
              </w:rPr>
            </w:pPr>
          </w:p>
        </w:tc>
        <w:tc>
          <w:tcPr>
            <w:tcW w:w="1843" w:type="dxa"/>
          </w:tcPr>
          <w:p>
            <w:pPr>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color w:val="auto"/>
              </w:rPr>
            </w:pPr>
          </w:p>
        </w:tc>
        <w:tc>
          <w:tcPr>
            <w:tcW w:w="1081" w:type="dxa"/>
          </w:tcPr>
          <w:p>
            <w:pPr>
              <w:rPr>
                <w:rFonts w:ascii="Times New Roman" w:hAnsi="Times New Roman"/>
                <w:color w:val="auto"/>
              </w:rPr>
            </w:pPr>
          </w:p>
        </w:tc>
        <w:tc>
          <w:tcPr>
            <w:tcW w:w="1353" w:type="dxa"/>
          </w:tcPr>
          <w:p>
            <w:pPr>
              <w:rPr>
                <w:rFonts w:ascii="Times New Roman" w:hAnsi="Times New Roman"/>
                <w:color w:val="auto"/>
              </w:rPr>
            </w:pPr>
          </w:p>
        </w:tc>
        <w:tc>
          <w:tcPr>
            <w:tcW w:w="1701" w:type="dxa"/>
          </w:tcPr>
          <w:p>
            <w:pPr>
              <w:rPr>
                <w:rFonts w:ascii="Times New Roman" w:hAnsi="Times New Roman"/>
                <w:color w:val="auto"/>
              </w:rPr>
            </w:pPr>
          </w:p>
        </w:tc>
        <w:tc>
          <w:tcPr>
            <w:tcW w:w="1701" w:type="dxa"/>
          </w:tcPr>
          <w:p>
            <w:pPr>
              <w:rPr>
                <w:rFonts w:ascii="Times New Roman" w:hAnsi="Times New Roman"/>
                <w:color w:val="auto"/>
              </w:rPr>
            </w:pPr>
          </w:p>
        </w:tc>
        <w:tc>
          <w:tcPr>
            <w:tcW w:w="1559" w:type="dxa"/>
          </w:tcPr>
          <w:p>
            <w:pPr>
              <w:rPr>
                <w:rFonts w:ascii="Times New Roman" w:hAnsi="Times New Roman"/>
                <w:color w:val="auto"/>
              </w:rPr>
            </w:pPr>
          </w:p>
        </w:tc>
        <w:tc>
          <w:tcPr>
            <w:tcW w:w="1843" w:type="dxa"/>
          </w:tcPr>
          <w:p>
            <w:pPr>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color w:val="auto"/>
              </w:rPr>
            </w:pPr>
          </w:p>
        </w:tc>
        <w:tc>
          <w:tcPr>
            <w:tcW w:w="1081" w:type="dxa"/>
          </w:tcPr>
          <w:p>
            <w:pPr>
              <w:rPr>
                <w:rFonts w:ascii="Times New Roman" w:hAnsi="Times New Roman"/>
                <w:color w:val="auto"/>
              </w:rPr>
            </w:pPr>
          </w:p>
        </w:tc>
        <w:tc>
          <w:tcPr>
            <w:tcW w:w="1353" w:type="dxa"/>
          </w:tcPr>
          <w:p>
            <w:pPr>
              <w:rPr>
                <w:rFonts w:ascii="Times New Roman" w:hAnsi="Times New Roman"/>
                <w:color w:val="auto"/>
              </w:rPr>
            </w:pPr>
          </w:p>
        </w:tc>
        <w:tc>
          <w:tcPr>
            <w:tcW w:w="1701" w:type="dxa"/>
          </w:tcPr>
          <w:p>
            <w:pPr>
              <w:rPr>
                <w:rFonts w:ascii="Times New Roman" w:hAnsi="Times New Roman"/>
                <w:color w:val="auto"/>
              </w:rPr>
            </w:pPr>
          </w:p>
        </w:tc>
        <w:tc>
          <w:tcPr>
            <w:tcW w:w="1701" w:type="dxa"/>
          </w:tcPr>
          <w:p>
            <w:pPr>
              <w:rPr>
                <w:rFonts w:ascii="Times New Roman" w:hAnsi="Times New Roman"/>
                <w:color w:val="auto"/>
              </w:rPr>
            </w:pPr>
          </w:p>
        </w:tc>
        <w:tc>
          <w:tcPr>
            <w:tcW w:w="1559" w:type="dxa"/>
          </w:tcPr>
          <w:p>
            <w:pPr>
              <w:rPr>
                <w:rFonts w:ascii="Times New Roman" w:hAnsi="Times New Roman"/>
                <w:color w:val="auto"/>
              </w:rPr>
            </w:pPr>
          </w:p>
        </w:tc>
        <w:tc>
          <w:tcPr>
            <w:tcW w:w="1843" w:type="dxa"/>
          </w:tcPr>
          <w:p>
            <w:pPr>
              <w:rPr>
                <w:rFonts w:ascii="Times New Roman" w:hAnsi="Times New Roman"/>
                <w:color w:val="auto"/>
              </w:rPr>
            </w:pPr>
          </w:p>
        </w:tc>
      </w:tr>
    </w:tbl>
    <w:p>
      <w:pPr>
        <w:pStyle w:val="54"/>
        <w:widowControl w:val="0"/>
        <w:adjustRightInd/>
        <w:spacing w:before="120" w:beforeLines="50" w:after="240" w:afterLines="100"/>
        <w:rPr>
          <w:rFonts w:ascii="Times New Roman" w:hAnsi="Times New Roman"/>
          <w:iCs/>
          <w:color w:val="auto"/>
          <w:sz w:val="18"/>
          <w:szCs w:val="18"/>
        </w:rPr>
      </w:pPr>
      <w:r>
        <w:rPr>
          <w:rFonts w:ascii="Times New Roman" w:hAnsi="Times New Roman"/>
          <w:iCs/>
          <w:color w:val="auto"/>
          <w:sz w:val="18"/>
          <w:szCs w:val="18"/>
        </w:rPr>
        <w:t>注：企业多场点的，按场点分别填写。</w:t>
      </w:r>
    </w:p>
    <w:p>
      <w:pPr>
        <w:pStyle w:val="54"/>
        <w:widowControl w:val="0"/>
        <w:adjustRightInd/>
        <w:spacing w:before="120" w:beforeLines="50" w:after="240" w:afterLines="100"/>
        <w:rPr>
          <w:rFonts w:ascii="Times New Roman" w:hAnsi="Times New Roman"/>
          <w:iCs/>
          <w:color w:val="auto"/>
          <w:sz w:val="18"/>
          <w:szCs w:val="18"/>
        </w:rPr>
        <w:sectPr>
          <w:pgSz w:w="11906" w:h="16838"/>
          <w:pgMar w:top="1418" w:right="1417" w:bottom="1418" w:left="1417" w:header="851" w:footer="992" w:gutter="0"/>
          <w:cols w:space="720" w:num="1"/>
          <w:docGrid w:linePitch="1" w:charSpace="0"/>
        </w:sectPr>
      </w:pPr>
    </w:p>
    <w:p>
      <w:pPr>
        <w:snapToGrid w:val="0"/>
        <w:spacing w:line="360" w:lineRule="auto"/>
        <w:ind w:left="2716" w:hanging="2716"/>
        <w:outlineLvl w:val="0"/>
        <w:rPr>
          <w:rFonts w:ascii="Times New Roman" w:hAnsi="Times New Roman"/>
          <w:color w:val="auto"/>
          <w:sz w:val="28"/>
          <w:szCs w:val="28"/>
        </w:rPr>
      </w:pPr>
      <w:r>
        <w:rPr>
          <w:rFonts w:ascii="Times New Roman" w:hAnsi="Times New Roman"/>
          <w:color w:val="auto"/>
          <w:sz w:val="28"/>
          <w:szCs w:val="28"/>
        </w:rPr>
        <w:t>附件2-4</w:t>
      </w:r>
    </w:p>
    <w:p>
      <w:pPr>
        <w:snapToGrid w:val="0"/>
        <w:spacing w:after="192" w:line="380" w:lineRule="exact"/>
        <w:jc w:val="center"/>
        <w:rPr>
          <w:rFonts w:ascii="Times New Roman" w:hAnsi="Times New Roman"/>
          <w:b/>
          <w:color w:val="auto"/>
          <w:sz w:val="28"/>
          <w:szCs w:val="28"/>
        </w:rPr>
      </w:pPr>
      <w:r>
        <w:rPr>
          <w:rFonts w:ascii="Times New Roman" w:hAnsi="Times New Roman"/>
          <w:b/>
          <w:color w:val="auto"/>
          <w:sz w:val="28"/>
          <w:szCs w:val="28"/>
        </w:rPr>
        <w:t>主要生产设备表</w:t>
      </w:r>
    </w:p>
    <w:tbl>
      <w:tblPr>
        <w:tblStyle w:val="37"/>
        <w:tblW w:w="14894" w:type="dxa"/>
        <w:jc w:val="center"/>
        <w:tblLayout w:type="fixed"/>
        <w:tblCellMar>
          <w:top w:w="0" w:type="dxa"/>
          <w:left w:w="108" w:type="dxa"/>
          <w:bottom w:w="0" w:type="dxa"/>
          <w:right w:w="108" w:type="dxa"/>
        </w:tblCellMar>
      </w:tblPr>
      <w:tblGrid>
        <w:gridCol w:w="746"/>
        <w:gridCol w:w="1248"/>
        <w:gridCol w:w="1843"/>
        <w:gridCol w:w="1843"/>
        <w:gridCol w:w="1843"/>
        <w:gridCol w:w="1842"/>
        <w:gridCol w:w="2552"/>
        <w:gridCol w:w="1559"/>
        <w:gridCol w:w="1418"/>
      </w:tblGrid>
      <w:tr>
        <w:tblPrEx>
          <w:tblCellMar>
            <w:top w:w="0" w:type="dxa"/>
            <w:left w:w="108" w:type="dxa"/>
            <w:bottom w:w="0" w:type="dxa"/>
            <w:right w:w="108" w:type="dxa"/>
          </w:tblCellMar>
        </w:tblPrEx>
        <w:trPr>
          <w:trHeight w:val="567" w:hRule="atLeas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auto"/>
              </w:rPr>
            </w:pPr>
            <w:r>
              <w:rPr>
                <w:rFonts w:ascii="Times New Roman" w:hAnsi="Times New Roman"/>
                <w:b/>
                <w:color w:val="auto"/>
              </w:rPr>
              <w:t>序号</w:t>
            </w: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auto"/>
              </w:rPr>
            </w:pPr>
            <w:r>
              <w:rPr>
                <w:rFonts w:ascii="Times New Roman" w:hAnsi="Times New Roman"/>
                <w:b/>
                <w:color w:val="auto"/>
              </w:rPr>
              <w:t>产品单元</w:t>
            </w: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auto"/>
              </w:rPr>
            </w:pPr>
            <w:r>
              <w:rPr>
                <w:rFonts w:ascii="Times New Roman" w:hAnsi="Times New Roman"/>
                <w:b/>
                <w:color w:val="auto"/>
              </w:rPr>
              <w:t>复肥种类</w:t>
            </w: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auto"/>
              </w:rPr>
            </w:pPr>
            <w:r>
              <w:rPr>
                <w:rFonts w:ascii="Times New Roman" w:hAnsi="Times New Roman"/>
                <w:b/>
                <w:color w:val="auto"/>
              </w:rPr>
              <w:t>生产设备名称</w:t>
            </w: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auto"/>
              </w:rPr>
            </w:pPr>
            <w:r>
              <w:rPr>
                <w:rFonts w:ascii="Times New Roman" w:hAnsi="Times New Roman"/>
                <w:b/>
                <w:color w:val="auto"/>
              </w:rPr>
              <w:t>规格型号</w:t>
            </w: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auto"/>
              </w:rPr>
            </w:pPr>
            <w:r>
              <w:rPr>
                <w:rFonts w:ascii="Times New Roman" w:hAnsi="Times New Roman"/>
                <w:b/>
                <w:color w:val="auto"/>
              </w:rPr>
              <w:t>出厂编号</w:t>
            </w:r>
          </w:p>
        </w:tc>
        <w:tc>
          <w:tcPr>
            <w:tcW w:w="25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auto"/>
              </w:rPr>
            </w:pPr>
            <w:r>
              <w:rPr>
                <w:rFonts w:ascii="Times New Roman" w:hAnsi="Times New Roman"/>
                <w:b/>
                <w:color w:val="auto"/>
              </w:rPr>
              <w:t>使用场所（放置位置）及所在生产线</w:t>
            </w: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auto"/>
              </w:rPr>
            </w:pPr>
            <w:r>
              <w:rPr>
                <w:rFonts w:ascii="Times New Roman" w:hAnsi="Times New Roman"/>
                <w:b/>
                <w:color w:val="auto"/>
              </w:rPr>
              <w:t>生产厂家</w:t>
            </w: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auto"/>
              </w:rPr>
            </w:pPr>
            <w:r>
              <w:rPr>
                <w:rFonts w:ascii="Times New Roman" w:hAnsi="Times New Roman"/>
                <w:b/>
                <w:color w:val="auto"/>
              </w:rPr>
              <w:t>备注</w:t>
            </w: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5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auto"/>
              </w:rPr>
            </w:pP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5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auto"/>
              </w:rPr>
            </w:pP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5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auto"/>
              </w:rPr>
            </w:pP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5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auto"/>
              </w:rPr>
            </w:pP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5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auto"/>
              </w:rPr>
            </w:pP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5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auto"/>
              </w:rPr>
            </w:pP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5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auto"/>
              </w:rPr>
            </w:pP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5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auto"/>
              </w:rPr>
            </w:pP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5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auto"/>
              </w:rPr>
            </w:pP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5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auto"/>
              </w:rPr>
            </w:pPr>
          </w:p>
        </w:tc>
      </w:tr>
    </w:tbl>
    <w:p>
      <w:pPr>
        <w:pStyle w:val="54"/>
        <w:widowControl w:val="0"/>
        <w:adjustRightInd/>
        <w:spacing w:before="120" w:beforeLines="50" w:after="240" w:afterLines="100"/>
        <w:rPr>
          <w:rFonts w:ascii="Times New Roman" w:hAnsi="Times New Roman"/>
          <w:iCs/>
          <w:color w:val="auto"/>
          <w:sz w:val="18"/>
          <w:szCs w:val="18"/>
        </w:rPr>
      </w:pPr>
      <w:r>
        <w:rPr>
          <w:rFonts w:ascii="Times New Roman" w:hAnsi="Times New Roman"/>
          <w:iCs/>
          <w:color w:val="auto"/>
          <w:sz w:val="18"/>
          <w:szCs w:val="18"/>
        </w:rPr>
        <w:t>注：企业多场点的，应按照场点分别填写，并在备注中注明生产场点。</w:t>
      </w:r>
      <w:r>
        <w:rPr>
          <w:rFonts w:ascii="Times New Roman" w:hAnsi="Times New Roman"/>
          <w:iCs/>
          <w:color w:val="auto"/>
          <w:sz w:val="18"/>
          <w:szCs w:val="18"/>
        </w:rPr>
        <w:br w:type="page"/>
      </w:r>
    </w:p>
    <w:p>
      <w:pPr>
        <w:pStyle w:val="4"/>
        <w:spacing w:line="360" w:lineRule="auto"/>
        <w:ind w:left="2716" w:hanging="2716"/>
        <w:outlineLvl w:val="0"/>
        <w:rPr>
          <w:rFonts w:eastAsia="宋体"/>
          <w:b w:val="0"/>
          <w:color w:val="auto"/>
          <w:sz w:val="28"/>
          <w:szCs w:val="28"/>
        </w:rPr>
      </w:pPr>
      <w:bookmarkStart w:id="49" w:name="_Toc178002564"/>
      <w:r>
        <w:rPr>
          <w:rFonts w:eastAsia="宋体"/>
          <w:b w:val="0"/>
          <w:color w:val="auto"/>
          <w:sz w:val="28"/>
          <w:szCs w:val="28"/>
        </w:rPr>
        <w:t>附件2-5</w:t>
      </w:r>
      <w:bookmarkEnd w:id="49"/>
    </w:p>
    <w:p>
      <w:pPr>
        <w:snapToGrid w:val="0"/>
        <w:jc w:val="center"/>
        <w:rPr>
          <w:rFonts w:ascii="Times New Roman" w:hAnsi="Times New Roman"/>
          <w:b/>
          <w:color w:val="auto"/>
          <w:sz w:val="28"/>
          <w:szCs w:val="28"/>
        </w:rPr>
      </w:pPr>
      <w:r>
        <w:rPr>
          <w:rFonts w:ascii="Times New Roman" w:hAnsi="Times New Roman"/>
          <w:b/>
          <w:color w:val="auto"/>
          <w:sz w:val="28"/>
          <w:szCs w:val="28"/>
        </w:rPr>
        <w:t>主要检验检测设备表</w:t>
      </w:r>
    </w:p>
    <w:tbl>
      <w:tblPr>
        <w:tblStyle w:val="37"/>
        <w:tblW w:w="15185" w:type="dxa"/>
        <w:jc w:val="center"/>
        <w:tblLayout w:type="fixed"/>
        <w:tblCellMar>
          <w:top w:w="0" w:type="dxa"/>
          <w:left w:w="108" w:type="dxa"/>
          <w:bottom w:w="0" w:type="dxa"/>
          <w:right w:w="108" w:type="dxa"/>
        </w:tblCellMar>
      </w:tblPr>
      <w:tblGrid>
        <w:gridCol w:w="714"/>
        <w:gridCol w:w="1384"/>
        <w:gridCol w:w="2149"/>
        <w:gridCol w:w="2149"/>
        <w:gridCol w:w="1701"/>
        <w:gridCol w:w="2127"/>
        <w:gridCol w:w="1842"/>
        <w:gridCol w:w="1843"/>
        <w:gridCol w:w="1276"/>
      </w:tblGrid>
      <w:tr>
        <w:tblPrEx>
          <w:tblCellMar>
            <w:top w:w="0" w:type="dxa"/>
            <w:left w:w="108" w:type="dxa"/>
            <w:bottom w:w="0" w:type="dxa"/>
            <w:right w:w="108" w:type="dxa"/>
          </w:tblCellMar>
        </w:tblPrEx>
        <w:trPr>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auto"/>
              </w:rPr>
            </w:pPr>
            <w:r>
              <w:rPr>
                <w:rFonts w:ascii="Times New Roman" w:hAnsi="Times New Roman"/>
                <w:b/>
                <w:color w:val="auto"/>
              </w:rPr>
              <w:t>序号</w:t>
            </w:r>
          </w:p>
        </w:tc>
        <w:tc>
          <w:tcPr>
            <w:tcW w:w="1384" w:type="dxa"/>
            <w:tcBorders>
              <w:top w:val="single" w:color="000000" w:sz="4" w:space="0"/>
              <w:left w:val="single" w:color="000000" w:sz="4" w:space="0"/>
              <w:right w:val="single" w:color="000000" w:sz="4" w:space="0"/>
            </w:tcBorders>
            <w:vAlign w:val="center"/>
          </w:tcPr>
          <w:p>
            <w:pPr>
              <w:snapToGrid w:val="0"/>
              <w:jc w:val="center"/>
              <w:rPr>
                <w:rFonts w:ascii="Times New Roman" w:hAnsi="Times New Roman"/>
                <w:color w:val="auto"/>
              </w:rPr>
            </w:pPr>
            <w:r>
              <w:rPr>
                <w:rFonts w:ascii="Times New Roman" w:hAnsi="Times New Roman"/>
                <w:b/>
                <w:color w:val="auto"/>
              </w:rPr>
              <w:t>产品单元</w:t>
            </w:r>
          </w:p>
        </w:tc>
        <w:tc>
          <w:tcPr>
            <w:tcW w:w="2149" w:type="dxa"/>
            <w:tcBorders>
              <w:top w:val="single" w:color="000000" w:sz="4" w:space="0"/>
              <w:left w:val="single" w:color="000000" w:sz="4" w:space="0"/>
              <w:right w:val="single" w:color="000000" w:sz="4" w:space="0"/>
            </w:tcBorders>
            <w:vAlign w:val="center"/>
          </w:tcPr>
          <w:p>
            <w:pPr>
              <w:snapToGrid w:val="0"/>
              <w:jc w:val="center"/>
              <w:rPr>
                <w:rFonts w:ascii="Times New Roman" w:hAnsi="Times New Roman"/>
                <w:b/>
                <w:color w:val="auto"/>
              </w:rPr>
            </w:pPr>
            <w:r>
              <w:rPr>
                <w:rFonts w:ascii="Times New Roman" w:hAnsi="Times New Roman"/>
                <w:b/>
                <w:color w:val="auto"/>
              </w:rPr>
              <w:t>复肥种类</w:t>
            </w: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auto"/>
              </w:rPr>
            </w:pPr>
            <w:r>
              <w:rPr>
                <w:rFonts w:ascii="Times New Roman" w:hAnsi="Times New Roman"/>
                <w:b/>
                <w:color w:val="auto"/>
              </w:rPr>
              <w:t>检验检测设备名称</w:t>
            </w: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auto"/>
              </w:rPr>
            </w:pPr>
            <w:r>
              <w:rPr>
                <w:rFonts w:ascii="Times New Roman" w:hAnsi="Times New Roman"/>
                <w:b/>
                <w:color w:val="auto"/>
              </w:rPr>
              <w:t>规格型号</w:t>
            </w:r>
          </w:p>
        </w:tc>
        <w:tc>
          <w:tcPr>
            <w:tcW w:w="2127"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b/>
                <w:color w:val="auto"/>
              </w:rPr>
            </w:pPr>
            <w:r>
              <w:rPr>
                <w:rFonts w:ascii="Times New Roman" w:hAnsi="Times New Roman"/>
                <w:b/>
                <w:color w:val="auto"/>
              </w:rPr>
              <w:t>生产厂家</w:t>
            </w:r>
          </w:p>
        </w:tc>
        <w:tc>
          <w:tcPr>
            <w:tcW w:w="1842"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b/>
                <w:color w:val="auto"/>
              </w:rPr>
            </w:pPr>
            <w:r>
              <w:rPr>
                <w:rFonts w:ascii="Times New Roman" w:hAnsi="Times New Roman"/>
                <w:b/>
                <w:color w:val="auto"/>
              </w:rPr>
              <w:t>出厂编号</w:t>
            </w: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auto"/>
              </w:rPr>
            </w:pPr>
            <w:r>
              <w:rPr>
                <w:rFonts w:ascii="Times New Roman" w:hAnsi="Times New Roman"/>
                <w:b/>
                <w:color w:val="auto"/>
              </w:rPr>
              <w:t>精度或测量范围</w:t>
            </w: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auto"/>
              </w:rPr>
            </w:pPr>
            <w:r>
              <w:rPr>
                <w:rFonts w:ascii="Times New Roman" w:hAnsi="Times New Roman"/>
                <w:b/>
                <w:color w:val="auto"/>
              </w:rPr>
              <w:t>备注</w:t>
            </w: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12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auto"/>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12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auto"/>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12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auto"/>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12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auto"/>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12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auto"/>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12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auto"/>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12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auto"/>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12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auto"/>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12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auto"/>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212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auto"/>
              </w:rPr>
            </w:pPr>
          </w:p>
        </w:tc>
      </w:tr>
    </w:tbl>
    <w:p>
      <w:pPr>
        <w:pStyle w:val="54"/>
        <w:widowControl w:val="0"/>
        <w:adjustRightInd/>
        <w:spacing w:before="120" w:beforeLines="50" w:after="240" w:afterLines="100"/>
        <w:rPr>
          <w:rFonts w:ascii="Times New Roman" w:hAnsi="Times New Roman"/>
          <w:iCs/>
          <w:color w:val="auto"/>
          <w:sz w:val="18"/>
          <w:szCs w:val="18"/>
        </w:rPr>
      </w:pPr>
      <w:r>
        <w:rPr>
          <w:rFonts w:ascii="Times New Roman" w:hAnsi="Times New Roman"/>
          <w:iCs/>
          <w:color w:val="auto"/>
          <w:sz w:val="18"/>
          <w:szCs w:val="18"/>
        </w:rPr>
        <w:t>注：企业多场点的，应按照场点分别填写，并在备注中标明生产场点。</w:t>
      </w:r>
    </w:p>
    <w:p>
      <w:pPr>
        <w:pStyle w:val="54"/>
        <w:widowControl w:val="0"/>
        <w:adjustRightInd/>
        <w:spacing w:before="120" w:beforeLines="50" w:after="240" w:afterLines="100"/>
        <w:rPr>
          <w:rFonts w:ascii="Times New Roman" w:hAnsi="Times New Roman"/>
          <w:iCs/>
          <w:color w:val="auto"/>
          <w:sz w:val="18"/>
          <w:szCs w:val="18"/>
        </w:rPr>
        <w:sectPr>
          <w:pgSz w:w="16838" w:h="11906" w:orient="landscape"/>
          <w:pgMar w:top="1418" w:right="1418" w:bottom="1418" w:left="1418" w:header="851" w:footer="992" w:gutter="0"/>
          <w:cols w:space="720" w:num="1"/>
          <w:docGrid w:linePitch="360" w:charSpace="6144"/>
        </w:sectPr>
      </w:pPr>
    </w:p>
    <w:p>
      <w:pPr>
        <w:snapToGrid w:val="0"/>
        <w:spacing w:line="360" w:lineRule="auto"/>
        <w:ind w:left="2716" w:hanging="2716"/>
        <w:outlineLvl w:val="0"/>
        <w:rPr>
          <w:rFonts w:ascii="Times New Roman" w:hAnsi="Times New Roman"/>
          <w:color w:val="auto"/>
          <w:sz w:val="28"/>
          <w:szCs w:val="28"/>
        </w:rPr>
      </w:pPr>
      <w:r>
        <w:rPr>
          <w:rFonts w:ascii="Times New Roman" w:hAnsi="Times New Roman"/>
          <w:color w:val="auto"/>
          <w:sz w:val="28"/>
          <w:szCs w:val="28"/>
        </w:rPr>
        <w:t>附件2-6</w:t>
      </w:r>
    </w:p>
    <w:p>
      <w:pPr>
        <w:pStyle w:val="3"/>
        <w:jc w:val="center"/>
        <w:rPr>
          <w:rStyle w:val="76"/>
          <w:rFonts w:ascii="Times New Roman" w:hAnsi="Times New Roman"/>
          <w:color w:val="auto"/>
          <w:sz w:val="28"/>
          <w:szCs w:val="28"/>
        </w:rPr>
      </w:pPr>
      <w:bookmarkStart w:id="50" w:name="_Toc178002565"/>
      <w:bookmarkStart w:id="51" w:name="_Toc178002845"/>
      <w:r>
        <w:rPr>
          <w:rStyle w:val="76"/>
          <w:rFonts w:ascii="Times New Roman" w:hAnsi="Times New Roman"/>
          <w:color w:val="auto"/>
          <w:sz w:val="28"/>
          <w:szCs w:val="28"/>
        </w:rPr>
        <w:t>主要原材料明细表</w:t>
      </w:r>
      <w:bookmarkEnd w:id="50"/>
      <w:bookmarkEnd w:id="51"/>
    </w:p>
    <w:tbl>
      <w:tblPr>
        <w:tblStyle w:val="37"/>
        <w:tblW w:w="10202" w:type="dxa"/>
        <w:jc w:val="center"/>
        <w:tblLayout w:type="fixed"/>
        <w:tblCellMar>
          <w:top w:w="0" w:type="dxa"/>
          <w:left w:w="108" w:type="dxa"/>
          <w:bottom w:w="0" w:type="dxa"/>
          <w:right w:w="108" w:type="dxa"/>
        </w:tblCellMar>
      </w:tblPr>
      <w:tblGrid>
        <w:gridCol w:w="1271"/>
        <w:gridCol w:w="1418"/>
        <w:gridCol w:w="1418"/>
        <w:gridCol w:w="1701"/>
        <w:gridCol w:w="1275"/>
        <w:gridCol w:w="1276"/>
        <w:gridCol w:w="1843"/>
      </w:tblGrid>
      <w:tr>
        <w:tblPrEx>
          <w:tblCellMar>
            <w:top w:w="0" w:type="dxa"/>
            <w:left w:w="108" w:type="dxa"/>
            <w:bottom w:w="0" w:type="dxa"/>
            <w:right w:w="108" w:type="dxa"/>
          </w:tblCellMar>
        </w:tblPrEx>
        <w:trPr>
          <w:trHeight w:val="732" w:hRule="atLeast"/>
          <w:jc w:val="center"/>
        </w:trPr>
        <w:tc>
          <w:tcPr>
            <w:tcW w:w="1271"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b/>
                <w:color w:val="auto"/>
              </w:rPr>
            </w:pPr>
            <w:r>
              <w:rPr>
                <w:rFonts w:ascii="Times New Roman" w:hAnsi="Times New Roman"/>
                <w:b/>
                <w:color w:val="auto"/>
              </w:rPr>
              <w:t>产品单元</w:t>
            </w: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b/>
                <w:color w:val="auto"/>
              </w:rPr>
            </w:pPr>
            <w:r>
              <w:rPr>
                <w:rFonts w:ascii="Times New Roman" w:hAnsi="Times New Roman"/>
                <w:b/>
                <w:color w:val="auto"/>
              </w:rPr>
              <w:t>复肥种类</w:t>
            </w: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b/>
                <w:color w:val="auto"/>
              </w:rPr>
            </w:pPr>
            <w:r>
              <w:rPr>
                <w:rFonts w:ascii="Times New Roman" w:hAnsi="Times New Roman"/>
                <w:b/>
                <w:color w:val="auto"/>
              </w:rPr>
              <w:t>原材料名称</w:t>
            </w: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rPr>
                <w:rFonts w:ascii="Times New Roman" w:hAnsi="Times New Roman"/>
                <w:b/>
                <w:color w:val="auto"/>
              </w:rPr>
            </w:pPr>
            <w:r>
              <w:rPr>
                <w:rFonts w:ascii="Times New Roman" w:hAnsi="Times New Roman"/>
                <w:b/>
                <w:color w:val="auto"/>
              </w:rPr>
              <w:t>原材料生产厂家</w:t>
            </w:r>
          </w:p>
        </w:tc>
        <w:tc>
          <w:tcPr>
            <w:tcW w:w="127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b/>
                <w:color w:val="auto"/>
              </w:rPr>
            </w:pPr>
            <w:r>
              <w:rPr>
                <w:rFonts w:ascii="Times New Roman" w:hAnsi="Times New Roman"/>
                <w:b/>
                <w:color w:val="auto"/>
              </w:rPr>
              <w:t>进货检验</w:t>
            </w:r>
          </w:p>
          <w:p>
            <w:pPr>
              <w:snapToGrid w:val="0"/>
              <w:ind w:left="113"/>
              <w:jc w:val="center"/>
              <w:rPr>
                <w:rFonts w:ascii="Times New Roman" w:hAnsi="Times New Roman"/>
                <w:b/>
                <w:color w:val="auto"/>
              </w:rPr>
            </w:pPr>
            <w:r>
              <w:rPr>
                <w:rFonts w:ascii="Times New Roman" w:hAnsi="Times New Roman"/>
                <w:b/>
                <w:color w:val="auto"/>
              </w:rPr>
              <w:t>依据标准</w:t>
            </w: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b/>
                <w:color w:val="auto"/>
              </w:rPr>
            </w:pPr>
            <w:r>
              <w:rPr>
                <w:rFonts w:ascii="Times New Roman" w:hAnsi="Times New Roman"/>
                <w:b/>
                <w:color w:val="auto"/>
              </w:rPr>
              <w:t>技术要求</w:t>
            </w: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auto"/>
              </w:rPr>
            </w:pPr>
            <w:r>
              <w:rPr>
                <w:rFonts w:ascii="Times New Roman" w:hAnsi="Times New Roman"/>
                <w:b/>
                <w:color w:val="auto"/>
              </w:rPr>
              <w:t>生产方式</w:t>
            </w:r>
          </w:p>
        </w:tc>
      </w:tr>
      <w:tr>
        <w:tblPrEx>
          <w:tblCellMar>
            <w:top w:w="0" w:type="dxa"/>
            <w:left w:w="108" w:type="dxa"/>
            <w:bottom w:w="0" w:type="dxa"/>
            <w:right w:w="108" w:type="dxa"/>
          </w:tblCellMar>
        </w:tblPrEx>
        <w:trPr>
          <w:trHeight w:val="732" w:hRule="atLeast"/>
          <w:jc w:val="center"/>
        </w:trPr>
        <w:tc>
          <w:tcPr>
            <w:tcW w:w="1271"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color w:val="auto"/>
              </w:rPr>
            </w:pPr>
            <w:r>
              <w:rPr>
                <w:rFonts w:ascii="Times New Roman" w:hAnsi="Times New Roman"/>
                <w:bCs/>
                <w:color w:val="auto"/>
              </w:rPr>
              <w:sym w:font="Wingdings" w:char="F06F"/>
            </w:r>
            <w:r>
              <w:rPr>
                <w:rFonts w:ascii="Times New Roman" w:hAnsi="Times New Roman"/>
                <w:color w:val="auto"/>
              </w:rPr>
              <w:t>自制</w:t>
            </w:r>
            <w:r>
              <w:rPr>
                <w:rFonts w:ascii="Times New Roman" w:hAnsi="Times New Roman"/>
                <w:bCs/>
                <w:color w:val="auto"/>
              </w:rPr>
              <w:sym w:font="Wingdings" w:char="F06F"/>
            </w:r>
            <w:r>
              <w:rPr>
                <w:rFonts w:ascii="Times New Roman" w:hAnsi="Times New Roman"/>
                <w:color w:val="auto"/>
              </w:rPr>
              <w:t>采购</w:t>
            </w:r>
          </w:p>
        </w:tc>
      </w:tr>
      <w:tr>
        <w:tblPrEx>
          <w:tblCellMar>
            <w:top w:w="0" w:type="dxa"/>
            <w:left w:w="108" w:type="dxa"/>
            <w:bottom w:w="0" w:type="dxa"/>
            <w:right w:w="108" w:type="dxa"/>
          </w:tblCellMar>
        </w:tblPrEx>
        <w:trPr>
          <w:trHeight w:val="732" w:hRule="atLeast"/>
          <w:jc w:val="center"/>
        </w:trPr>
        <w:tc>
          <w:tcPr>
            <w:tcW w:w="1271"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color w:val="auto"/>
              </w:rPr>
            </w:pPr>
            <w:r>
              <w:rPr>
                <w:rFonts w:ascii="Times New Roman" w:hAnsi="Times New Roman"/>
                <w:bCs/>
                <w:color w:val="auto"/>
              </w:rPr>
              <w:sym w:font="Wingdings" w:char="F06F"/>
            </w:r>
            <w:r>
              <w:rPr>
                <w:rFonts w:ascii="Times New Roman" w:hAnsi="Times New Roman"/>
                <w:color w:val="auto"/>
              </w:rPr>
              <w:t>自制</w:t>
            </w:r>
            <w:r>
              <w:rPr>
                <w:rFonts w:ascii="Times New Roman" w:hAnsi="Times New Roman"/>
                <w:bCs/>
                <w:color w:val="auto"/>
              </w:rPr>
              <w:sym w:font="Wingdings" w:char="F06F"/>
            </w:r>
            <w:r>
              <w:rPr>
                <w:rFonts w:ascii="Times New Roman" w:hAnsi="Times New Roman"/>
                <w:color w:val="auto"/>
              </w:rPr>
              <w:t>采购</w:t>
            </w:r>
          </w:p>
        </w:tc>
      </w:tr>
      <w:tr>
        <w:tblPrEx>
          <w:tblCellMar>
            <w:top w:w="0" w:type="dxa"/>
            <w:left w:w="108" w:type="dxa"/>
            <w:bottom w:w="0" w:type="dxa"/>
            <w:right w:w="108" w:type="dxa"/>
          </w:tblCellMar>
        </w:tblPrEx>
        <w:trPr>
          <w:trHeight w:val="691" w:hRule="atLeast"/>
          <w:jc w:val="center"/>
        </w:trPr>
        <w:tc>
          <w:tcPr>
            <w:tcW w:w="1271"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ind w:firstLine="105"/>
              <w:jc w:val="center"/>
              <w:rPr>
                <w:rFonts w:ascii="Times New Roman" w:hAnsi="Times New Roman"/>
                <w:color w:val="auto"/>
              </w:rPr>
            </w:pPr>
            <w:r>
              <w:rPr>
                <w:rFonts w:ascii="Times New Roman" w:hAnsi="Times New Roman"/>
                <w:bCs/>
                <w:color w:val="auto"/>
              </w:rPr>
              <w:sym w:font="Wingdings" w:char="F06F"/>
            </w:r>
            <w:r>
              <w:rPr>
                <w:rFonts w:ascii="Times New Roman" w:hAnsi="Times New Roman"/>
                <w:color w:val="auto"/>
              </w:rPr>
              <w:t>自制</w:t>
            </w:r>
            <w:r>
              <w:rPr>
                <w:rFonts w:ascii="Times New Roman" w:hAnsi="Times New Roman"/>
                <w:bCs/>
                <w:color w:val="auto"/>
              </w:rPr>
              <w:sym w:font="Wingdings" w:char="F06F"/>
            </w:r>
            <w:r>
              <w:rPr>
                <w:rFonts w:ascii="Times New Roman" w:hAnsi="Times New Roman"/>
                <w:color w:val="auto"/>
              </w:rPr>
              <w:t>采购</w:t>
            </w:r>
          </w:p>
        </w:tc>
      </w:tr>
      <w:tr>
        <w:tblPrEx>
          <w:tblCellMar>
            <w:top w:w="0" w:type="dxa"/>
            <w:left w:w="108" w:type="dxa"/>
            <w:bottom w:w="0" w:type="dxa"/>
            <w:right w:w="108" w:type="dxa"/>
          </w:tblCellMar>
        </w:tblPrEx>
        <w:trPr>
          <w:trHeight w:val="732" w:hRule="atLeast"/>
          <w:jc w:val="center"/>
        </w:trPr>
        <w:tc>
          <w:tcPr>
            <w:tcW w:w="1271"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ind w:firstLine="105"/>
              <w:jc w:val="center"/>
              <w:rPr>
                <w:rFonts w:ascii="Times New Roman" w:hAnsi="Times New Roman"/>
                <w:color w:val="auto"/>
              </w:rPr>
            </w:pPr>
            <w:r>
              <w:rPr>
                <w:rFonts w:ascii="Times New Roman" w:hAnsi="Times New Roman"/>
                <w:bCs/>
                <w:color w:val="auto"/>
              </w:rPr>
              <w:sym w:font="Wingdings" w:char="F06F"/>
            </w:r>
            <w:r>
              <w:rPr>
                <w:rFonts w:ascii="Times New Roman" w:hAnsi="Times New Roman"/>
                <w:color w:val="auto"/>
              </w:rPr>
              <w:t>自制</w:t>
            </w:r>
            <w:r>
              <w:rPr>
                <w:rFonts w:ascii="Times New Roman" w:hAnsi="Times New Roman"/>
                <w:bCs/>
                <w:color w:val="auto"/>
              </w:rPr>
              <w:sym w:font="Wingdings" w:char="F06F"/>
            </w:r>
            <w:r>
              <w:rPr>
                <w:rFonts w:ascii="Times New Roman" w:hAnsi="Times New Roman"/>
                <w:color w:val="auto"/>
              </w:rPr>
              <w:t>采购</w:t>
            </w:r>
          </w:p>
        </w:tc>
      </w:tr>
      <w:tr>
        <w:tblPrEx>
          <w:tblCellMar>
            <w:top w:w="0" w:type="dxa"/>
            <w:left w:w="108" w:type="dxa"/>
            <w:bottom w:w="0" w:type="dxa"/>
            <w:right w:w="108" w:type="dxa"/>
          </w:tblCellMar>
        </w:tblPrEx>
        <w:trPr>
          <w:trHeight w:val="732" w:hRule="atLeast"/>
          <w:jc w:val="center"/>
        </w:trPr>
        <w:tc>
          <w:tcPr>
            <w:tcW w:w="1271"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ind w:firstLine="105"/>
              <w:jc w:val="center"/>
              <w:rPr>
                <w:rFonts w:ascii="Times New Roman" w:hAnsi="Times New Roman"/>
                <w:color w:val="auto"/>
              </w:rPr>
            </w:pPr>
            <w:r>
              <w:rPr>
                <w:rFonts w:ascii="Times New Roman" w:hAnsi="Times New Roman"/>
                <w:bCs/>
                <w:color w:val="auto"/>
              </w:rPr>
              <w:sym w:font="Wingdings" w:char="F06F"/>
            </w:r>
            <w:r>
              <w:rPr>
                <w:rFonts w:ascii="Times New Roman" w:hAnsi="Times New Roman"/>
                <w:color w:val="auto"/>
              </w:rPr>
              <w:t>自制</w:t>
            </w:r>
            <w:r>
              <w:rPr>
                <w:rFonts w:ascii="Times New Roman" w:hAnsi="Times New Roman"/>
                <w:bCs/>
                <w:color w:val="auto"/>
              </w:rPr>
              <w:sym w:font="Wingdings" w:char="F06F"/>
            </w:r>
            <w:r>
              <w:rPr>
                <w:rFonts w:ascii="Times New Roman" w:hAnsi="Times New Roman"/>
                <w:color w:val="auto"/>
              </w:rPr>
              <w:t>采购</w:t>
            </w:r>
          </w:p>
        </w:tc>
      </w:tr>
      <w:tr>
        <w:tblPrEx>
          <w:tblCellMar>
            <w:top w:w="0" w:type="dxa"/>
            <w:left w:w="108" w:type="dxa"/>
            <w:bottom w:w="0" w:type="dxa"/>
            <w:right w:w="108" w:type="dxa"/>
          </w:tblCellMar>
        </w:tblPrEx>
        <w:trPr>
          <w:trHeight w:val="732" w:hRule="atLeast"/>
          <w:jc w:val="center"/>
        </w:trPr>
        <w:tc>
          <w:tcPr>
            <w:tcW w:w="1271"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ind w:firstLine="105"/>
              <w:jc w:val="center"/>
              <w:rPr>
                <w:rFonts w:ascii="Times New Roman" w:hAnsi="Times New Roman"/>
                <w:color w:val="auto"/>
              </w:rPr>
            </w:pPr>
            <w:r>
              <w:rPr>
                <w:rFonts w:ascii="Times New Roman" w:hAnsi="Times New Roman"/>
                <w:bCs/>
                <w:color w:val="auto"/>
              </w:rPr>
              <w:sym w:font="Wingdings" w:char="F06F"/>
            </w:r>
            <w:r>
              <w:rPr>
                <w:rFonts w:ascii="Times New Roman" w:hAnsi="Times New Roman"/>
                <w:color w:val="auto"/>
              </w:rPr>
              <w:t>自制</w:t>
            </w:r>
            <w:r>
              <w:rPr>
                <w:rFonts w:ascii="Times New Roman" w:hAnsi="Times New Roman"/>
                <w:bCs/>
                <w:color w:val="auto"/>
              </w:rPr>
              <w:sym w:font="Wingdings" w:char="F06F"/>
            </w:r>
            <w:r>
              <w:rPr>
                <w:rFonts w:ascii="Times New Roman" w:hAnsi="Times New Roman"/>
                <w:color w:val="auto"/>
              </w:rPr>
              <w:t>采购</w:t>
            </w:r>
          </w:p>
        </w:tc>
      </w:tr>
      <w:tr>
        <w:tblPrEx>
          <w:tblCellMar>
            <w:top w:w="0" w:type="dxa"/>
            <w:left w:w="108" w:type="dxa"/>
            <w:bottom w:w="0" w:type="dxa"/>
            <w:right w:w="108" w:type="dxa"/>
          </w:tblCellMar>
        </w:tblPrEx>
        <w:trPr>
          <w:trHeight w:val="732" w:hRule="atLeast"/>
          <w:jc w:val="center"/>
        </w:trPr>
        <w:tc>
          <w:tcPr>
            <w:tcW w:w="1271"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ind w:firstLine="105"/>
              <w:jc w:val="center"/>
              <w:rPr>
                <w:rFonts w:ascii="Times New Roman" w:hAnsi="Times New Roman"/>
                <w:color w:val="auto"/>
              </w:rPr>
            </w:pPr>
            <w:r>
              <w:rPr>
                <w:rFonts w:ascii="Times New Roman" w:hAnsi="Times New Roman"/>
                <w:bCs/>
                <w:color w:val="auto"/>
              </w:rPr>
              <w:sym w:font="Wingdings" w:char="F06F"/>
            </w:r>
            <w:r>
              <w:rPr>
                <w:rFonts w:ascii="Times New Roman" w:hAnsi="Times New Roman"/>
                <w:color w:val="auto"/>
              </w:rPr>
              <w:t>自制</w:t>
            </w:r>
            <w:r>
              <w:rPr>
                <w:rFonts w:ascii="Times New Roman" w:hAnsi="Times New Roman"/>
                <w:bCs/>
                <w:color w:val="auto"/>
              </w:rPr>
              <w:sym w:font="Wingdings" w:char="F06F"/>
            </w:r>
            <w:r>
              <w:rPr>
                <w:rFonts w:ascii="Times New Roman" w:hAnsi="Times New Roman"/>
                <w:color w:val="auto"/>
              </w:rPr>
              <w:t>采购</w:t>
            </w:r>
          </w:p>
        </w:tc>
      </w:tr>
      <w:tr>
        <w:tblPrEx>
          <w:tblCellMar>
            <w:top w:w="0" w:type="dxa"/>
            <w:left w:w="108" w:type="dxa"/>
            <w:bottom w:w="0" w:type="dxa"/>
            <w:right w:w="108" w:type="dxa"/>
          </w:tblCellMar>
        </w:tblPrEx>
        <w:trPr>
          <w:trHeight w:val="732" w:hRule="atLeast"/>
          <w:jc w:val="center"/>
        </w:trPr>
        <w:tc>
          <w:tcPr>
            <w:tcW w:w="1271"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color w:val="auto"/>
              </w:rPr>
            </w:pPr>
            <w:r>
              <w:rPr>
                <w:rFonts w:ascii="Times New Roman" w:hAnsi="Times New Roman"/>
                <w:bCs/>
                <w:color w:val="auto"/>
              </w:rPr>
              <w:sym w:font="Wingdings" w:char="F06F"/>
            </w:r>
            <w:r>
              <w:rPr>
                <w:rFonts w:ascii="Times New Roman" w:hAnsi="Times New Roman"/>
                <w:color w:val="auto"/>
              </w:rPr>
              <w:t>自制</w:t>
            </w:r>
            <w:r>
              <w:rPr>
                <w:rFonts w:ascii="Times New Roman" w:hAnsi="Times New Roman"/>
                <w:bCs/>
                <w:color w:val="auto"/>
              </w:rPr>
              <w:sym w:font="Wingdings" w:char="F06F"/>
            </w:r>
            <w:r>
              <w:rPr>
                <w:rFonts w:ascii="Times New Roman" w:hAnsi="Times New Roman"/>
                <w:color w:val="auto"/>
              </w:rPr>
              <w:t>采购</w:t>
            </w:r>
          </w:p>
        </w:tc>
      </w:tr>
      <w:tr>
        <w:tblPrEx>
          <w:tblCellMar>
            <w:top w:w="0" w:type="dxa"/>
            <w:left w:w="108" w:type="dxa"/>
            <w:bottom w:w="0" w:type="dxa"/>
            <w:right w:w="108" w:type="dxa"/>
          </w:tblCellMar>
        </w:tblPrEx>
        <w:trPr>
          <w:trHeight w:val="732" w:hRule="atLeast"/>
          <w:jc w:val="center"/>
        </w:trPr>
        <w:tc>
          <w:tcPr>
            <w:tcW w:w="1271"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color w:val="auto"/>
              </w:rPr>
            </w:pPr>
            <w:r>
              <w:rPr>
                <w:rFonts w:ascii="Times New Roman" w:hAnsi="Times New Roman"/>
                <w:bCs/>
                <w:color w:val="auto"/>
              </w:rPr>
              <w:sym w:font="Wingdings" w:char="F06F"/>
            </w:r>
            <w:r>
              <w:rPr>
                <w:rFonts w:ascii="Times New Roman" w:hAnsi="Times New Roman"/>
                <w:color w:val="auto"/>
              </w:rPr>
              <w:t>自制</w:t>
            </w:r>
            <w:r>
              <w:rPr>
                <w:rFonts w:ascii="Times New Roman" w:hAnsi="Times New Roman"/>
                <w:bCs/>
                <w:color w:val="auto"/>
              </w:rPr>
              <w:sym w:font="Wingdings" w:char="F06F"/>
            </w:r>
            <w:r>
              <w:rPr>
                <w:rFonts w:ascii="Times New Roman" w:hAnsi="Times New Roman"/>
                <w:color w:val="auto"/>
              </w:rPr>
              <w:t>采购</w:t>
            </w:r>
          </w:p>
        </w:tc>
      </w:tr>
      <w:tr>
        <w:tblPrEx>
          <w:tblCellMar>
            <w:top w:w="0" w:type="dxa"/>
            <w:left w:w="108" w:type="dxa"/>
            <w:bottom w:w="0" w:type="dxa"/>
            <w:right w:w="108" w:type="dxa"/>
          </w:tblCellMar>
        </w:tblPrEx>
        <w:trPr>
          <w:trHeight w:val="732" w:hRule="atLeast"/>
          <w:jc w:val="center"/>
        </w:trPr>
        <w:tc>
          <w:tcPr>
            <w:tcW w:w="1271"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color w:val="auto"/>
              </w:rPr>
            </w:pPr>
            <w:r>
              <w:rPr>
                <w:rFonts w:ascii="Times New Roman" w:hAnsi="Times New Roman"/>
                <w:bCs/>
                <w:color w:val="auto"/>
              </w:rPr>
              <w:sym w:font="Wingdings" w:char="F06F"/>
            </w:r>
            <w:r>
              <w:rPr>
                <w:rFonts w:ascii="Times New Roman" w:hAnsi="Times New Roman"/>
                <w:color w:val="auto"/>
              </w:rPr>
              <w:t>自制</w:t>
            </w:r>
            <w:r>
              <w:rPr>
                <w:rFonts w:ascii="Times New Roman" w:hAnsi="Times New Roman"/>
                <w:bCs/>
                <w:color w:val="auto"/>
              </w:rPr>
              <w:sym w:font="Wingdings" w:char="F06F"/>
            </w:r>
            <w:r>
              <w:rPr>
                <w:rFonts w:ascii="Times New Roman" w:hAnsi="Times New Roman"/>
                <w:color w:val="auto"/>
              </w:rPr>
              <w:t>采购</w:t>
            </w:r>
          </w:p>
        </w:tc>
      </w:tr>
      <w:tr>
        <w:tblPrEx>
          <w:tblCellMar>
            <w:top w:w="0" w:type="dxa"/>
            <w:left w:w="108" w:type="dxa"/>
            <w:bottom w:w="0" w:type="dxa"/>
            <w:right w:w="108" w:type="dxa"/>
          </w:tblCellMar>
        </w:tblPrEx>
        <w:trPr>
          <w:trHeight w:val="732" w:hRule="atLeast"/>
          <w:jc w:val="center"/>
        </w:trPr>
        <w:tc>
          <w:tcPr>
            <w:tcW w:w="1271"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color w:val="auto"/>
              </w:rPr>
            </w:pPr>
            <w:r>
              <w:rPr>
                <w:rFonts w:ascii="Times New Roman" w:hAnsi="Times New Roman"/>
                <w:bCs/>
                <w:color w:val="auto"/>
              </w:rPr>
              <w:sym w:font="Wingdings" w:char="F06F"/>
            </w:r>
            <w:r>
              <w:rPr>
                <w:rFonts w:ascii="Times New Roman" w:hAnsi="Times New Roman"/>
                <w:color w:val="auto"/>
              </w:rPr>
              <w:t>自制</w:t>
            </w:r>
            <w:r>
              <w:rPr>
                <w:rFonts w:ascii="Times New Roman" w:hAnsi="Times New Roman"/>
                <w:bCs/>
                <w:color w:val="auto"/>
              </w:rPr>
              <w:sym w:font="Wingdings" w:char="F06F"/>
            </w:r>
            <w:r>
              <w:rPr>
                <w:rFonts w:ascii="Times New Roman" w:hAnsi="Times New Roman"/>
                <w:color w:val="auto"/>
              </w:rPr>
              <w:t>采购</w:t>
            </w:r>
          </w:p>
        </w:tc>
      </w:tr>
      <w:tr>
        <w:tblPrEx>
          <w:tblCellMar>
            <w:top w:w="0" w:type="dxa"/>
            <w:left w:w="108" w:type="dxa"/>
            <w:bottom w:w="0" w:type="dxa"/>
            <w:right w:w="108" w:type="dxa"/>
          </w:tblCellMar>
        </w:tblPrEx>
        <w:trPr>
          <w:trHeight w:val="732" w:hRule="atLeast"/>
          <w:jc w:val="center"/>
        </w:trPr>
        <w:tc>
          <w:tcPr>
            <w:tcW w:w="1271"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color w:val="auto"/>
              </w:rPr>
            </w:pPr>
            <w:r>
              <w:rPr>
                <w:rFonts w:ascii="Times New Roman" w:hAnsi="Times New Roman"/>
                <w:bCs/>
                <w:color w:val="auto"/>
              </w:rPr>
              <w:sym w:font="Wingdings" w:char="F06F"/>
            </w:r>
            <w:r>
              <w:rPr>
                <w:rFonts w:ascii="Times New Roman" w:hAnsi="Times New Roman"/>
                <w:color w:val="auto"/>
              </w:rPr>
              <w:t>自制</w:t>
            </w:r>
            <w:r>
              <w:rPr>
                <w:rFonts w:ascii="Times New Roman" w:hAnsi="Times New Roman"/>
                <w:bCs/>
                <w:color w:val="auto"/>
              </w:rPr>
              <w:sym w:font="Wingdings" w:char="F06F"/>
            </w:r>
            <w:r>
              <w:rPr>
                <w:rFonts w:ascii="Times New Roman" w:hAnsi="Times New Roman"/>
                <w:color w:val="auto"/>
              </w:rPr>
              <w:t>采购</w:t>
            </w:r>
          </w:p>
        </w:tc>
      </w:tr>
      <w:tr>
        <w:tblPrEx>
          <w:tblCellMar>
            <w:top w:w="0" w:type="dxa"/>
            <w:left w:w="108" w:type="dxa"/>
            <w:bottom w:w="0" w:type="dxa"/>
            <w:right w:w="108" w:type="dxa"/>
          </w:tblCellMar>
        </w:tblPrEx>
        <w:trPr>
          <w:trHeight w:val="732" w:hRule="atLeast"/>
          <w:jc w:val="center"/>
        </w:trPr>
        <w:tc>
          <w:tcPr>
            <w:tcW w:w="1271"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color w:val="auto"/>
              </w:rPr>
            </w:pPr>
            <w:r>
              <w:rPr>
                <w:rFonts w:ascii="Times New Roman" w:hAnsi="Times New Roman"/>
                <w:bCs/>
                <w:color w:val="auto"/>
              </w:rPr>
              <w:sym w:font="Wingdings" w:char="F06F"/>
            </w:r>
            <w:r>
              <w:rPr>
                <w:rFonts w:ascii="Times New Roman" w:hAnsi="Times New Roman"/>
                <w:color w:val="auto"/>
              </w:rPr>
              <w:t>自制</w:t>
            </w:r>
            <w:r>
              <w:rPr>
                <w:rFonts w:ascii="Times New Roman" w:hAnsi="Times New Roman"/>
                <w:bCs/>
                <w:color w:val="auto"/>
              </w:rPr>
              <w:sym w:font="Wingdings" w:char="F06F"/>
            </w:r>
            <w:r>
              <w:rPr>
                <w:rFonts w:ascii="Times New Roman" w:hAnsi="Times New Roman"/>
                <w:color w:val="auto"/>
              </w:rPr>
              <w:t>采购</w:t>
            </w:r>
          </w:p>
        </w:tc>
      </w:tr>
      <w:tr>
        <w:tblPrEx>
          <w:tblCellMar>
            <w:top w:w="0" w:type="dxa"/>
            <w:left w:w="108" w:type="dxa"/>
            <w:bottom w:w="0" w:type="dxa"/>
            <w:right w:w="108" w:type="dxa"/>
          </w:tblCellMar>
        </w:tblPrEx>
        <w:trPr>
          <w:trHeight w:val="732" w:hRule="atLeast"/>
          <w:jc w:val="center"/>
        </w:trPr>
        <w:tc>
          <w:tcPr>
            <w:tcW w:w="1271"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color w:val="auto"/>
              </w:rPr>
            </w:pP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color w:val="auto"/>
              </w:rPr>
            </w:pPr>
            <w:r>
              <w:rPr>
                <w:rFonts w:ascii="Times New Roman" w:hAnsi="Times New Roman"/>
                <w:bCs/>
                <w:color w:val="auto"/>
              </w:rPr>
              <w:sym w:font="Wingdings" w:char="F06F"/>
            </w:r>
            <w:r>
              <w:rPr>
                <w:rFonts w:ascii="Times New Roman" w:hAnsi="Times New Roman"/>
                <w:color w:val="auto"/>
              </w:rPr>
              <w:t>自制</w:t>
            </w:r>
            <w:r>
              <w:rPr>
                <w:rFonts w:ascii="Times New Roman" w:hAnsi="Times New Roman"/>
                <w:bCs/>
                <w:color w:val="auto"/>
              </w:rPr>
              <w:sym w:font="Wingdings" w:char="F06F"/>
            </w:r>
            <w:r>
              <w:rPr>
                <w:rFonts w:ascii="Times New Roman" w:hAnsi="Times New Roman"/>
                <w:color w:val="auto"/>
              </w:rPr>
              <w:t>采购</w:t>
            </w:r>
          </w:p>
        </w:tc>
      </w:tr>
    </w:tbl>
    <w:p>
      <w:pPr>
        <w:pStyle w:val="54"/>
        <w:widowControl w:val="0"/>
        <w:adjustRightInd/>
        <w:spacing w:before="156" w:beforeLines="50" w:after="312" w:afterLines="100"/>
        <w:rPr>
          <w:rFonts w:ascii="Times New Roman" w:hAnsi="Times New Roman"/>
          <w:iCs/>
          <w:color w:val="auto"/>
          <w:sz w:val="18"/>
          <w:szCs w:val="18"/>
        </w:rPr>
      </w:pPr>
      <w:r>
        <w:rPr>
          <w:rFonts w:ascii="Times New Roman" w:hAnsi="Times New Roman"/>
          <w:iCs/>
          <w:color w:val="auto"/>
          <w:sz w:val="18"/>
          <w:szCs w:val="18"/>
        </w:rPr>
        <w:t>注：不同产品单元填写的内容完全相同，可合并填写。</w:t>
      </w:r>
    </w:p>
    <w:p>
      <w:pPr>
        <w:pStyle w:val="54"/>
        <w:widowControl w:val="0"/>
        <w:adjustRightInd/>
        <w:spacing w:before="156" w:beforeLines="50" w:after="312" w:afterLines="100"/>
        <w:rPr>
          <w:rFonts w:ascii="Times New Roman" w:hAnsi="Times New Roman"/>
          <w:iCs/>
          <w:color w:val="auto"/>
          <w:sz w:val="18"/>
          <w:szCs w:val="18"/>
        </w:rPr>
        <w:sectPr>
          <w:pgSz w:w="11906" w:h="16838"/>
          <w:pgMar w:top="1440" w:right="1800" w:bottom="1440" w:left="1800" w:header="851" w:footer="992" w:gutter="0"/>
          <w:cols w:space="720" w:num="1"/>
          <w:docGrid w:type="lines" w:linePitch="312" w:charSpace="0"/>
        </w:sectPr>
      </w:pPr>
    </w:p>
    <w:p>
      <w:pPr>
        <w:pStyle w:val="4"/>
        <w:spacing w:line="360" w:lineRule="auto"/>
        <w:ind w:left="2716" w:hanging="2716"/>
        <w:outlineLvl w:val="0"/>
        <w:rPr>
          <w:rFonts w:eastAsia="宋体"/>
          <w:b w:val="0"/>
          <w:color w:val="auto"/>
          <w:sz w:val="28"/>
          <w:szCs w:val="28"/>
        </w:rPr>
      </w:pPr>
      <w:bookmarkStart w:id="52" w:name="_Toc178002566"/>
      <w:r>
        <w:rPr>
          <w:rFonts w:eastAsia="宋体"/>
          <w:b w:val="0"/>
          <w:color w:val="auto"/>
          <w:sz w:val="28"/>
          <w:szCs w:val="28"/>
        </w:rPr>
        <w:t>附件2-7</w:t>
      </w:r>
      <w:bookmarkEnd w:id="52"/>
    </w:p>
    <w:p>
      <w:pPr>
        <w:pStyle w:val="3"/>
        <w:jc w:val="center"/>
        <w:rPr>
          <w:rStyle w:val="76"/>
          <w:rFonts w:ascii="Times New Roman" w:hAnsi="Times New Roman"/>
          <w:color w:val="auto"/>
          <w:sz w:val="28"/>
          <w:szCs w:val="28"/>
        </w:rPr>
      </w:pPr>
      <w:bookmarkStart w:id="53" w:name="_Toc178002846"/>
      <w:bookmarkStart w:id="54" w:name="_Toc162467104"/>
      <w:bookmarkStart w:id="55" w:name="_Toc178002567"/>
      <w:r>
        <w:rPr>
          <w:rStyle w:val="76"/>
          <w:rFonts w:ascii="Times New Roman" w:hAnsi="Times New Roman"/>
          <w:color w:val="auto"/>
          <w:sz w:val="28"/>
          <w:szCs w:val="28"/>
        </w:rPr>
        <w:t>关键岗位管理和专业技术人员表</w:t>
      </w:r>
      <w:bookmarkEnd w:id="53"/>
      <w:bookmarkEnd w:id="54"/>
      <w:bookmarkEnd w:id="55"/>
    </w:p>
    <w:tbl>
      <w:tblPr>
        <w:tblStyle w:val="37"/>
        <w:tblW w:w="14168" w:type="dxa"/>
        <w:jc w:val="center"/>
        <w:tblLayout w:type="fixed"/>
        <w:tblCellMar>
          <w:top w:w="0" w:type="dxa"/>
          <w:left w:w="108" w:type="dxa"/>
          <w:bottom w:w="0" w:type="dxa"/>
          <w:right w:w="108" w:type="dxa"/>
        </w:tblCellMar>
      </w:tblPr>
      <w:tblGrid>
        <w:gridCol w:w="731"/>
        <w:gridCol w:w="997"/>
        <w:gridCol w:w="932"/>
        <w:gridCol w:w="1420"/>
        <w:gridCol w:w="1703"/>
        <w:gridCol w:w="1420"/>
        <w:gridCol w:w="1703"/>
        <w:gridCol w:w="3406"/>
        <w:gridCol w:w="1856"/>
      </w:tblGrid>
      <w:tr>
        <w:tblPrEx>
          <w:tblCellMar>
            <w:top w:w="0" w:type="dxa"/>
            <w:left w:w="108" w:type="dxa"/>
            <w:bottom w:w="0" w:type="dxa"/>
            <w:right w:w="108" w:type="dxa"/>
          </w:tblCellMar>
        </w:tblPrEx>
        <w:trPr>
          <w:trHeight w:val="315" w:hRule="atLeast"/>
          <w:jc w:val="center"/>
        </w:trPr>
        <w:tc>
          <w:tcPr>
            <w:tcW w:w="731"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color w:val="auto"/>
              </w:rPr>
            </w:pPr>
            <w:r>
              <w:rPr>
                <w:rFonts w:ascii="Times New Roman" w:hAnsi="Times New Roman"/>
                <w:b/>
                <w:color w:val="auto"/>
              </w:rPr>
              <w:t>序号</w:t>
            </w:r>
          </w:p>
        </w:tc>
        <w:tc>
          <w:tcPr>
            <w:tcW w:w="997"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color w:val="auto"/>
              </w:rPr>
            </w:pPr>
            <w:r>
              <w:rPr>
                <w:rFonts w:ascii="Times New Roman" w:hAnsi="Times New Roman"/>
                <w:b/>
                <w:color w:val="auto"/>
              </w:rPr>
              <w:t>姓名</w:t>
            </w:r>
          </w:p>
        </w:tc>
        <w:tc>
          <w:tcPr>
            <w:tcW w:w="932"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color w:val="auto"/>
              </w:rPr>
            </w:pPr>
            <w:r>
              <w:rPr>
                <w:rFonts w:ascii="Times New Roman" w:hAnsi="Times New Roman"/>
                <w:b/>
                <w:color w:val="auto"/>
              </w:rPr>
              <w:t>性别</w:t>
            </w:r>
          </w:p>
        </w:tc>
        <w:tc>
          <w:tcPr>
            <w:tcW w:w="1420"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color w:val="auto"/>
              </w:rPr>
            </w:pPr>
            <w:r>
              <w:rPr>
                <w:rFonts w:ascii="Times New Roman" w:hAnsi="Times New Roman"/>
                <w:b/>
                <w:color w:val="auto"/>
              </w:rPr>
              <w:t>岗位</w:t>
            </w:r>
          </w:p>
        </w:tc>
        <w:tc>
          <w:tcPr>
            <w:tcW w:w="1703"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color w:val="auto"/>
              </w:rPr>
            </w:pPr>
            <w:r>
              <w:rPr>
                <w:rFonts w:ascii="Times New Roman" w:hAnsi="Times New Roman"/>
                <w:b/>
                <w:color w:val="auto"/>
              </w:rPr>
              <w:t>职务/职称</w:t>
            </w:r>
          </w:p>
        </w:tc>
        <w:tc>
          <w:tcPr>
            <w:tcW w:w="1420"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color w:val="auto"/>
              </w:rPr>
            </w:pPr>
            <w:r>
              <w:rPr>
                <w:rFonts w:ascii="Times New Roman" w:hAnsi="Times New Roman"/>
                <w:b/>
                <w:color w:val="auto"/>
              </w:rPr>
              <w:t>学历</w:t>
            </w:r>
          </w:p>
        </w:tc>
        <w:tc>
          <w:tcPr>
            <w:tcW w:w="1703"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color w:val="auto"/>
              </w:rPr>
            </w:pPr>
            <w:r>
              <w:rPr>
                <w:rFonts w:ascii="Times New Roman" w:hAnsi="Times New Roman"/>
                <w:b/>
                <w:color w:val="auto"/>
              </w:rPr>
              <w:t>所学专业</w:t>
            </w:r>
          </w:p>
        </w:tc>
        <w:tc>
          <w:tcPr>
            <w:tcW w:w="3406"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color w:val="auto"/>
              </w:rPr>
            </w:pPr>
            <w:r>
              <w:rPr>
                <w:rFonts w:ascii="Times New Roman" w:hAnsi="Times New Roman"/>
                <w:b/>
                <w:color w:val="auto"/>
              </w:rPr>
              <w:t>身份证号</w:t>
            </w:r>
          </w:p>
        </w:tc>
        <w:tc>
          <w:tcPr>
            <w:tcW w:w="1856"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color w:val="auto"/>
              </w:rPr>
            </w:pPr>
            <w:r>
              <w:rPr>
                <w:rFonts w:ascii="Times New Roman" w:hAnsi="Times New Roman"/>
                <w:b/>
                <w:color w:val="auto"/>
              </w:rPr>
              <w:t>备注</w:t>
            </w: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2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2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bl>
    <w:p>
      <w:pPr>
        <w:pStyle w:val="54"/>
        <w:widowControl w:val="0"/>
        <w:adjustRightInd/>
        <w:spacing w:before="159" w:beforeLines="50" w:after="319" w:afterLines="100"/>
        <w:rPr>
          <w:rFonts w:ascii="Times New Roman" w:hAnsi="Times New Roman"/>
          <w:iCs/>
          <w:color w:val="auto"/>
          <w:sz w:val="18"/>
          <w:szCs w:val="18"/>
        </w:rPr>
        <w:sectPr>
          <w:pgSz w:w="16838" w:h="11905" w:orient="landscape"/>
          <w:pgMar w:top="1803" w:right="1440" w:bottom="1803" w:left="1440" w:header="851" w:footer="992" w:gutter="0"/>
          <w:cols w:space="720" w:num="1"/>
          <w:docGrid w:type="lines" w:linePitch="319" w:charSpace="0"/>
        </w:sectPr>
      </w:pPr>
      <w:r>
        <w:rPr>
          <w:rFonts w:ascii="Times New Roman" w:hAnsi="Times New Roman"/>
          <w:iCs/>
          <w:color w:val="auto"/>
          <w:sz w:val="18"/>
          <w:szCs w:val="18"/>
        </w:rPr>
        <w:t>注：企业主要负责人、质量安全总监、质量安全员、技术人员、检验检测人员等，均应列入此表。</w:t>
      </w:r>
    </w:p>
    <w:p>
      <w:pPr>
        <w:outlineLvl w:val="0"/>
        <w:rPr>
          <w:rFonts w:ascii="Times New Roman" w:hAnsi="Times New Roman"/>
          <w:color w:val="auto"/>
          <w:sz w:val="28"/>
          <w:szCs w:val="28"/>
        </w:rPr>
      </w:pPr>
      <w:r>
        <w:rPr>
          <w:rFonts w:ascii="Times New Roman" w:hAnsi="Times New Roman"/>
          <w:color w:val="auto"/>
          <w:sz w:val="28"/>
          <w:szCs w:val="28"/>
        </w:rPr>
        <w:t>附件2-8</w:t>
      </w:r>
    </w:p>
    <w:p>
      <w:pPr>
        <w:pStyle w:val="3"/>
        <w:jc w:val="center"/>
        <w:rPr>
          <w:rFonts w:ascii="Times New Roman" w:hAnsi="Times New Roman"/>
          <w:b/>
          <w:color w:val="auto"/>
          <w:sz w:val="28"/>
          <w:szCs w:val="28"/>
        </w:rPr>
      </w:pPr>
      <w:bookmarkStart w:id="56" w:name="_Toc178002847"/>
      <w:r>
        <w:rPr>
          <w:rFonts w:ascii="Times New Roman" w:hAnsi="Times New Roman"/>
          <w:b/>
          <w:color w:val="auto"/>
          <w:sz w:val="28"/>
          <w:szCs w:val="28"/>
        </w:rPr>
        <w:t>技术文件和工艺文件清单</w:t>
      </w:r>
      <w:bookmarkEnd w:id="56"/>
    </w:p>
    <w:tbl>
      <w:tblPr>
        <w:tblStyle w:val="37"/>
        <w:tblW w:w="9776" w:type="dxa"/>
        <w:jc w:val="center"/>
        <w:tblLayout w:type="fixed"/>
        <w:tblCellMar>
          <w:top w:w="0" w:type="dxa"/>
          <w:left w:w="108" w:type="dxa"/>
          <w:bottom w:w="0" w:type="dxa"/>
          <w:right w:w="108" w:type="dxa"/>
        </w:tblCellMar>
      </w:tblPr>
      <w:tblGrid>
        <w:gridCol w:w="846"/>
        <w:gridCol w:w="1559"/>
        <w:gridCol w:w="1843"/>
        <w:gridCol w:w="3118"/>
        <w:gridCol w:w="2410"/>
      </w:tblGrid>
      <w:tr>
        <w:tblPrEx>
          <w:tblCellMar>
            <w:top w:w="0" w:type="dxa"/>
            <w:left w:w="108" w:type="dxa"/>
            <w:bottom w:w="0" w:type="dxa"/>
            <w:right w:w="108" w:type="dxa"/>
          </w:tblCellMar>
        </w:tblPrEx>
        <w:trPr>
          <w:trHeight w:val="319" w:hRule="atLeast"/>
          <w:jc w:val="center"/>
        </w:trPr>
        <w:tc>
          <w:tcPr>
            <w:tcW w:w="846"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color w:val="auto"/>
              </w:rPr>
            </w:pPr>
            <w:r>
              <w:rPr>
                <w:rFonts w:ascii="Times New Roman" w:hAnsi="Times New Roman"/>
                <w:b/>
                <w:color w:val="auto"/>
              </w:rPr>
              <w:t>序号</w:t>
            </w: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color w:val="auto"/>
              </w:rPr>
            </w:pPr>
            <w:r>
              <w:rPr>
                <w:rFonts w:ascii="Times New Roman" w:hAnsi="Times New Roman"/>
                <w:b/>
                <w:color w:val="auto"/>
              </w:rPr>
              <w:t>产品单元</w:t>
            </w:r>
          </w:p>
        </w:tc>
        <w:tc>
          <w:tcPr>
            <w:tcW w:w="1843" w:type="dxa"/>
            <w:tcBorders>
              <w:top w:val="single" w:color="000000" w:sz="4" w:space="0"/>
              <w:left w:val="single" w:color="000000" w:sz="4" w:space="0"/>
              <w:bottom w:val="single" w:color="000000" w:sz="4" w:space="0"/>
              <w:right w:val="single" w:color="000000" w:sz="4" w:space="0"/>
            </w:tcBorders>
          </w:tcPr>
          <w:p>
            <w:pPr>
              <w:snapToGrid w:val="0"/>
              <w:spacing w:before="72" w:after="72"/>
              <w:jc w:val="center"/>
              <w:rPr>
                <w:rFonts w:ascii="Times New Roman" w:hAnsi="Times New Roman"/>
                <w:b/>
                <w:color w:val="auto"/>
              </w:rPr>
            </w:pPr>
            <w:r>
              <w:rPr>
                <w:rFonts w:ascii="Times New Roman" w:hAnsi="Times New Roman"/>
                <w:b/>
                <w:color w:val="auto"/>
              </w:rPr>
              <w:t>复肥种类</w:t>
            </w:r>
          </w:p>
        </w:tc>
        <w:tc>
          <w:tcPr>
            <w:tcW w:w="3118"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color w:val="auto"/>
              </w:rPr>
            </w:pPr>
            <w:r>
              <w:rPr>
                <w:rFonts w:ascii="Times New Roman" w:hAnsi="Times New Roman"/>
                <w:b/>
                <w:color w:val="auto"/>
              </w:rPr>
              <w:t>技术文件和工艺文件名称</w:t>
            </w:r>
          </w:p>
        </w:tc>
        <w:tc>
          <w:tcPr>
            <w:tcW w:w="2410"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color w:val="auto"/>
              </w:rPr>
            </w:pPr>
            <w:r>
              <w:rPr>
                <w:rFonts w:ascii="Times New Roman" w:hAnsi="Times New Roman"/>
                <w:b/>
                <w:color w:val="auto"/>
              </w:rPr>
              <w:t>文件编号</w:t>
            </w:r>
          </w:p>
        </w:tc>
      </w:tr>
      <w:tr>
        <w:tblPrEx>
          <w:tblCellMar>
            <w:top w:w="0" w:type="dxa"/>
            <w:left w:w="108" w:type="dxa"/>
            <w:bottom w:w="0" w:type="dxa"/>
            <w:right w:w="108" w:type="dxa"/>
          </w:tblCellMar>
        </w:tblPrEx>
        <w:trPr>
          <w:trHeight w:val="455" w:hRule="atLeast"/>
          <w:jc w:val="center"/>
        </w:trPr>
        <w:tc>
          <w:tcPr>
            <w:tcW w:w="84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11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41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84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11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41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84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11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41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84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11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41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84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11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41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84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11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41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84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11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41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84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11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41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84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11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41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84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11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41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84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11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41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84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11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41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84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11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41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84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11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41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84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11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41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84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11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41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84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11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41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84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11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41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84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11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41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84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11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41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84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11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41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18" w:hRule="atLeast"/>
          <w:jc w:val="center"/>
        </w:trPr>
        <w:tc>
          <w:tcPr>
            <w:tcW w:w="84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11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41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18" w:hRule="atLeast"/>
          <w:jc w:val="center"/>
        </w:trPr>
        <w:tc>
          <w:tcPr>
            <w:tcW w:w="84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11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41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18" w:hRule="atLeast"/>
          <w:jc w:val="center"/>
        </w:trPr>
        <w:tc>
          <w:tcPr>
            <w:tcW w:w="84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11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41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18" w:hRule="atLeast"/>
          <w:jc w:val="center"/>
        </w:trPr>
        <w:tc>
          <w:tcPr>
            <w:tcW w:w="84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11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41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18" w:hRule="atLeast"/>
          <w:jc w:val="center"/>
        </w:trPr>
        <w:tc>
          <w:tcPr>
            <w:tcW w:w="84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11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41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bl>
    <w:p>
      <w:pPr>
        <w:snapToGrid w:val="0"/>
        <w:spacing w:line="360" w:lineRule="auto"/>
        <w:outlineLvl w:val="0"/>
        <w:rPr>
          <w:rFonts w:ascii="Times New Roman" w:hAnsi="Times New Roman"/>
          <w:color w:val="auto"/>
          <w:sz w:val="28"/>
          <w:szCs w:val="28"/>
        </w:rPr>
      </w:pPr>
      <w:r>
        <w:rPr>
          <w:rFonts w:ascii="Times New Roman" w:hAnsi="Times New Roman"/>
          <w:color w:val="auto"/>
        </w:rPr>
        <w:br w:type="page"/>
      </w:r>
      <w:r>
        <w:rPr>
          <w:rFonts w:ascii="Times New Roman" w:hAnsi="Times New Roman"/>
          <w:color w:val="auto"/>
          <w:sz w:val="28"/>
          <w:szCs w:val="28"/>
        </w:rPr>
        <w:t>附件2-9</w:t>
      </w:r>
    </w:p>
    <w:p>
      <w:pPr>
        <w:pStyle w:val="2"/>
        <w:snapToGrid w:val="0"/>
        <w:spacing w:before="340" w:after="240"/>
        <w:jc w:val="center"/>
        <w:rPr>
          <w:rFonts w:ascii="Times New Roman" w:hAnsi="Times New Roman"/>
          <w:b w:val="0"/>
          <w:color w:val="auto"/>
          <w:sz w:val="28"/>
          <w:szCs w:val="28"/>
        </w:rPr>
      </w:pPr>
      <w:bookmarkStart w:id="57" w:name="_Toc162467107"/>
      <w:bookmarkStart w:id="58" w:name="_Toc178002848"/>
      <w:bookmarkStart w:id="59" w:name="_Toc178002568"/>
      <w:r>
        <w:rPr>
          <w:rFonts w:ascii="Times New Roman" w:hAnsi="Times New Roman"/>
          <w:color w:val="auto"/>
          <w:sz w:val="28"/>
          <w:szCs w:val="28"/>
        </w:rPr>
        <w:t>产品质量安全管理制度和产品质量安全追溯制度文件</w:t>
      </w:r>
      <w:bookmarkEnd w:id="57"/>
      <w:r>
        <w:rPr>
          <w:rFonts w:ascii="Times New Roman" w:hAnsi="Times New Roman"/>
          <w:color w:val="auto"/>
          <w:sz w:val="28"/>
          <w:szCs w:val="28"/>
        </w:rPr>
        <w:t>清单</w:t>
      </w:r>
      <w:bookmarkEnd w:id="58"/>
      <w:bookmarkEnd w:id="59"/>
    </w:p>
    <w:tbl>
      <w:tblPr>
        <w:tblStyle w:val="37"/>
        <w:tblW w:w="5000" w:type="pct"/>
        <w:jc w:val="center"/>
        <w:tblLayout w:type="fixed"/>
        <w:tblCellMar>
          <w:top w:w="0" w:type="dxa"/>
          <w:left w:w="108" w:type="dxa"/>
          <w:bottom w:w="0" w:type="dxa"/>
          <w:right w:w="108" w:type="dxa"/>
        </w:tblCellMar>
      </w:tblPr>
      <w:tblGrid>
        <w:gridCol w:w="1003"/>
        <w:gridCol w:w="5051"/>
        <w:gridCol w:w="3234"/>
      </w:tblGrid>
      <w:tr>
        <w:tblPrEx>
          <w:tblCellMar>
            <w:top w:w="0" w:type="dxa"/>
            <w:left w:w="108" w:type="dxa"/>
            <w:bottom w:w="0" w:type="dxa"/>
            <w:right w:w="108" w:type="dxa"/>
          </w:tblCellMar>
        </w:tblPrEx>
        <w:trPr>
          <w:trHeight w:val="319" w:hRule="atLeast"/>
          <w:jc w:val="center"/>
        </w:trPr>
        <w:tc>
          <w:tcPr>
            <w:tcW w:w="540" w:type="pct"/>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color w:val="auto"/>
              </w:rPr>
            </w:pPr>
            <w:r>
              <w:rPr>
                <w:rFonts w:ascii="Times New Roman" w:hAnsi="Times New Roman"/>
                <w:b/>
                <w:color w:val="auto"/>
              </w:rPr>
              <w:t>序号</w:t>
            </w:r>
          </w:p>
        </w:tc>
        <w:tc>
          <w:tcPr>
            <w:tcW w:w="2719" w:type="pct"/>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color w:val="auto"/>
              </w:rPr>
            </w:pPr>
            <w:r>
              <w:rPr>
                <w:rFonts w:ascii="Times New Roman" w:hAnsi="Times New Roman"/>
                <w:b/>
                <w:color w:val="auto"/>
              </w:rPr>
              <w:t>制度文件名称</w:t>
            </w:r>
          </w:p>
        </w:tc>
        <w:tc>
          <w:tcPr>
            <w:tcW w:w="1741" w:type="pct"/>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color w:val="auto"/>
              </w:rPr>
            </w:pPr>
            <w:r>
              <w:rPr>
                <w:rFonts w:ascii="Times New Roman" w:hAnsi="Times New Roman"/>
                <w:b/>
                <w:color w:val="auto"/>
              </w:rPr>
              <w:t>文件编号</w:t>
            </w:r>
          </w:p>
        </w:tc>
      </w:tr>
      <w:tr>
        <w:tblPrEx>
          <w:tblCellMar>
            <w:top w:w="0" w:type="dxa"/>
            <w:left w:w="108" w:type="dxa"/>
            <w:bottom w:w="0" w:type="dxa"/>
            <w:right w:w="108" w:type="dxa"/>
          </w:tblCellMar>
        </w:tblPrEx>
        <w:trPr>
          <w:trHeight w:val="455" w:hRule="atLeast"/>
          <w:jc w:val="center"/>
        </w:trPr>
        <w:tc>
          <w:tcPr>
            <w:tcW w:w="54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71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4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54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71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4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rPr>
          <w:trHeight w:val="455" w:hRule="atLeast"/>
          <w:jc w:val="center"/>
        </w:trPr>
        <w:tc>
          <w:tcPr>
            <w:tcW w:w="54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71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4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54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71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4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54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71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4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54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71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4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rPr>
          <w:trHeight w:val="455" w:hRule="atLeast"/>
          <w:jc w:val="center"/>
        </w:trPr>
        <w:tc>
          <w:tcPr>
            <w:tcW w:w="54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71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4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54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71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4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54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71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4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54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71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4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rPr>
          <w:trHeight w:val="455" w:hRule="atLeast"/>
          <w:jc w:val="center"/>
        </w:trPr>
        <w:tc>
          <w:tcPr>
            <w:tcW w:w="54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71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4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54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71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4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54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71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4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54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71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4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rPr>
          <w:trHeight w:val="455" w:hRule="atLeast"/>
          <w:jc w:val="center"/>
        </w:trPr>
        <w:tc>
          <w:tcPr>
            <w:tcW w:w="54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71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4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54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71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4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54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71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4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54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71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4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rPr>
          <w:trHeight w:val="455" w:hRule="atLeast"/>
          <w:jc w:val="center"/>
        </w:trPr>
        <w:tc>
          <w:tcPr>
            <w:tcW w:w="54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71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4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54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71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4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54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71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4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18" w:hRule="atLeast"/>
          <w:jc w:val="center"/>
        </w:trPr>
        <w:tc>
          <w:tcPr>
            <w:tcW w:w="54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71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4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rPr>
          <w:trHeight w:val="418" w:hRule="atLeast"/>
          <w:jc w:val="center"/>
        </w:trPr>
        <w:tc>
          <w:tcPr>
            <w:tcW w:w="54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71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4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18" w:hRule="atLeast"/>
          <w:jc w:val="center"/>
        </w:trPr>
        <w:tc>
          <w:tcPr>
            <w:tcW w:w="54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71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4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18" w:hRule="atLeast"/>
          <w:jc w:val="center"/>
        </w:trPr>
        <w:tc>
          <w:tcPr>
            <w:tcW w:w="540"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2719"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4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bl>
    <w:p>
      <w:pPr>
        <w:snapToGrid w:val="0"/>
        <w:spacing w:line="480" w:lineRule="exact"/>
        <w:rPr>
          <w:rFonts w:ascii="Times New Roman" w:hAnsi="Times New Roman"/>
          <w:color w:val="auto"/>
          <w:sz w:val="28"/>
          <w:szCs w:val="28"/>
        </w:rPr>
      </w:pPr>
    </w:p>
    <w:p>
      <w:pPr>
        <w:pStyle w:val="2"/>
        <w:spacing w:line="480" w:lineRule="auto"/>
        <w:rPr>
          <w:rFonts w:ascii="Times New Roman" w:hAnsi="Times New Roman"/>
          <w:b w:val="0"/>
          <w:color w:val="auto"/>
          <w:sz w:val="28"/>
          <w:szCs w:val="28"/>
        </w:rPr>
      </w:pPr>
      <w:bookmarkStart w:id="60" w:name="_Toc178002849"/>
      <w:bookmarkStart w:id="61" w:name="_Toc178002569"/>
      <w:r>
        <w:rPr>
          <w:rFonts w:ascii="Times New Roman" w:hAnsi="Times New Roman"/>
          <w:b w:val="0"/>
          <w:color w:val="auto"/>
          <w:sz w:val="28"/>
          <w:szCs w:val="28"/>
        </w:rPr>
        <w:t>附件2-10</w:t>
      </w:r>
      <w:bookmarkEnd w:id="60"/>
      <w:bookmarkEnd w:id="61"/>
    </w:p>
    <w:p>
      <w:pPr>
        <w:pStyle w:val="2"/>
        <w:snapToGrid w:val="0"/>
        <w:spacing w:before="340" w:after="240"/>
        <w:jc w:val="center"/>
        <w:rPr>
          <w:rFonts w:ascii="Times New Roman" w:hAnsi="Times New Roman"/>
          <w:b w:val="0"/>
          <w:color w:val="auto"/>
          <w:sz w:val="28"/>
          <w:szCs w:val="28"/>
        </w:rPr>
      </w:pPr>
      <w:bookmarkStart w:id="62" w:name="_Toc162467109"/>
      <w:bookmarkStart w:id="63" w:name="_Toc178002850"/>
      <w:bookmarkStart w:id="64" w:name="_Toc178002570"/>
      <w:r>
        <w:rPr>
          <w:rFonts w:ascii="Times New Roman" w:hAnsi="Times New Roman"/>
          <w:color w:val="auto"/>
          <w:sz w:val="28"/>
          <w:szCs w:val="28"/>
        </w:rPr>
        <w:t>企业执行的产品标准及相关标准</w:t>
      </w:r>
      <w:bookmarkEnd w:id="62"/>
      <w:r>
        <w:rPr>
          <w:rFonts w:ascii="Times New Roman" w:hAnsi="Times New Roman"/>
          <w:color w:val="auto"/>
          <w:sz w:val="28"/>
          <w:szCs w:val="28"/>
        </w:rPr>
        <w:t>清单</w:t>
      </w:r>
      <w:bookmarkEnd w:id="63"/>
      <w:bookmarkEnd w:id="64"/>
    </w:p>
    <w:tbl>
      <w:tblPr>
        <w:tblStyle w:val="37"/>
        <w:tblW w:w="9351" w:type="dxa"/>
        <w:jc w:val="center"/>
        <w:tblLayout w:type="fixed"/>
        <w:tblCellMar>
          <w:top w:w="0" w:type="dxa"/>
          <w:left w:w="108" w:type="dxa"/>
          <w:bottom w:w="0" w:type="dxa"/>
          <w:right w:w="108" w:type="dxa"/>
        </w:tblCellMar>
      </w:tblPr>
      <w:tblGrid>
        <w:gridCol w:w="988"/>
        <w:gridCol w:w="1559"/>
        <w:gridCol w:w="1701"/>
        <w:gridCol w:w="1701"/>
        <w:gridCol w:w="3402"/>
      </w:tblGrid>
      <w:tr>
        <w:tblPrEx>
          <w:tblCellMar>
            <w:top w:w="0" w:type="dxa"/>
            <w:left w:w="108" w:type="dxa"/>
            <w:bottom w:w="0" w:type="dxa"/>
            <w:right w:w="108" w:type="dxa"/>
          </w:tblCellMar>
        </w:tblPrEx>
        <w:trPr>
          <w:trHeight w:val="319" w:hRule="atLeast"/>
          <w:jc w:val="center"/>
        </w:trPr>
        <w:tc>
          <w:tcPr>
            <w:tcW w:w="988"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color w:val="auto"/>
              </w:rPr>
            </w:pPr>
            <w:r>
              <w:rPr>
                <w:rFonts w:ascii="Times New Roman" w:hAnsi="Times New Roman"/>
                <w:b/>
                <w:color w:val="auto"/>
              </w:rPr>
              <w:t>序号</w:t>
            </w: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color w:val="auto"/>
              </w:rPr>
            </w:pPr>
            <w:r>
              <w:rPr>
                <w:rFonts w:ascii="Times New Roman" w:hAnsi="Times New Roman"/>
                <w:b/>
                <w:color w:val="auto"/>
              </w:rPr>
              <w:t>产品单元</w:t>
            </w:r>
          </w:p>
        </w:tc>
        <w:tc>
          <w:tcPr>
            <w:tcW w:w="1701" w:type="dxa"/>
            <w:tcBorders>
              <w:top w:val="single" w:color="000000" w:sz="4" w:space="0"/>
              <w:left w:val="single" w:color="000000" w:sz="4" w:space="0"/>
              <w:bottom w:val="single" w:color="000000" w:sz="4" w:space="0"/>
              <w:right w:val="single" w:color="000000" w:sz="4" w:space="0"/>
            </w:tcBorders>
          </w:tcPr>
          <w:p>
            <w:pPr>
              <w:snapToGrid w:val="0"/>
              <w:spacing w:before="72" w:after="72"/>
              <w:jc w:val="center"/>
              <w:rPr>
                <w:rFonts w:ascii="Times New Roman" w:hAnsi="Times New Roman"/>
                <w:b/>
                <w:color w:val="auto"/>
              </w:rPr>
            </w:pPr>
            <w:r>
              <w:rPr>
                <w:rFonts w:ascii="Times New Roman" w:hAnsi="Times New Roman"/>
                <w:b/>
                <w:color w:val="auto"/>
              </w:rPr>
              <w:t>复肥种类</w:t>
            </w: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color w:val="auto"/>
              </w:rPr>
            </w:pPr>
            <w:r>
              <w:rPr>
                <w:rFonts w:ascii="Times New Roman" w:hAnsi="Times New Roman"/>
                <w:b/>
                <w:color w:val="auto"/>
              </w:rPr>
              <w:t>标准编号</w:t>
            </w:r>
          </w:p>
        </w:tc>
        <w:tc>
          <w:tcPr>
            <w:tcW w:w="3402"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color w:val="auto"/>
              </w:rPr>
            </w:pPr>
            <w:r>
              <w:rPr>
                <w:rFonts w:ascii="Times New Roman" w:hAnsi="Times New Roman"/>
                <w:b/>
                <w:color w:val="auto"/>
              </w:rPr>
              <w:t>标准名称</w:t>
            </w:r>
          </w:p>
        </w:tc>
      </w:tr>
      <w:tr>
        <w:tblPrEx>
          <w:tblCellMar>
            <w:top w:w="0" w:type="dxa"/>
            <w:left w:w="108" w:type="dxa"/>
            <w:bottom w:w="0" w:type="dxa"/>
            <w:right w:w="108" w:type="dxa"/>
          </w:tblCellMar>
        </w:tblPrEx>
        <w:trPr>
          <w:trHeight w:val="455" w:hRule="atLeast"/>
          <w:jc w:val="center"/>
        </w:trPr>
        <w:tc>
          <w:tcPr>
            <w:tcW w:w="9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40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9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40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9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40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9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40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9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40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9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40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9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40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9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40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9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40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9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40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9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40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9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40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9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40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9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40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9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40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9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40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9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40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9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40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9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40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9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40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9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40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9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40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55" w:hRule="atLeast"/>
          <w:jc w:val="center"/>
        </w:trPr>
        <w:tc>
          <w:tcPr>
            <w:tcW w:w="9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40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18" w:hRule="atLeast"/>
          <w:jc w:val="center"/>
        </w:trPr>
        <w:tc>
          <w:tcPr>
            <w:tcW w:w="9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40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r>
        <w:tblPrEx>
          <w:tblCellMar>
            <w:top w:w="0" w:type="dxa"/>
            <w:left w:w="108" w:type="dxa"/>
            <w:bottom w:w="0" w:type="dxa"/>
            <w:right w:w="108" w:type="dxa"/>
          </w:tblCellMar>
        </w:tblPrEx>
        <w:trPr>
          <w:trHeight w:val="418" w:hRule="atLeast"/>
          <w:jc w:val="center"/>
        </w:trPr>
        <w:tc>
          <w:tcPr>
            <w:tcW w:w="988"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55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170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c>
          <w:tcPr>
            <w:tcW w:w="340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auto"/>
              </w:rPr>
            </w:pPr>
          </w:p>
        </w:tc>
      </w:tr>
    </w:tbl>
    <w:p>
      <w:pPr>
        <w:rPr>
          <w:rFonts w:ascii="Times New Roman" w:hAnsi="Times New Roman"/>
          <w:color w:val="auto"/>
          <w:sz w:val="28"/>
          <w:szCs w:val="28"/>
        </w:rPr>
      </w:pPr>
    </w:p>
    <w:p>
      <w:pPr>
        <w:snapToGrid w:val="0"/>
        <w:spacing w:after="240"/>
        <w:jc w:val="left"/>
        <w:outlineLvl w:val="0"/>
        <w:rPr>
          <w:rFonts w:ascii="Times New Roman" w:hAnsi="Times New Roman"/>
          <w:color w:val="auto"/>
          <w:sz w:val="28"/>
          <w:szCs w:val="28"/>
        </w:rPr>
      </w:pPr>
      <w:r>
        <w:rPr>
          <w:rFonts w:ascii="Times New Roman" w:hAnsi="Times New Roman"/>
          <w:color w:val="auto"/>
          <w:sz w:val="28"/>
          <w:szCs w:val="28"/>
        </w:rPr>
        <w:t>附件3</w:t>
      </w:r>
    </w:p>
    <w:p>
      <w:pPr>
        <w:rPr>
          <w:rFonts w:ascii="Times New Roman" w:hAnsi="Times New Roman"/>
          <w:color w:val="auto"/>
          <w:sz w:val="48"/>
          <w:szCs w:val="48"/>
        </w:rPr>
      </w:pPr>
    </w:p>
    <w:p>
      <w:pPr>
        <w:rPr>
          <w:rFonts w:ascii="Times New Roman" w:hAnsi="Times New Roman"/>
          <w:color w:val="auto"/>
          <w:sz w:val="48"/>
          <w:szCs w:val="48"/>
        </w:rPr>
      </w:pPr>
    </w:p>
    <w:p>
      <w:pPr>
        <w:pStyle w:val="3"/>
        <w:jc w:val="center"/>
        <w:rPr>
          <w:rFonts w:ascii="Times New Roman" w:hAnsi="Times New Roman"/>
          <w:b/>
          <w:color w:val="auto"/>
          <w:sz w:val="44"/>
          <w:szCs w:val="44"/>
        </w:rPr>
      </w:pPr>
      <w:bookmarkStart w:id="65" w:name="_Toc178002851"/>
      <w:r>
        <w:rPr>
          <w:rFonts w:ascii="Times New Roman" w:hAnsi="Times New Roman"/>
          <w:b/>
          <w:color w:val="auto"/>
          <w:sz w:val="44"/>
          <w:szCs w:val="44"/>
        </w:rPr>
        <w:t>复肥产品生产许可证企业实地核查办法</w:t>
      </w:r>
      <w:bookmarkEnd w:id="65"/>
    </w:p>
    <w:p>
      <w:pPr>
        <w:jc w:val="center"/>
        <w:rPr>
          <w:rFonts w:ascii="Times New Roman" w:hAnsi="Times New Roman"/>
          <w:b/>
          <w:i/>
          <w:iCs/>
          <w:color w:val="auto"/>
          <w:sz w:val="28"/>
          <w:szCs w:val="28"/>
        </w:rPr>
      </w:pPr>
    </w:p>
    <w:p>
      <w:pPr>
        <w:jc w:val="center"/>
        <w:rPr>
          <w:rFonts w:ascii="Times New Roman" w:hAnsi="Times New Roman"/>
          <w:b/>
          <w:color w:val="auto"/>
          <w:sz w:val="48"/>
          <w:szCs w:val="48"/>
        </w:rPr>
      </w:pPr>
    </w:p>
    <w:p>
      <w:pPr>
        <w:jc w:val="center"/>
        <w:rPr>
          <w:rFonts w:ascii="Times New Roman" w:hAnsi="Times New Roman"/>
          <w:b/>
          <w:color w:val="auto"/>
          <w:sz w:val="48"/>
          <w:szCs w:val="48"/>
        </w:rPr>
      </w:pPr>
    </w:p>
    <w:p>
      <w:pPr>
        <w:ind w:firstLine="904"/>
        <w:rPr>
          <w:rFonts w:ascii="Times New Roman" w:hAnsi="Times New Roman"/>
          <w:color w:val="auto"/>
          <w:sz w:val="30"/>
          <w:szCs w:val="30"/>
          <w:u w:val="single"/>
        </w:rPr>
      </w:pPr>
      <w:r>
        <w:rPr>
          <w:rFonts w:ascii="Times New Roman" w:hAnsi="Times New Roman"/>
          <w:b/>
          <w:color w:val="auto"/>
          <w:sz w:val="30"/>
          <w:szCs w:val="30"/>
        </w:rPr>
        <w:t>企业名称</w:t>
      </w:r>
      <w:r>
        <w:rPr>
          <w:rFonts w:ascii="Times New Roman" w:hAnsi="Times New Roman"/>
          <w:color w:val="auto"/>
          <w:sz w:val="30"/>
          <w:szCs w:val="30"/>
        </w:rPr>
        <w:t>：__________________________________</w:t>
      </w:r>
    </w:p>
    <w:p>
      <w:pPr>
        <w:ind w:firstLine="600"/>
        <w:rPr>
          <w:rFonts w:ascii="Times New Roman" w:hAnsi="Times New Roman"/>
          <w:color w:val="auto"/>
          <w:sz w:val="30"/>
          <w:szCs w:val="30"/>
          <w:u w:val="single"/>
        </w:rPr>
      </w:pPr>
    </w:p>
    <w:p>
      <w:pPr>
        <w:ind w:firstLine="904"/>
        <w:rPr>
          <w:rFonts w:ascii="Times New Roman" w:hAnsi="Times New Roman"/>
          <w:color w:val="auto"/>
          <w:sz w:val="30"/>
          <w:szCs w:val="30"/>
          <w:u w:val="single"/>
        </w:rPr>
      </w:pPr>
      <w:r>
        <w:rPr>
          <w:rFonts w:ascii="Times New Roman" w:hAnsi="Times New Roman"/>
          <w:b/>
          <w:color w:val="auto"/>
          <w:sz w:val="30"/>
          <w:szCs w:val="30"/>
        </w:rPr>
        <w:t>生产地址：</w:t>
      </w:r>
      <w:r>
        <w:rPr>
          <w:rFonts w:ascii="Times New Roman" w:hAnsi="Times New Roman"/>
          <w:color w:val="auto"/>
          <w:sz w:val="30"/>
          <w:szCs w:val="30"/>
        </w:rPr>
        <w:t>__________________________________</w:t>
      </w:r>
    </w:p>
    <w:p>
      <w:pPr>
        <w:ind w:firstLine="900"/>
        <w:rPr>
          <w:rFonts w:ascii="Times New Roman" w:hAnsi="Times New Roman"/>
          <w:color w:val="auto"/>
          <w:sz w:val="30"/>
          <w:szCs w:val="30"/>
          <w:u w:val="single"/>
        </w:rPr>
      </w:pPr>
    </w:p>
    <w:p>
      <w:pPr>
        <w:ind w:firstLine="904"/>
        <w:rPr>
          <w:rFonts w:ascii="Times New Roman" w:hAnsi="Times New Roman"/>
          <w:color w:val="auto"/>
          <w:sz w:val="30"/>
          <w:szCs w:val="30"/>
          <w:u w:val="single"/>
        </w:rPr>
      </w:pPr>
      <w:r>
        <w:rPr>
          <w:rFonts w:ascii="Times New Roman" w:hAnsi="Times New Roman"/>
          <w:b/>
          <w:color w:val="auto"/>
          <w:sz w:val="30"/>
          <w:szCs w:val="30"/>
        </w:rPr>
        <w:t>产品单元：</w:t>
      </w:r>
      <w:r>
        <w:rPr>
          <w:rFonts w:ascii="Times New Roman" w:hAnsi="Times New Roman"/>
          <w:color w:val="auto"/>
          <w:sz w:val="30"/>
          <w:szCs w:val="30"/>
        </w:rPr>
        <w:t>__________________________________</w:t>
      </w:r>
    </w:p>
    <w:p>
      <w:pPr>
        <w:ind w:firstLine="904"/>
        <w:rPr>
          <w:rFonts w:ascii="Times New Roman" w:hAnsi="Times New Roman"/>
          <w:color w:val="auto"/>
          <w:sz w:val="30"/>
          <w:szCs w:val="30"/>
          <w:u w:val="single"/>
        </w:rPr>
      </w:pPr>
    </w:p>
    <w:p>
      <w:pPr>
        <w:ind w:firstLine="843"/>
        <w:rPr>
          <w:rFonts w:ascii="Times New Roman" w:hAnsi="Times New Roman"/>
          <w:b/>
          <w:color w:val="auto"/>
          <w:sz w:val="28"/>
          <w:szCs w:val="28"/>
          <w:u w:val="single"/>
        </w:rPr>
      </w:pPr>
      <w:r>
        <w:rPr>
          <w:rFonts w:ascii="Times New Roman" w:hAnsi="Times New Roman"/>
          <w:b/>
          <w:color w:val="auto"/>
          <w:sz w:val="30"/>
          <w:szCs w:val="30"/>
        </w:rPr>
        <w:t>复肥种类：</w:t>
      </w:r>
      <w:r>
        <w:rPr>
          <w:rFonts w:ascii="Times New Roman" w:hAnsi="Times New Roman"/>
          <w:color w:val="auto"/>
          <w:sz w:val="30"/>
          <w:szCs w:val="30"/>
        </w:rPr>
        <w:t>__________________________________</w:t>
      </w:r>
    </w:p>
    <w:p>
      <w:pPr>
        <w:ind w:firstLine="840"/>
        <w:rPr>
          <w:rFonts w:ascii="Times New Roman" w:hAnsi="Times New Roman"/>
          <w:color w:val="auto"/>
          <w:sz w:val="28"/>
          <w:szCs w:val="28"/>
          <w:u w:val="single"/>
        </w:rPr>
      </w:pPr>
    </w:p>
    <w:p>
      <w:pPr>
        <w:ind w:firstLine="840"/>
        <w:rPr>
          <w:rFonts w:ascii="Times New Roman" w:hAnsi="Times New Roman"/>
          <w:color w:val="auto"/>
          <w:sz w:val="28"/>
          <w:szCs w:val="28"/>
          <w:u w:val="single"/>
        </w:rPr>
      </w:pPr>
    </w:p>
    <w:p>
      <w:pPr>
        <w:rPr>
          <w:rFonts w:ascii="Times New Roman" w:hAnsi="Times New Roman"/>
          <w:color w:val="auto"/>
          <w:sz w:val="30"/>
          <w:szCs w:val="30"/>
          <w:u w:val="single"/>
        </w:rPr>
      </w:pPr>
    </w:p>
    <w:p>
      <w:pPr>
        <w:ind w:firstLine="900"/>
        <w:rPr>
          <w:rFonts w:ascii="Times New Roman" w:hAnsi="Times New Roman"/>
          <w:color w:val="auto"/>
          <w:sz w:val="30"/>
          <w:szCs w:val="30"/>
          <w:u w:val="single"/>
        </w:rPr>
      </w:pPr>
    </w:p>
    <w:p>
      <w:pPr>
        <w:rPr>
          <w:rFonts w:ascii="Times New Roman" w:hAnsi="Times New Roman"/>
          <w:color w:val="auto"/>
          <w:sz w:val="30"/>
          <w:szCs w:val="30"/>
          <w:u w:val="single"/>
        </w:rPr>
      </w:pPr>
    </w:p>
    <w:p>
      <w:pPr>
        <w:ind w:firstLine="900"/>
        <w:rPr>
          <w:rFonts w:ascii="Times New Roman" w:hAnsi="Times New Roman"/>
          <w:color w:val="auto"/>
          <w:sz w:val="30"/>
          <w:szCs w:val="30"/>
          <w:u w:val="single"/>
        </w:rPr>
      </w:pPr>
    </w:p>
    <w:p>
      <w:pPr>
        <w:ind w:firstLine="900"/>
        <w:rPr>
          <w:rFonts w:ascii="Times New Roman" w:hAnsi="Times New Roman"/>
          <w:color w:val="auto"/>
          <w:sz w:val="30"/>
          <w:szCs w:val="30"/>
          <w:u w:val="single"/>
        </w:rPr>
      </w:pPr>
    </w:p>
    <w:p>
      <w:pPr>
        <w:ind w:firstLine="900"/>
        <w:rPr>
          <w:rFonts w:ascii="Times New Roman" w:hAnsi="Times New Roman"/>
          <w:color w:val="auto"/>
          <w:sz w:val="30"/>
          <w:szCs w:val="30"/>
          <w:u w:val="single"/>
        </w:rPr>
      </w:pPr>
    </w:p>
    <w:p>
      <w:pPr>
        <w:ind w:firstLine="900"/>
        <w:rPr>
          <w:rFonts w:ascii="Times New Roman" w:hAnsi="Times New Roman"/>
          <w:color w:val="auto"/>
          <w:sz w:val="30"/>
          <w:szCs w:val="30"/>
          <w:u w:val="single"/>
        </w:rPr>
      </w:pPr>
    </w:p>
    <w:p>
      <w:pPr>
        <w:snapToGrid w:val="0"/>
        <w:jc w:val="center"/>
        <w:rPr>
          <w:rFonts w:ascii="Times New Roman" w:hAnsi="Times New Roman"/>
          <w:b/>
          <w:color w:val="auto"/>
          <w:sz w:val="32"/>
          <w:szCs w:val="32"/>
        </w:rPr>
      </w:pPr>
    </w:p>
    <w:p>
      <w:pPr>
        <w:snapToGrid w:val="0"/>
        <w:jc w:val="center"/>
        <w:rPr>
          <w:rFonts w:ascii="Times New Roman" w:hAnsi="Times New Roman"/>
          <w:b/>
          <w:color w:val="auto"/>
          <w:sz w:val="32"/>
          <w:szCs w:val="32"/>
        </w:rPr>
      </w:pPr>
      <w:r>
        <w:rPr>
          <w:rFonts w:ascii="Times New Roman" w:hAnsi="Times New Roman"/>
          <w:b/>
          <w:color w:val="auto"/>
          <w:sz w:val="32"/>
          <w:szCs w:val="32"/>
        </w:rPr>
        <w:t>国家市场监督管理总局</w:t>
      </w:r>
      <w:r>
        <w:rPr>
          <w:rFonts w:ascii="Times New Roman" w:hAnsi="Times New Roman"/>
          <w:color w:val="auto"/>
        </w:rPr>
        <w:br w:type="page"/>
      </w:r>
    </w:p>
    <w:p>
      <w:pPr>
        <w:snapToGrid w:val="0"/>
        <w:spacing w:line="360" w:lineRule="auto"/>
        <w:jc w:val="center"/>
        <w:rPr>
          <w:rFonts w:ascii="Times New Roman" w:hAnsi="Times New Roman"/>
          <w:b/>
          <w:color w:val="auto"/>
          <w:sz w:val="32"/>
          <w:szCs w:val="32"/>
        </w:rPr>
      </w:pPr>
      <w:bookmarkStart w:id="66" w:name="_Hlk175122793"/>
      <w:r>
        <w:rPr>
          <w:rFonts w:ascii="Times New Roman" w:hAnsi="Times New Roman"/>
          <w:b/>
          <w:color w:val="auto"/>
          <w:sz w:val="32"/>
          <w:szCs w:val="32"/>
        </w:rPr>
        <w:t>应用说明</w:t>
      </w:r>
    </w:p>
    <w:p>
      <w:pPr>
        <w:snapToGrid w:val="0"/>
        <w:spacing w:line="360" w:lineRule="auto"/>
        <w:ind w:firstLine="420"/>
        <w:rPr>
          <w:rFonts w:ascii="Times New Roman" w:hAnsi="Times New Roman"/>
          <w:color w:val="auto"/>
          <w:u w:val="single"/>
        </w:rPr>
      </w:pPr>
      <w:r>
        <w:rPr>
          <w:rFonts w:ascii="Times New Roman" w:hAnsi="Times New Roman"/>
          <w:color w:val="auto"/>
        </w:rPr>
        <w:t>1. 本办法核查内容分为6大部分22条30款，应根据其满足程度和相关条款“备注”栏中给出的判定原则分别作出符合、不符合、建议改进。</w:t>
      </w:r>
    </w:p>
    <w:p>
      <w:pPr>
        <w:snapToGrid w:val="0"/>
        <w:spacing w:line="360" w:lineRule="auto"/>
        <w:ind w:firstLine="420"/>
        <w:rPr>
          <w:rFonts w:ascii="Times New Roman" w:hAnsi="Times New Roman"/>
          <w:color w:val="auto"/>
        </w:rPr>
      </w:pPr>
      <w:r>
        <w:rPr>
          <w:rFonts w:ascii="Times New Roman" w:hAnsi="Times New Roman"/>
          <w:color w:val="auto"/>
        </w:rPr>
        <w:t>2. 企业申请材料与企业实际情况不符的，应判为不符合。</w:t>
      </w:r>
    </w:p>
    <w:p>
      <w:pPr>
        <w:snapToGrid w:val="0"/>
        <w:spacing w:line="360" w:lineRule="auto"/>
        <w:ind w:firstLine="420"/>
        <w:rPr>
          <w:rFonts w:ascii="Times New Roman" w:hAnsi="Times New Roman"/>
          <w:color w:val="auto"/>
        </w:rPr>
      </w:pPr>
      <w:r>
        <w:rPr>
          <w:rFonts w:ascii="Times New Roman" w:hAnsi="Times New Roman"/>
          <w:color w:val="auto"/>
        </w:rPr>
        <w:t>3. 凡涉及到企业的生产设施、生产设备、检验检测设备、落实质量安全主体责任和质量安全追溯要求等缺失问题的，应判相关条款不符合。</w:t>
      </w:r>
    </w:p>
    <w:p>
      <w:pPr>
        <w:snapToGrid w:val="0"/>
        <w:spacing w:line="360" w:lineRule="auto"/>
        <w:ind w:firstLine="420"/>
        <w:rPr>
          <w:rFonts w:ascii="Times New Roman" w:hAnsi="Times New Roman"/>
          <w:color w:val="auto"/>
        </w:rPr>
      </w:pPr>
      <w:r>
        <w:rPr>
          <w:rFonts w:ascii="Times New Roman" w:hAnsi="Times New Roman"/>
          <w:color w:val="auto"/>
        </w:rPr>
        <w:t>4. 每款核查内容逐个判断，并在对应的“是”或“否”的选项框中打“√”，凡在“否”的选项框中打“√”的，须填写详细的</w:t>
      </w:r>
      <w:r>
        <w:rPr>
          <w:rFonts w:hint="eastAsia" w:ascii="Times New Roman" w:hAnsi="Times New Roman"/>
          <w:color w:val="auto"/>
        </w:rPr>
        <w:t>建议改进或</w:t>
      </w:r>
      <w:r>
        <w:rPr>
          <w:rFonts w:ascii="Times New Roman" w:hAnsi="Times New Roman"/>
          <w:color w:val="auto"/>
        </w:rPr>
        <w:t>不符合事实。</w:t>
      </w:r>
    </w:p>
    <w:p>
      <w:pPr>
        <w:snapToGrid w:val="0"/>
        <w:spacing w:line="360" w:lineRule="auto"/>
        <w:ind w:firstLine="420"/>
        <w:rPr>
          <w:rFonts w:ascii="Times New Roman" w:hAnsi="Times New Roman"/>
          <w:color w:val="auto"/>
        </w:rPr>
      </w:pPr>
      <w:r>
        <w:rPr>
          <w:rFonts w:ascii="Times New Roman" w:hAnsi="Times New Roman"/>
          <w:color w:val="auto"/>
        </w:rPr>
        <w:t>5．核查结论的确定原则：经核查22条均未发现不符合，核查结论为合格。否则核查结论为不合格。</w:t>
      </w:r>
    </w:p>
    <w:p>
      <w:pPr>
        <w:spacing w:line="360" w:lineRule="auto"/>
        <w:ind w:firstLine="420"/>
        <w:rPr>
          <w:rFonts w:ascii="Times New Roman" w:hAnsi="Times New Roman"/>
          <w:color w:val="auto"/>
        </w:rPr>
      </w:pPr>
    </w:p>
    <w:p>
      <w:pPr>
        <w:spacing w:line="360" w:lineRule="auto"/>
        <w:ind w:firstLine="420"/>
        <w:rPr>
          <w:rFonts w:ascii="Times New Roman" w:hAnsi="Times New Roman"/>
          <w:color w:val="auto"/>
        </w:rPr>
      </w:pPr>
    </w:p>
    <w:p>
      <w:pPr>
        <w:spacing w:line="360" w:lineRule="auto"/>
        <w:ind w:firstLine="420"/>
        <w:rPr>
          <w:rFonts w:ascii="Times New Roman" w:hAnsi="Times New Roman"/>
          <w:color w:val="auto"/>
        </w:rPr>
      </w:pPr>
    </w:p>
    <w:p>
      <w:pPr>
        <w:spacing w:line="360" w:lineRule="auto"/>
        <w:ind w:firstLine="420"/>
        <w:rPr>
          <w:rFonts w:ascii="Times New Roman" w:hAnsi="Times New Roman"/>
          <w:color w:val="auto"/>
        </w:rPr>
      </w:pPr>
    </w:p>
    <w:p>
      <w:pPr>
        <w:spacing w:line="360" w:lineRule="auto"/>
        <w:ind w:firstLine="420"/>
        <w:rPr>
          <w:rFonts w:ascii="Times New Roman" w:hAnsi="Times New Roman"/>
          <w:color w:val="auto"/>
        </w:rPr>
      </w:pPr>
    </w:p>
    <w:p>
      <w:pPr>
        <w:spacing w:line="360" w:lineRule="auto"/>
        <w:ind w:firstLine="420"/>
        <w:rPr>
          <w:rFonts w:ascii="Times New Roman" w:hAnsi="Times New Roman"/>
          <w:color w:val="auto"/>
        </w:rPr>
      </w:pPr>
    </w:p>
    <w:p>
      <w:pPr>
        <w:spacing w:line="360" w:lineRule="auto"/>
        <w:ind w:firstLine="420"/>
        <w:rPr>
          <w:rFonts w:ascii="Times New Roman" w:hAnsi="Times New Roman"/>
          <w:color w:val="auto"/>
        </w:rPr>
      </w:pPr>
    </w:p>
    <w:p>
      <w:pPr>
        <w:spacing w:line="360" w:lineRule="auto"/>
        <w:ind w:firstLine="420"/>
        <w:rPr>
          <w:rFonts w:ascii="Times New Roman" w:hAnsi="Times New Roman"/>
          <w:color w:val="auto"/>
        </w:rPr>
      </w:pPr>
    </w:p>
    <w:p>
      <w:pPr>
        <w:spacing w:line="360" w:lineRule="auto"/>
        <w:ind w:firstLine="420"/>
        <w:rPr>
          <w:rFonts w:ascii="Times New Roman" w:hAnsi="Times New Roman"/>
          <w:color w:val="auto"/>
        </w:rPr>
      </w:pPr>
    </w:p>
    <w:p>
      <w:pPr>
        <w:spacing w:line="360" w:lineRule="auto"/>
        <w:ind w:firstLine="420"/>
        <w:rPr>
          <w:rFonts w:ascii="Times New Roman" w:hAnsi="Times New Roman"/>
          <w:color w:val="auto"/>
        </w:rPr>
      </w:pPr>
    </w:p>
    <w:p>
      <w:pPr>
        <w:spacing w:line="360" w:lineRule="auto"/>
        <w:ind w:firstLine="420"/>
        <w:rPr>
          <w:rFonts w:ascii="Times New Roman" w:hAnsi="Times New Roman"/>
          <w:color w:val="auto"/>
        </w:rPr>
      </w:pPr>
    </w:p>
    <w:p>
      <w:pPr>
        <w:spacing w:line="360" w:lineRule="auto"/>
        <w:ind w:firstLine="420"/>
        <w:rPr>
          <w:rFonts w:ascii="Times New Roman" w:hAnsi="Times New Roman"/>
          <w:color w:val="auto"/>
        </w:rPr>
      </w:pPr>
    </w:p>
    <w:p>
      <w:pPr>
        <w:spacing w:line="360" w:lineRule="auto"/>
        <w:ind w:firstLine="420"/>
        <w:rPr>
          <w:rFonts w:ascii="Times New Roman" w:hAnsi="Times New Roman"/>
          <w:color w:val="auto"/>
        </w:rPr>
      </w:pPr>
    </w:p>
    <w:p>
      <w:pPr>
        <w:spacing w:line="360" w:lineRule="auto"/>
        <w:ind w:firstLine="420"/>
        <w:rPr>
          <w:rFonts w:ascii="Times New Roman" w:hAnsi="Times New Roman"/>
          <w:color w:val="auto"/>
        </w:rPr>
      </w:pPr>
    </w:p>
    <w:p>
      <w:pPr>
        <w:spacing w:line="360" w:lineRule="auto"/>
        <w:ind w:firstLine="420"/>
        <w:rPr>
          <w:rFonts w:ascii="Times New Roman" w:hAnsi="Times New Roman"/>
          <w:color w:val="auto"/>
        </w:rPr>
      </w:pPr>
    </w:p>
    <w:p>
      <w:pPr>
        <w:spacing w:line="360" w:lineRule="auto"/>
        <w:ind w:firstLine="420"/>
        <w:rPr>
          <w:rFonts w:ascii="Times New Roman" w:hAnsi="Times New Roman"/>
          <w:color w:val="auto"/>
        </w:rPr>
      </w:pPr>
    </w:p>
    <w:p>
      <w:pPr>
        <w:spacing w:line="360" w:lineRule="auto"/>
        <w:ind w:firstLine="420"/>
        <w:rPr>
          <w:rFonts w:ascii="Times New Roman" w:hAnsi="Times New Roman"/>
          <w:color w:val="auto"/>
        </w:rPr>
      </w:pPr>
    </w:p>
    <w:p>
      <w:pPr>
        <w:spacing w:line="360" w:lineRule="auto"/>
        <w:ind w:firstLine="420"/>
        <w:rPr>
          <w:rFonts w:ascii="Times New Roman" w:hAnsi="Times New Roman"/>
          <w:color w:val="auto"/>
        </w:rPr>
      </w:pPr>
    </w:p>
    <w:p>
      <w:pPr>
        <w:spacing w:line="360" w:lineRule="auto"/>
        <w:ind w:firstLine="420"/>
        <w:rPr>
          <w:rFonts w:ascii="Times New Roman" w:hAnsi="Times New Roman"/>
          <w:color w:val="auto"/>
        </w:rPr>
      </w:pPr>
    </w:p>
    <w:p>
      <w:pPr>
        <w:spacing w:line="360" w:lineRule="auto"/>
        <w:rPr>
          <w:rFonts w:ascii="Times New Roman" w:hAnsi="Times New Roman"/>
          <w:color w:val="auto"/>
        </w:rPr>
      </w:pPr>
    </w:p>
    <w:p>
      <w:pPr>
        <w:spacing w:line="360" w:lineRule="auto"/>
        <w:rPr>
          <w:rFonts w:ascii="Times New Roman" w:hAnsi="Times New Roman"/>
          <w:color w:val="auto"/>
        </w:rPr>
      </w:pPr>
    </w:p>
    <w:p>
      <w:pPr>
        <w:spacing w:line="360" w:lineRule="auto"/>
        <w:rPr>
          <w:rFonts w:ascii="Times New Roman" w:hAnsi="Times New Roman"/>
          <w:color w:val="auto"/>
        </w:rPr>
      </w:pPr>
    </w:p>
    <w:p>
      <w:pPr>
        <w:spacing w:line="360" w:lineRule="auto"/>
        <w:rPr>
          <w:rFonts w:ascii="Times New Roman" w:hAnsi="Times New Roman"/>
          <w:color w:val="auto"/>
        </w:rPr>
      </w:pPr>
    </w:p>
    <w:p>
      <w:pPr>
        <w:spacing w:line="360" w:lineRule="auto"/>
        <w:rPr>
          <w:rFonts w:ascii="Times New Roman" w:hAnsi="Times New Roman"/>
          <w:color w:val="auto"/>
        </w:rPr>
      </w:pPr>
    </w:p>
    <w:p>
      <w:pPr>
        <w:spacing w:line="360" w:lineRule="auto"/>
        <w:rPr>
          <w:rFonts w:ascii="Times New Roman" w:hAnsi="Times New Roman"/>
          <w:color w:val="auto"/>
        </w:rPr>
        <w:sectPr>
          <w:headerReference r:id="rId6" w:type="first"/>
          <w:footerReference r:id="rId7" w:type="default"/>
          <w:footerReference r:id="rId8" w:type="even"/>
          <w:pgSz w:w="11906" w:h="16838"/>
          <w:pgMar w:top="1417" w:right="1417" w:bottom="1417" w:left="1417" w:header="851" w:footer="992" w:gutter="0"/>
          <w:cols w:space="720" w:num="1"/>
          <w:docGrid w:linePitch="312" w:charSpace="0"/>
        </w:sectPr>
      </w:pPr>
    </w:p>
    <w:tbl>
      <w:tblPr>
        <w:tblStyle w:val="37"/>
        <w:tblW w:w="13733"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68" w:type="dxa"/>
          <w:bottom w:w="0" w:type="dxa"/>
          <w:right w:w="68" w:type="dxa"/>
        </w:tblCellMar>
      </w:tblPr>
      <w:tblGrid>
        <w:gridCol w:w="717"/>
        <w:gridCol w:w="696"/>
        <w:gridCol w:w="4252"/>
        <w:gridCol w:w="1560"/>
        <w:gridCol w:w="1417"/>
        <w:gridCol w:w="5091"/>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210" w:hRule="atLeast"/>
          <w:tblHeader/>
          <w:jc w:val="center"/>
        </w:trPr>
        <w:tc>
          <w:tcPr>
            <w:tcW w:w="71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color w:val="auto"/>
              </w:rPr>
            </w:pPr>
            <w:r>
              <w:rPr>
                <w:rFonts w:ascii="Times New Roman" w:hAnsi="Times New Roman"/>
                <w:b/>
                <w:bCs/>
                <w:color w:val="auto"/>
              </w:rPr>
              <w:t>序号</w:t>
            </w:r>
          </w:p>
        </w:tc>
        <w:tc>
          <w:tcPr>
            <w:tcW w:w="6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color w:val="auto"/>
              </w:rPr>
            </w:pPr>
            <w:r>
              <w:rPr>
                <w:rFonts w:ascii="Times New Roman" w:hAnsi="Times New Roman"/>
                <w:b/>
                <w:bCs/>
                <w:color w:val="auto"/>
              </w:rPr>
              <w:t>核查</w:t>
            </w:r>
          </w:p>
          <w:p>
            <w:pPr>
              <w:adjustRightInd w:val="0"/>
              <w:snapToGrid w:val="0"/>
              <w:jc w:val="center"/>
              <w:rPr>
                <w:rFonts w:ascii="Times New Roman" w:hAnsi="Times New Roman"/>
                <w:b/>
                <w:bCs/>
                <w:color w:val="auto"/>
              </w:rPr>
            </w:pPr>
            <w:r>
              <w:rPr>
                <w:rFonts w:ascii="Times New Roman" w:hAnsi="Times New Roman"/>
                <w:b/>
                <w:bCs/>
                <w:color w:val="auto"/>
              </w:rPr>
              <w:t>项目</w:t>
            </w:r>
          </w:p>
        </w:tc>
        <w:tc>
          <w:tcPr>
            <w:tcW w:w="425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color w:val="auto"/>
              </w:rPr>
            </w:pPr>
            <w:r>
              <w:rPr>
                <w:rFonts w:ascii="Times New Roman" w:hAnsi="Times New Roman"/>
                <w:b/>
                <w:bCs/>
                <w:color w:val="auto"/>
              </w:rPr>
              <w:t>核查内容和要点</w:t>
            </w: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color w:val="auto"/>
              </w:rPr>
            </w:pPr>
            <w:r>
              <w:rPr>
                <w:rFonts w:ascii="Times New Roman" w:hAnsi="Times New Roman"/>
                <w:b/>
                <w:bCs/>
                <w:color w:val="auto"/>
              </w:rPr>
              <w:t>核查情况</w:t>
            </w:r>
          </w:p>
        </w:tc>
        <w:tc>
          <w:tcPr>
            <w:tcW w:w="141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color w:val="auto"/>
              </w:rPr>
            </w:pPr>
            <w:r>
              <w:rPr>
                <w:rFonts w:ascii="Times New Roman" w:hAnsi="Times New Roman"/>
                <w:b/>
                <w:bCs/>
                <w:color w:val="auto"/>
              </w:rPr>
              <w:t>结论</w:t>
            </w:r>
          </w:p>
        </w:tc>
        <w:tc>
          <w:tcPr>
            <w:tcW w:w="509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color w:val="auto"/>
              </w:rPr>
            </w:pPr>
            <w:r>
              <w:rPr>
                <w:rFonts w:ascii="Times New Roman" w:hAnsi="Times New Roman"/>
                <w:b/>
                <w:bCs/>
                <w:color w:val="auto"/>
              </w:rPr>
              <w:t>备注</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210"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color w:val="auto"/>
              </w:rPr>
            </w:pPr>
            <w:r>
              <w:rPr>
                <w:rFonts w:ascii="Times New Roman" w:hAnsi="Times New Roman"/>
                <w:b/>
                <w:color w:val="auto"/>
              </w:rPr>
              <w:t>1</w:t>
            </w:r>
          </w:p>
        </w:tc>
        <w:tc>
          <w:tcPr>
            <w:tcW w:w="13016" w:type="dxa"/>
            <w:gridSpan w:val="5"/>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b/>
                <w:color w:val="auto"/>
              </w:rPr>
            </w:pPr>
            <w:r>
              <w:rPr>
                <w:rFonts w:ascii="Times New Roman" w:hAnsi="Times New Roman"/>
                <w:b/>
                <w:color w:val="auto"/>
              </w:rPr>
              <w:t>申请材料</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90" w:hRule="atLeast"/>
          <w:jc w:val="center"/>
        </w:trPr>
        <w:tc>
          <w:tcPr>
            <w:tcW w:w="717" w:type="dxa"/>
            <w:vMerge w:val="restart"/>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color w:val="auto"/>
              </w:rPr>
            </w:pPr>
            <w:r>
              <w:rPr>
                <w:rFonts w:ascii="Times New Roman" w:hAnsi="Times New Roman"/>
                <w:color w:val="auto"/>
              </w:rPr>
              <w:t>1.1</w:t>
            </w:r>
          </w:p>
        </w:tc>
        <w:tc>
          <w:tcPr>
            <w:tcW w:w="696" w:type="dxa"/>
            <w:vMerge w:val="restart"/>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证照信息</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1）营业执照是否在有效期限内。</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vMerge w:val="restart"/>
            <w:tcBorders>
              <w:top w:val="single" w:color="auto" w:sz="4" w:space="0"/>
              <w:left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符合</w:t>
            </w:r>
          </w:p>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tc>
        <w:tc>
          <w:tcPr>
            <w:tcW w:w="5091" w:type="dxa"/>
            <w:vMerge w:val="restart"/>
            <w:tcBorders>
              <w:top w:val="single" w:color="auto" w:sz="4" w:space="0"/>
              <w:left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1）～4）款，若为填写、打印错误允许勘误，此类情况不判为不符合。</w:t>
            </w:r>
          </w:p>
          <w:p>
            <w:pPr>
              <w:snapToGrid w:val="0"/>
              <w:rPr>
                <w:rFonts w:ascii="Times New Roman" w:hAnsi="Times New Roman"/>
                <w:color w:val="auto"/>
              </w:rPr>
            </w:pPr>
            <w:r>
              <w:rPr>
                <w:rFonts w:ascii="Times New Roman" w:hAnsi="Times New Roman"/>
                <w:color w:val="auto"/>
              </w:rPr>
              <w:t>1）～4）款，任意</w:t>
            </w:r>
            <w:r>
              <w:rPr>
                <w:rFonts w:hint="eastAsia" w:ascii="Times New Roman" w:hAnsi="Times New Roman"/>
                <w:color w:val="auto"/>
              </w:rPr>
              <w:t>一</w:t>
            </w:r>
            <w:r>
              <w:rPr>
                <w:rFonts w:ascii="Times New Roman" w:hAnsi="Times New Roman"/>
                <w:color w:val="auto"/>
              </w:rPr>
              <w:t>款为否时，均判为不符合。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507" w:hRule="atLeast"/>
          <w:jc w:val="center"/>
        </w:trPr>
        <w:tc>
          <w:tcPr>
            <w:tcW w:w="717" w:type="dxa"/>
            <w:vMerge w:val="continue"/>
            <w:tcBorders>
              <w:left w:val="single" w:color="auto" w:sz="4" w:space="0"/>
              <w:right w:val="single" w:color="auto" w:sz="4" w:space="0"/>
            </w:tcBorders>
            <w:vAlign w:val="center"/>
          </w:tcPr>
          <w:p>
            <w:pPr>
              <w:snapToGrid w:val="0"/>
              <w:jc w:val="center"/>
              <w:rPr>
                <w:rFonts w:ascii="Times New Roman" w:hAnsi="Times New Roman"/>
                <w:color w:val="auto"/>
              </w:rPr>
            </w:pPr>
          </w:p>
        </w:tc>
        <w:tc>
          <w:tcPr>
            <w:tcW w:w="696" w:type="dxa"/>
            <w:vMerge w:val="continue"/>
            <w:tcBorders>
              <w:left w:val="single" w:color="auto" w:sz="4" w:space="0"/>
              <w:right w:val="single" w:color="auto" w:sz="4" w:space="0"/>
            </w:tcBorders>
            <w:vAlign w:val="center"/>
          </w:tcPr>
          <w:p>
            <w:pPr>
              <w:snapToGrid w:val="0"/>
              <w:jc w:val="center"/>
              <w:rPr>
                <w:rFonts w:ascii="Times New Roman" w:hAnsi="Times New Roman"/>
                <w:color w:val="auto"/>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2）申请单的企业名称、统一社会信用代码、法定代表人或负责人、住所等信息与营业执照是否一致。</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vMerge w:val="continue"/>
            <w:tcBorders>
              <w:left w:val="single" w:color="auto" w:sz="4" w:space="0"/>
              <w:right w:val="single" w:color="auto" w:sz="4" w:space="0"/>
            </w:tcBorders>
            <w:vAlign w:val="center"/>
          </w:tcPr>
          <w:p>
            <w:pPr>
              <w:snapToGrid w:val="0"/>
              <w:jc w:val="left"/>
              <w:rPr>
                <w:rFonts w:ascii="Times New Roman" w:hAnsi="Times New Roman"/>
                <w:color w:val="auto"/>
              </w:rPr>
            </w:pPr>
          </w:p>
        </w:tc>
        <w:tc>
          <w:tcPr>
            <w:tcW w:w="5091" w:type="dxa"/>
            <w:vMerge w:val="continue"/>
            <w:tcBorders>
              <w:left w:val="single" w:color="auto" w:sz="4" w:space="0"/>
              <w:right w:val="single" w:color="auto" w:sz="4" w:space="0"/>
            </w:tcBorders>
            <w:vAlign w:val="center"/>
          </w:tcPr>
          <w:p>
            <w:pPr>
              <w:snapToGrid w:val="0"/>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523" w:hRule="atLeast"/>
          <w:jc w:val="center"/>
        </w:trPr>
        <w:tc>
          <w:tcPr>
            <w:tcW w:w="717" w:type="dxa"/>
            <w:vMerge w:val="continue"/>
            <w:tcBorders>
              <w:left w:val="single" w:color="auto" w:sz="4" w:space="0"/>
              <w:right w:val="single" w:color="auto" w:sz="4" w:space="0"/>
            </w:tcBorders>
            <w:vAlign w:val="center"/>
          </w:tcPr>
          <w:p>
            <w:pPr>
              <w:snapToGrid w:val="0"/>
              <w:jc w:val="center"/>
              <w:rPr>
                <w:rFonts w:ascii="Times New Roman" w:hAnsi="Times New Roman"/>
                <w:color w:val="auto"/>
              </w:rPr>
            </w:pPr>
          </w:p>
        </w:tc>
        <w:tc>
          <w:tcPr>
            <w:tcW w:w="696" w:type="dxa"/>
            <w:vMerge w:val="continue"/>
            <w:tcBorders>
              <w:left w:val="single" w:color="auto" w:sz="4" w:space="0"/>
              <w:right w:val="single" w:color="auto" w:sz="4" w:space="0"/>
            </w:tcBorders>
            <w:vAlign w:val="center"/>
          </w:tcPr>
          <w:p>
            <w:pPr>
              <w:snapToGrid w:val="0"/>
              <w:jc w:val="center"/>
              <w:rPr>
                <w:rFonts w:ascii="Times New Roman" w:hAnsi="Times New Roman"/>
                <w:color w:val="auto"/>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3）申请单填写的地址与实际生产地址是否一致。</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vMerge w:val="continue"/>
            <w:tcBorders>
              <w:left w:val="single" w:color="auto" w:sz="4" w:space="0"/>
              <w:right w:val="single" w:color="auto" w:sz="4" w:space="0"/>
            </w:tcBorders>
            <w:vAlign w:val="center"/>
          </w:tcPr>
          <w:p>
            <w:pPr>
              <w:snapToGrid w:val="0"/>
              <w:jc w:val="left"/>
              <w:rPr>
                <w:rFonts w:ascii="Times New Roman" w:hAnsi="Times New Roman"/>
                <w:color w:val="auto"/>
              </w:rPr>
            </w:pPr>
          </w:p>
        </w:tc>
        <w:tc>
          <w:tcPr>
            <w:tcW w:w="5091" w:type="dxa"/>
            <w:vMerge w:val="continue"/>
            <w:tcBorders>
              <w:left w:val="single" w:color="auto" w:sz="4" w:space="0"/>
              <w:right w:val="single" w:color="auto" w:sz="4" w:space="0"/>
            </w:tcBorders>
            <w:vAlign w:val="center"/>
          </w:tcPr>
          <w:p>
            <w:pPr>
              <w:snapToGrid w:val="0"/>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386" w:hRule="atLeast"/>
          <w:jc w:val="center"/>
        </w:trPr>
        <w:tc>
          <w:tcPr>
            <w:tcW w:w="717" w:type="dxa"/>
            <w:vMerge w:val="continue"/>
            <w:tcBorders>
              <w:left w:val="single" w:color="auto" w:sz="4" w:space="0"/>
              <w:right w:val="single" w:color="auto" w:sz="4" w:space="0"/>
            </w:tcBorders>
            <w:vAlign w:val="center"/>
          </w:tcPr>
          <w:p>
            <w:pPr>
              <w:snapToGrid w:val="0"/>
              <w:jc w:val="center"/>
              <w:rPr>
                <w:rFonts w:ascii="Times New Roman" w:hAnsi="Times New Roman"/>
                <w:color w:val="auto"/>
              </w:rPr>
            </w:pPr>
          </w:p>
        </w:tc>
        <w:tc>
          <w:tcPr>
            <w:tcW w:w="696" w:type="dxa"/>
            <w:vMerge w:val="continue"/>
            <w:tcBorders>
              <w:left w:val="single" w:color="auto" w:sz="4" w:space="0"/>
              <w:right w:val="single" w:color="auto" w:sz="4" w:space="0"/>
            </w:tcBorders>
            <w:vAlign w:val="center"/>
          </w:tcPr>
          <w:p>
            <w:pPr>
              <w:snapToGrid w:val="0"/>
              <w:jc w:val="center"/>
              <w:rPr>
                <w:rFonts w:ascii="Times New Roman" w:hAnsi="Times New Roman"/>
                <w:color w:val="auto"/>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4）实际生产地址与营业执照登记住所是否一致（实际生产地址应与营业执照住所同地址，若不同或有多个生产地址，该生产地址应经市场监管部门登记或备案或在营业执照上变更为“一照多址”）。</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vMerge w:val="continue"/>
            <w:tcBorders>
              <w:left w:val="single" w:color="auto" w:sz="4" w:space="0"/>
              <w:right w:val="single" w:color="auto" w:sz="4" w:space="0"/>
            </w:tcBorders>
            <w:vAlign w:val="center"/>
          </w:tcPr>
          <w:p>
            <w:pPr>
              <w:snapToGrid w:val="0"/>
              <w:jc w:val="left"/>
              <w:rPr>
                <w:rFonts w:ascii="Times New Roman" w:hAnsi="Times New Roman"/>
                <w:color w:val="auto"/>
              </w:rPr>
            </w:pPr>
          </w:p>
        </w:tc>
        <w:tc>
          <w:tcPr>
            <w:tcW w:w="5091" w:type="dxa"/>
            <w:vMerge w:val="continue"/>
            <w:tcBorders>
              <w:left w:val="single" w:color="auto" w:sz="4" w:space="0"/>
              <w:right w:val="single" w:color="auto" w:sz="4" w:space="0"/>
            </w:tcBorders>
            <w:vAlign w:val="center"/>
          </w:tcPr>
          <w:p>
            <w:pPr>
              <w:snapToGrid w:val="0"/>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90"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color w:val="auto"/>
              </w:rPr>
            </w:pPr>
            <w:r>
              <w:rPr>
                <w:rFonts w:ascii="Times New Roman" w:hAnsi="Times New Roman"/>
                <w:color w:val="auto"/>
              </w:rPr>
              <w:t>1.2</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检验检测报告</w:t>
            </w:r>
          </w:p>
        </w:tc>
        <w:tc>
          <w:tcPr>
            <w:tcW w:w="4252" w:type="dxa"/>
            <w:tcBorders>
              <w:top w:val="single" w:color="auto" w:sz="4" w:space="0"/>
              <w:left w:val="single" w:color="auto" w:sz="4" w:space="0"/>
              <w:right w:val="single" w:color="auto" w:sz="4" w:space="0"/>
            </w:tcBorders>
            <w:vAlign w:val="center"/>
          </w:tcPr>
          <w:p>
            <w:pPr>
              <w:adjustRightInd w:val="0"/>
              <w:snapToGrid w:val="0"/>
              <w:rPr>
                <w:rFonts w:ascii="Times New Roman" w:hAnsi="Times New Roman"/>
                <w:bCs/>
                <w:color w:val="auto"/>
              </w:rPr>
            </w:pPr>
            <w:r>
              <w:rPr>
                <w:rFonts w:ascii="Times New Roman" w:hAnsi="Times New Roman"/>
                <w:color w:val="auto"/>
              </w:rPr>
              <w:t>5）</w:t>
            </w:r>
            <w:r>
              <w:rPr>
                <w:rFonts w:ascii="Times New Roman" w:hAnsi="Times New Roman"/>
                <w:bCs/>
                <w:color w:val="auto"/>
              </w:rPr>
              <w:t>企业申请时提交的产品检验检测报告是否满足以下要求：</w:t>
            </w:r>
          </w:p>
          <w:p>
            <w:pPr>
              <w:adjustRightInd w:val="0"/>
              <w:snapToGrid w:val="0"/>
              <w:ind w:firstLine="420" w:firstLineChars="200"/>
              <w:rPr>
                <w:rFonts w:ascii="Times New Roman" w:hAnsi="Times New Roman"/>
                <w:bCs/>
                <w:color w:val="auto"/>
              </w:rPr>
            </w:pPr>
            <w:r>
              <w:rPr>
                <w:rFonts w:ascii="Times New Roman" w:hAnsi="Times New Roman"/>
                <w:bCs/>
                <w:color w:val="auto"/>
              </w:rPr>
              <w:t>产品检验检测报告应为所申请产品规格的相关产品的型式检验报告、委托产品检验检测报告或省级以上政府监督检验报告中的任意一类报告。</w:t>
            </w:r>
          </w:p>
          <w:p>
            <w:pPr>
              <w:adjustRightInd w:val="0"/>
              <w:snapToGrid w:val="0"/>
              <w:ind w:firstLine="420" w:firstLineChars="200"/>
              <w:rPr>
                <w:rFonts w:ascii="Times New Roman" w:hAnsi="Times New Roman"/>
                <w:bCs/>
                <w:color w:val="auto"/>
              </w:rPr>
            </w:pPr>
            <w:r>
              <w:rPr>
                <w:rFonts w:ascii="Times New Roman" w:hAnsi="Times New Roman"/>
                <w:color w:val="auto"/>
              </w:rPr>
              <w:t>1个复肥种类应提交1份覆盖本细则附件1规定的产品检验检测项目的合格报告，报告中的检验检测项目不得为多份检验检测报告组合。</w:t>
            </w:r>
          </w:p>
          <w:p>
            <w:pPr>
              <w:adjustRightInd w:val="0"/>
              <w:snapToGrid w:val="0"/>
              <w:ind w:firstLine="420" w:firstLineChars="200"/>
              <w:rPr>
                <w:rFonts w:ascii="Times New Roman" w:hAnsi="Times New Roman"/>
                <w:bCs/>
                <w:color w:val="auto"/>
              </w:rPr>
            </w:pPr>
            <w:r>
              <w:rPr>
                <w:rFonts w:ascii="Times New Roman" w:hAnsi="Times New Roman"/>
                <w:bCs/>
                <w:color w:val="auto"/>
              </w:rPr>
              <w:t>产品检验检测报告应为6个月内符合本细则表2规定标准的合格检验报告。</w:t>
            </w:r>
          </w:p>
          <w:p>
            <w:pPr>
              <w:snapToGrid w:val="0"/>
              <w:ind w:firstLine="420" w:firstLineChars="200"/>
              <w:rPr>
                <w:rFonts w:ascii="Times New Roman" w:hAnsi="Times New Roman"/>
                <w:i/>
                <w:iCs/>
                <w:color w:val="auto"/>
              </w:rPr>
            </w:pPr>
            <w:r>
              <w:rPr>
                <w:rFonts w:ascii="Times New Roman" w:hAnsi="Times New Roman"/>
                <w:bCs/>
                <w:color w:val="auto"/>
              </w:rPr>
              <w:t>出具报告的检验检测机构应具备相应检验项目资质，企业应提供检验检测机构有效的CMA资质认定证书及其附件。</w:t>
            </w:r>
          </w:p>
        </w:tc>
        <w:tc>
          <w:tcPr>
            <w:tcW w:w="1560" w:type="dxa"/>
            <w:tcBorders>
              <w:top w:val="single" w:color="auto" w:sz="4" w:space="0"/>
              <w:left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符合</w:t>
            </w:r>
          </w:p>
          <w:p>
            <w:pPr>
              <w:snapToGrid w:val="0"/>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tc>
        <w:tc>
          <w:tcPr>
            <w:tcW w:w="5091"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color w:val="auto"/>
              </w:rPr>
            </w:pPr>
            <w:r>
              <w:rPr>
                <w:rFonts w:ascii="Times New Roman" w:hAnsi="Times New Roman"/>
                <w:color w:val="auto"/>
              </w:rPr>
              <w:t>1. 产品检验检测报告检验检测项目未覆盖本细则规定的检验检测项目，判为不符合。</w:t>
            </w:r>
          </w:p>
          <w:p>
            <w:pPr>
              <w:adjustRightInd w:val="0"/>
              <w:snapToGrid w:val="0"/>
              <w:rPr>
                <w:rFonts w:ascii="Times New Roman" w:hAnsi="Times New Roman"/>
                <w:color w:val="auto"/>
              </w:rPr>
            </w:pPr>
            <w:r>
              <w:rPr>
                <w:rFonts w:ascii="Times New Roman" w:hAnsi="Times New Roman"/>
                <w:color w:val="auto"/>
              </w:rPr>
              <w:t>2. 产品检验检测报告存在多份检验检测报告组合的情况，判为不符合。</w:t>
            </w:r>
          </w:p>
          <w:p>
            <w:pPr>
              <w:adjustRightInd w:val="0"/>
              <w:snapToGrid w:val="0"/>
              <w:rPr>
                <w:rFonts w:ascii="Times New Roman" w:hAnsi="Times New Roman"/>
                <w:color w:val="auto"/>
              </w:rPr>
            </w:pPr>
            <w:r>
              <w:rPr>
                <w:rFonts w:ascii="Times New Roman" w:hAnsi="Times New Roman"/>
                <w:color w:val="auto"/>
              </w:rPr>
              <w:t>3. 产品检验检测报告复肥种类、规格与企业所申请复肥种类、规格不一致，判为不符合。</w:t>
            </w:r>
          </w:p>
          <w:p>
            <w:pPr>
              <w:adjustRightInd w:val="0"/>
              <w:snapToGrid w:val="0"/>
              <w:rPr>
                <w:rFonts w:ascii="Times New Roman" w:hAnsi="Times New Roman"/>
                <w:color w:val="auto"/>
              </w:rPr>
            </w:pPr>
            <w:r>
              <w:rPr>
                <w:rFonts w:ascii="Times New Roman" w:hAnsi="Times New Roman"/>
                <w:color w:val="auto"/>
              </w:rPr>
              <w:t>4. 产品检验检测报告中企业名称、生产地址等信息与申请信息不一致的，判为不符合。</w:t>
            </w:r>
          </w:p>
          <w:p>
            <w:pPr>
              <w:adjustRightInd w:val="0"/>
              <w:snapToGrid w:val="0"/>
              <w:rPr>
                <w:rFonts w:ascii="Times New Roman" w:hAnsi="Times New Roman"/>
                <w:color w:val="auto"/>
              </w:rPr>
            </w:pPr>
            <w:r>
              <w:rPr>
                <w:rFonts w:ascii="Times New Roman" w:hAnsi="Times New Roman"/>
                <w:color w:val="auto"/>
              </w:rPr>
              <w:t>5. 产品检验检测报告不是6个月内符合本细则表2规定标准的合格检验检测报告的，判为不符合。</w:t>
            </w:r>
          </w:p>
          <w:p>
            <w:pPr>
              <w:adjustRightInd w:val="0"/>
              <w:snapToGrid w:val="0"/>
              <w:rPr>
                <w:rFonts w:ascii="Times New Roman" w:hAnsi="Times New Roman"/>
                <w:color w:val="auto"/>
              </w:rPr>
            </w:pPr>
            <w:r>
              <w:rPr>
                <w:rFonts w:ascii="Times New Roman" w:hAnsi="Times New Roman"/>
                <w:color w:val="auto"/>
              </w:rPr>
              <w:t>6. 产品检验检测报告含有分包项的，判为不符合。</w:t>
            </w:r>
          </w:p>
          <w:p>
            <w:pPr>
              <w:snapToGrid w:val="0"/>
              <w:rPr>
                <w:rFonts w:ascii="Times New Roman" w:hAnsi="Times New Roman"/>
                <w:color w:val="auto"/>
              </w:rPr>
            </w:pPr>
            <w:r>
              <w:rPr>
                <w:rFonts w:ascii="Times New Roman" w:hAnsi="Times New Roman"/>
                <w:color w:val="auto"/>
              </w:rPr>
              <w:t>7. 检验检测机构CMA资质认定证书失效（检验检测报告签发时），或者检验检测能力未覆盖本细则规定的产品标准和检验检测标准，判为不符合。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92"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color w:val="auto"/>
              </w:rPr>
            </w:pPr>
            <w:r>
              <w:rPr>
                <w:rFonts w:ascii="Times New Roman" w:hAnsi="Times New Roman"/>
                <w:color w:val="auto"/>
              </w:rPr>
              <w:t>2</w:t>
            </w:r>
          </w:p>
        </w:tc>
        <w:tc>
          <w:tcPr>
            <w:tcW w:w="13016" w:type="dxa"/>
            <w:gridSpan w:val="5"/>
            <w:tcBorders>
              <w:top w:val="single" w:color="auto" w:sz="4" w:space="0"/>
              <w:left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b/>
                <w:color w:val="auto"/>
              </w:rPr>
              <w:t>人员能力</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203"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color w:val="auto"/>
              </w:rPr>
            </w:pPr>
            <w:r>
              <w:rPr>
                <w:rFonts w:ascii="Times New Roman" w:hAnsi="Times New Roman"/>
                <w:color w:val="auto"/>
              </w:rPr>
              <w:t>2.1</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质量安全总监</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6）</w:t>
            </w:r>
            <w:bookmarkStart w:id="67" w:name="_Hlk162463162"/>
            <w:r>
              <w:rPr>
                <w:rFonts w:ascii="Times New Roman" w:hAnsi="Times New Roman"/>
                <w:color w:val="auto"/>
              </w:rPr>
              <w:t>是否按规定配备了与企业规模、产品类别、风险等级相适应的质量安全总监，</w:t>
            </w:r>
            <w:bookmarkStart w:id="68" w:name="_Hlk162463150"/>
            <w:r>
              <w:rPr>
                <w:rFonts w:ascii="Times New Roman" w:hAnsi="Times New Roman"/>
                <w:color w:val="auto"/>
              </w:rPr>
              <w:t>是否经培训考核合格并保存培训、考核记录，是否有任职文件。</w:t>
            </w:r>
            <w:bookmarkEnd w:id="67"/>
            <w:bookmarkEnd w:id="68"/>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tcBorders>
              <w:top w:val="single" w:color="auto" w:sz="4" w:space="0"/>
              <w:left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符合</w:t>
            </w:r>
          </w:p>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tc>
        <w:tc>
          <w:tcPr>
            <w:tcW w:w="5091" w:type="dxa"/>
            <w:tcBorders>
              <w:top w:val="single" w:color="auto" w:sz="4" w:space="0"/>
              <w:left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企业未按规定配备质量安全总监，或未经培训考核合格，或无培训、考核记录，或无任职文件，判为不符合。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203"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color w:val="auto"/>
              </w:rPr>
            </w:pPr>
            <w:r>
              <w:rPr>
                <w:rFonts w:ascii="Times New Roman" w:hAnsi="Times New Roman"/>
                <w:color w:val="auto"/>
              </w:rPr>
              <w:t>2.2</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质量安全员</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7）是否按规定配备了与企业规模、产品类别、风险等级相适应的质量安全员，是否经培训考核合格并保存培训、考核记录，是否有任职文件。</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tcBorders>
              <w:top w:val="single" w:color="auto" w:sz="4" w:space="0"/>
              <w:left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符合</w:t>
            </w:r>
          </w:p>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tc>
        <w:tc>
          <w:tcPr>
            <w:tcW w:w="5091" w:type="dxa"/>
            <w:tcBorders>
              <w:top w:val="single" w:color="auto" w:sz="4" w:space="0"/>
              <w:left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企业未按规定配备质量安全员，或未经培训考核合格，或无培训、考核记录，或无任职文件，判为不符合。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90"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color w:val="auto"/>
              </w:rPr>
            </w:pPr>
            <w:r>
              <w:rPr>
                <w:rFonts w:ascii="Times New Roman" w:hAnsi="Times New Roman"/>
                <w:color w:val="auto"/>
              </w:rPr>
              <w:t>2.3</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技术</w:t>
            </w:r>
          </w:p>
          <w:p>
            <w:pPr>
              <w:snapToGrid w:val="0"/>
              <w:jc w:val="center"/>
              <w:rPr>
                <w:rFonts w:ascii="Times New Roman" w:hAnsi="Times New Roman"/>
                <w:color w:val="auto"/>
              </w:rPr>
            </w:pPr>
            <w:r>
              <w:rPr>
                <w:rFonts w:ascii="Times New Roman" w:hAnsi="Times New Roman"/>
                <w:color w:val="auto"/>
              </w:rPr>
              <w:t>人员</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8）技术人员是否熟悉所申请的产品技术要求和相关标准。</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tcBorders>
              <w:top w:val="single" w:color="auto" w:sz="4" w:space="0"/>
              <w:left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符合</w:t>
            </w:r>
          </w:p>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建议改进</w:t>
            </w:r>
          </w:p>
        </w:tc>
        <w:tc>
          <w:tcPr>
            <w:tcW w:w="5091" w:type="dxa"/>
            <w:tcBorders>
              <w:top w:val="single" w:color="auto" w:sz="4" w:space="0"/>
              <w:left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1.技术人员对产品技术要求和相关标准部分内容不熟悉，判为建议改进。</w:t>
            </w:r>
          </w:p>
          <w:p>
            <w:pPr>
              <w:snapToGrid w:val="0"/>
              <w:rPr>
                <w:rFonts w:ascii="Times New Roman" w:hAnsi="Times New Roman"/>
                <w:color w:val="auto"/>
              </w:rPr>
            </w:pPr>
            <w:r>
              <w:rPr>
                <w:rFonts w:ascii="Times New Roman" w:hAnsi="Times New Roman"/>
                <w:color w:val="auto"/>
              </w:rPr>
              <w:t>2.技术人员不具有相关产品专业技术知识，或不熟悉相关标准，判为不符合。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429"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color w:val="auto"/>
              </w:rPr>
            </w:pPr>
            <w:r>
              <w:rPr>
                <w:rFonts w:ascii="Times New Roman" w:hAnsi="Times New Roman"/>
                <w:color w:val="auto"/>
              </w:rPr>
              <w:t>2.4</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检验检测人员</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9）检验检测人员是否经过培训和考核，并经授权；是否保存培训、考核记录和授权文件；</w:t>
            </w:r>
          </w:p>
          <w:p>
            <w:pPr>
              <w:snapToGrid w:val="0"/>
              <w:rPr>
                <w:rFonts w:ascii="Times New Roman" w:hAnsi="Times New Roman"/>
                <w:color w:val="auto"/>
              </w:rPr>
            </w:pPr>
            <w:r>
              <w:rPr>
                <w:rFonts w:ascii="Times New Roman" w:hAnsi="Times New Roman"/>
                <w:color w:val="auto"/>
              </w:rPr>
              <w:t>观察检验检测人员进行进货检验、过程检验检测、出厂检验，是否能够规范操作，其操作是否符合检验检测规程，并正确作出判断。</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tcBorders>
              <w:top w:val="single" w:color="auto" w:sz="4" w:space="0"/>
              <w:left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符合</w:t>
            </w:r>
          </w:p>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建议改进</w:t>
            </w:r>
          </w:p>
        </w:tc>
        <w:tc>
          <w:tcPr>
            <w:tcW w:w="5091" w:type="dxa"/>
            <w:tcBorders>
              <w:top w:val="single" w:color="auto" w:sz="4" w:space="0"/>
              <w:left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1.检验检测人员培训、考核记录不全，判为建议改进。</w:t>
            </w:r>
          </w:p>
          <w:p>
            <w:pPr>
              <w:snapToGrid w:val="0"/>
              <w:rPr>
                <w:rFonts w:ascii="Times New Roman" w:hAnsi="Times New Roman"/>
                <w:color w:val="auto"/>
              </w:rPr>
            </w:pPr>
            <w:r>
              <w:rPr>
                <w:rFonts w:ascii="Times New Roman" w:hAnsi="Times New Roman"/>
                <w:color w:val="auto"/>
              </w:rPr>
              <w:t>2.检验检测人员操作不规范，或操作不符合检验检测规，判为建议改进。</w:t>
            </w:r>
          </w:p>
          <w:p>
            <w:pPr>
              <w:snapToGrid w:val="0"/>
              <w:rPr>
                <w:rFonts w:ascii="Times New Roman" w:hAnsi="Times New Roman"/>
                <w:color w:val="auto"/>
              </w:rPr>
            </w:pPr>
            <w:r>
              <w:rPr>
                <w:rFonts w:ascii="Times New Roman" w:hAnsi="Times New Roman"/>
                <w:color w:val="auto"/>
              </w:rPr>
              <w:t>3.检验检测人员无培训、无考核记录、无授权，判为不符合。</w:t>
            </w:r>
          </w:p>
          <w:p>
            <w:pPr>
              <w:snapToGrid w:val="0"/>
              <w:rPr>
                <w:rFonts w:ascii="Times New Roman" w:hAnsi="Times New Roman"/>
                <w:color w:val="auto"/>
              </w:rPr>
            </w:pPr>
            <w:r>
              <w:rPr>
                <w:rFonts w:ascii="Times New Roman" w:hAnsi="Times New Roman"/>
                <w:color w:val="auto"/>
              </w:rPr>
              <w:t>4.检验检测人员操作不规范，操作不符合检验检测规程且无法正确作出判断的，判为不符合。</w:t>
            </w:r>
          </w:p>
          <w:p>
            <w:pPr>
              <w:snapToGrid w:val="0"/>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203"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color w:val="auto"/>
              </w:rPr>
            </w:pPr>
            <w:r>
              <w:rPr>
                <w:rFonts w:ascii="Times New Roman" w:hAnsi="Times New Roman"/>
                <w:color w:val="auto"/>
              </w:rPr>
              <w:t>2.5</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操作人员</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10）现场观察每一关键工序、质量控制点、特殊过程等实际生产操作情况，操作人员是否能按照技术工艺文件的规定熟练操作。</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tcBorders>
              <w:top w:val="single" w:color="auto" w:sz="4" w:space="0"/>
              <w:left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符合</w:t>
            </w:r>
          </w:p>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建议改进</w:t>
            </w:r>
          </w:p>
        </w:tc>
        <w:tc>
          <w:tcPr>
            <w:tcW w:w="5091" w:type="dxa"/>
            <w:tcBorders>
              <w:top w:val="single" w:color="auto" w:sz="4" w:space="0"/>
              <w:left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1.操作人员操作符合技术工艺文件的规定但不熟练，判为建议改进。</w:t>
            </w:r>
          </w:p>
          <w:p>
            <w:pPr>
              <w:snapToGrid w:val="0"/>
              <w:rPr>
                <w:rFonts w:ascii="Times New Roman" w:hAnsi="Times New Roman"/>
                <w:color w:val="auto"/>
              </w:rPr>
            </w:pPr>
            <w:r>
              <w:rPr>
                <w:rFonts w:ascii="Times New Roman" w:hAnsi="Times New Roman"/>
                <w:color w:val="auto"/>
              </w:rPr>
              <w:t>2.操作人员操作不符合技术工艺文件的规定，判为不符合。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315"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color w:val="auto"/>
              </w:rPr>
            </w:pPr>
            <w:r>
              <w:rPr>
                <w:rFonts w:ascii="Times New Roman" w:hAnsi="Times New Roman"/>
                <w:b/>
                <w:color w:val="auto"/>
              </w:rPr>
              <w:t>3</w:t>
            </w:r>
          </w:p>
        </w:tc>
        <w:tc>
          <w:tcPr>
            <w:tcW w:w="13016" w:type="dxa"/>
            <w:gridSpan w:val="5"/>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b/>
                <w:color w:val="auto"/>
              </w:rPr>
            </w:pPr>
            <w:r>
              <w:rPr>
                <w:rFonts w:ascii="Times New Roman" w:hAnsi="Times New Roman"/>
                <w:b/>
                <w:color w:val="auto"/>
              </w:rPr>
              <w:t>场所设施、生产设备和检验检测设备</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393" w:hRule="atLeast"/>
          <w:jc w:val="center"/>
        </w:trPr>
        <w:tc>
          <w:tcPr>
            <w:tcW w:w="717" w:type="dxa"/>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3.1</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场所设施</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11）企业是否具备满足其生产、检验检测所需的场所设施，并运行正常。</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tcBorders>
              <w:top w:val="single" w:color="auto" w:sz="4" w:space="0"/>
              <w:left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符合</w:t>
            </w:r>
          </w:p>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tc>
        <w:tc>
          <w:tcPr>
            <w:tcW w:w="5091" w:type="dxa"/>
            <w:tcBorders>
              <w:top w:val="single" w:color="auto" w:sz="4" w:space="0"/>
              <w:left w:val="single" w:color="auto" w:sz="4" w:space="0"/>
              <w:right w:val="single" w:color="auto" w:sz="4" w:space="0"/>
            </w:tcBorders>
            <w:vAlign w:val="center"/>
          </w:tcPr>
          <w:p>
            <w:pPr>
              <w:snapToGrid w:val="0"/>
              <w:rPr>
                <w:rFonts w:ascii="Times New Roman" w:hAnsi="Times New Roman"/>
                <w:color w:val="auto"/>
              </w:rPr>
            </w:pPr>
            <w:r>
              <w:rPr>
                <w:rFonts w:hint="eastAsia" w:ascii="Times New Roman" w:hAnsi="Times New Roman"/>
                <w:color w:val="auto"/>
              </w:rPr>
              <w:t>1</w:t>
            </w:r>
            <w:r>
              <w:rPr>
                <w:rFonts w:ascii="Times New Roman" w:hAnsi="Times New Roman"/>
                <w:color w:val="auto"/>
              </w:rPr>
              <w:t>.企业场所设施不能满足生产、检验检测要求，则判为不符合。</w:t>
            </w:r>
          </w:p>
          <w:p>
            <w:pPr>
              <w:pStyle w:val="2"/>
              <w:snapToGrid w:val="0"/>
              <w:rPr>
                <w:rFonts w:ascii="Times New Roman" w:hAnsi="Times New Roman"/>
                <w:color w:val="auto"/>
              </w:rPr>
            </w:pPr>
            <w:r>
              <w:rPr>
                <w:rFonts w:ascii="Times New Roman" w:hAnsi="Times New Roman"/>
                <w:b w:val="0"/>
                <w:color w:val="auto"/>
                <w:sz w:val="21"/>
                <w:szCs w:val="21"/>
              </w:rPr>
              <w:t>2.</w:t>
            </w:r>
            <w:r>
              <w:rPr>
                <w:rFonts w:hint="default" w:ascii="Times New Roman" w:hAnsi="Times New Roman"/>
                <w:b w:val="0"/>
                <w:color w:val="auto"/>
                <w:sz w:val="21"/>
                <w:szCs w:val="21"/>
              </w:rPr>
              <w:t>企业租赁的场所设施，其租赁合同或协议已过期失效的，判为不符合。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279"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3.2</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生产设备</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12）企业是否具备满足本细则表3-2规定的，与其生产产品、生产工艺相适应的生产设备，并运行正常。</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符合</w:t>
            </w:r>
          </w:p>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1.企业实际生产设备若缺少本细则表3-2中的任一应具备的生产设备，或不能正常运转的，判为不符合（非典型工艺按照现场核查情况进行判定）。</w:t>
            </w:r>
          </w:p>
          <w:p>
            <w:pPr>
              <w:snapToGrid w:val="0"/>
              <w:rPr>
                <w:rFonts w:ascii="Times New Roman" w:hAnsi="Times New Roman"/>
                <w:color w:val="auto"/>
              </w:rPr>
            </w:pPr>
            <w:r>
              <w:rPr>
                <w:rFonts w:ascii="Times New Roman" w:hAnsi="Times New Roman"/>
                <w:color w:val="auto"/>
              </w:rPr>
              <w:t>2. 正常生产中，现场统计、核算单位时间的生产数量，是否与设备型号及额定产能相符，低于额定产能的，判为不符合。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843"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3.3</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检验检测设备</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13）企业是否具备满足本细则表3-3规定的检验检测设备，并持有有效的计量检定或校准证书（报告），证明其性能符合规定要求且保持在可信状态。</w:t>
            </w:r>
          </w:p>
          <w:p>
            <w:pPr>
              <w:snapToGrid w:val="0"/>
              <w:rPr>
                <w:rFonts w:ascii="Times New Roman" w:hAnsi="Times New Roman"/>
                <w:color w:val="auto"/>
              </w:rPr>
            </w:pPr>
            <w:r>
              <w:rPr>
                <w:rFonts w:hint="eastAsia" w:ascii="Times New Roman" w:hAnsi="Times New Roman"/>
                <w:color w:val="auto"/>
              </w:rPr>
              <w:t>本细则表3-3中型式检验检测设备，企业可不具备，其所涉及的项目，允许企业委托具备CMA资质的第三方机构实施。</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符合</w:t>
            </w:r>
          </w:p>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p>
            <w:pPr>
              <w:pStyle w:val="2"/>
              <w:rPr>
                <w:rFonts w:ascii="Times New Roman" w:hAnsi="Times New Roman"/>
                <w:color w:val="auto"/>
              </w:rPr>
            </w:pPr>
            <w:r>
              <w:rPr>
                <w:rFonts w:ascii="Times New Roman" w:hAnsi="Times New Roman"/>
                <w:b w:val="0"/>
                <w:color w:val="auto"/>
                <w:sz w:val="21"/>
                <w:szCs w:val="21"/>
              </w:rPr>
              <w:sym w:font="Wingdings" w:char="00A8"/>
            </w:r>
            <w:r>
              <w:rPr>
                <w:rFonts w:ascii="Times New Roman" w:hAnsi="Times New Roman"/>
                <w:b w:val="0"/>
                <w:color w:val="auto"/>
                <w:sz w:val="21"/>
                <w:szCs w:val="21"/>
              </w:rPr>
              <w:t>建议改进</w:t>
            </w:r>
          </w:p>
        </w:tc>
        <w:tc>
          <w:tcPr>
            <w:tcW w:w="509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24" w:beforeLines="10"/>
              <w:rPr>
                <w:rFonts w:ascii="Times New Roman" w:hAnsi="Times New Roman"/>
                <w:color w:val="auto"/>
              </w:rPr>
            </w:pPr>
            <w:r>
              <w:rPr>
                <w:rFonts w:ascii="Times New Roman" w:hAnsi="Times New Roman"/>
                <w:color w:val="auto"/>
              </w:rPr>
              <w:t>1. 企业缺少本细则表3-3规定的检验检测设备，或同一设备所有台套未持有有效的计量检定或校准证书（报告），</w:t>
            </w:r>
            <w:r>
              <w:rPr>
                <w:rFonts w:hint="eastAsia" w:ascii="Times New Roman" w:hAnsi="Times New Roman"/>
                <w:color w:val="auto"/>
              </w:rPr>
              <w:t>且</w:t>
            </w:r>
            <w:r>
              <w:rPr>
                <w:rFonts w:ascii="Times New Roman" w:hAnsi="Times New Roman"/>
                <w:color w:val="auto"/>
              </w:rPr>
              <w:t>不能正常使用的，判为不符合。</w:t>
            </w:r>
          </w:p>
          <w:p>
            <w:pPr>
              <w:adjustRightInd w:val="0"/>
              <w:snapToGrid w:val="0"/>
              <w:spacing w:before="24" w:beforeLines="10"/>
              <w:rPr>
                <w:rFonts w:ascii="Times New Roman" w:hAnsi="Times New Roman"/>
                <w:color w:val="auto"/>
              </w:rPr>
            </w:pPr>
            <w:r>
              <w:rPr>
                <w:rFonts w:ascii="Times New Roman" w:hAnsi="Times New Roman"/>
                <w:color w:val="auto"/>
              </w:rPr>
              <w:t>2. 除以上情况外，其他存在不能正常使用、无有效计量检定或校准证书</w:t>
            </w:r>
            <w:r>
              <w:rPr>
                <w:rFonts w:hint="eastAsia" w:ascii="Times New Roman" w:hAnsi="Times New Roman"/>
                <w:color w:val="auto"/>
              </w:rPr>
              <w:t>、或计量检定或校准证书中检定校准的温度、压力等的参数值与标准规定不一致</w:t>
            </w:r>
            <w:r>
              <w:rPr>
                <w:rFonts w:ascii="Times New Roman" w:hAnsi="Times New Roman"/>
                <w:color w:val="auto"/>
              </w:rPr>
              <w:t>的判为建议改进。</w:t>
            </w:r>
          </w:p>
          <w:p>
            <w:pPr>
              <w:adjustRightInd w:val="0"/>
              <w:snapToGrid w:val="0"/>
              <w:spacing w:before="24" w:beforeLines="10"/>
              <w:rPr>
                <w:rFonts w:ascii="Times New Roman" w:hAnsi="Times New Roman"/>
                <w:color w:val="auto"/>
              </w:rPr>
            </w:pPr>
            <w:r>
              <w:rPr>
                <w:rFonts w:ascii="Times New Roman" w:hAnsi="Times New Roman"/>
                <w:color w:val="auto"/>
              </w:rPr>
              <w:t>3. 不具备表3-3中型式检验检测设备且无委托检验检测报告的，判为不符合。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265"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b/>
                <w:color w:val="auto"/>
              </w:rPr>
              <w:t>4</w:t>
            </w:r>
          </w:p>
        </w:tc>
        <w:tc>
          <w:tcPr>
            <w:tcW w:w="13016" w:type="dxa"/>
            <w:gridSpan w:val="5"/>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b/>
                <w:color w:val="auto"/>
              </w:rPr>
              <w:t>产品质量管理制度和责任制度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173"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color w:val="auto"/>
              </w:rPr>
            </w:pPr>
            <w:r>
              <w:rPr>
                <w:rFonts w:ascii="Times New Roman" w:hAnsi="Times New Roman"/>
                <w:color w:val="auto"/>
              </w:rPr>
              <w:t>4.1</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质量安全管理制度</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14）企业是否建立了产品质量安全管理制度，</w:t>
            </w:r>
            <w:r>
              <w:rPr>
                <w:rFonts w:ascii="Times New Roman" w:hAnsi="Times New Roman"/>
                <w:color w:val="auto"/>
                <w:shd w:val="clear" w:color="000000" w:fill="FFFFFF"/>
              </w:rPr>
              <w:t>实施内部审核与管理评审，</w:t>
            </w:r>
            <w:r>
              <w:rPr>
                <w:rFonts w:ascii="Times New Roman" w:hAnsi="Times New Roman"/>
                <w:color w:val="auto"/>
              </w:rPr>
              <w:t>并保存运行记录</w:t>
            </w:r>
            <w:r>
              <w:rPr>
                <w:rFonts w:ascii="Times New Roman" w:hAnsi="Times New Roman"/>
                <w:color w:val="auto"/>
                <w:shd w:val="clear" w:color="000000" w:fill="FFFFFF"/>
              </w:rPr>
              <w:t>。</w:t>
            </w:r>
            <w:r>
              <w:rPr>
                <w:rFonts w:ascii="Times New Roman" w:hAnsi="Times New Roman"/>
                <w:color w:val="auto"/>
              </w:rPr>
              <w:t>包括但不限于：</w:t>
            </w:r>
            <w:r>
              <w:rPr>
                <w:rFonts w:ascii="Times New Roman" w:hAnsi="Times New Roman"/>
                <w:color w:val="auto"/>
                <w:shd w:val="clear" w:color="000000" w:fill="FFFFFF"/>
              </w:rPr>
              <w:t>主要负责人、质量安全总监和质量安全员的设立、调整、岗位职责</w:t>
            </w:r>
            <w:r>
              <w:rPr>
                <w:rFonts w:hint="eastAsia" w:ascii="Times New Roman" w:hAnsi="Times New Roman"/>
                <w:color w:val="auto"/>
                <w:shd w:val="clear" w:color="000000" w:fill="FFFFFF"/>
              </w:rPr>
              <w:t>以及质量安全总监和质量安全员的</w:t>
            </w:r>
            <w:r>
              <w:rPr>
                <w:rFonts w:ascii="Times New Roman" w:hAnsi="Times New Roman"/>
                <w:color w:val="auto"/>
                <w:shd w:val="clear" w:color="000000" w:fill="FFFFFF"/>
              </w:rPr>
              <w:t>培训考核要求等</w:t>
            </w:r>
            <w:r>
              <w:rPr>
                <w:rFonts w:ascii="Times New Roman" w:hAnsi="Times New Roman"/>
                <w:color w:val="auto"/>
              </w:rPr>
              <w:t>。</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符合</w:t>
            </w:r>
          </w:p>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建议改进</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1.产品质量安全管理制度与申请产品不相适应或管理制度不健全，或者运行记录不全，判为建议改进；</w:t>
            </w:r>
          </w:p>
          <w:p>
            <w:pPr>
              <w:snapToGrid w:val="0"/>
              <w:rPr>
                <w:rFonts w:ascii="Times New Roman" w:hAnsi="Times New Roman"/>
                <w:color w:val="auto"/>
              </w:rPr>
            </w:pPr>
            <w:r>
              <w:rPr>
                <w:rFonts w:ascii="Times New Roman" w:hAnsi="Times New Roman"/>
                <w:color w:val="auto"/>
              </w:rPr>
              <w:t>2.企业未建立质量安全管理制度，或未</w:t>
            </w:r>
            <w:r>
              <w:rPr>
                <w:rFonts w:ascii="Times New Roman" w:hAnsi="Times New Roman"/>
                <w:color w:val="auto"/>
                <w:shd w:val="clear" w:color="000000" w:fill="FFFFFF"/>
              </w:rPr>
              <w:t>实施内部审核与管理评审，</w:t>
            </w:r>
            <w:r>
              <w:rPr>
                <w:rFonts w:ascii="Times New Roman" w:hAnsi="Times New Roman"/>
                <w:color w:val="auto"/>
              </w:rPr>
              <w:t>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573"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4.2</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质量安全追溯制度</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15）企业是否建立了产品质量安全追溯制度，企业出厂产品的相关信息是否可追溯。</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符合</w:t>
            </w:r>
          </w:p>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建议改进</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1.建立了产品质量安全追溯制度但执行不到位，判为建议改进。</w:t>
            </w:r>
          </w:p>
          <w:p>
            <w:pPr>
              <w:snapToGrid w:val="0"/>
              <w:rPr>
                <w:rFonts w:ascii="Times New Roman" w:hAnsi="Times New Roman"/>
                <w:color w:val="auto"/>
              </w:rPr>
            </w:pPr>
            <w:r>
              <w:rPr>
                <w:rFonts w:ascii="Times New Roman" w:hAnsi="Times New Roman"/>
                <w:color w:val="auto"/>
              </w:rPr>
              <w:t>2.未建立产品质量安全追溯制度，判为不符合。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340"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b/>
                <w:color w:val="auto"/>
              </w:rPr>
            </w:pPr>
            <w:r>
              <w:rPr>
                <w:rFonts w:ascii="Times New Roman" w:hAnsi="Times New Roman"/>
                <w:b/>
                <w:color w:val="auto"/>
              </w:rPr>
              <w:t>5</w:t>
            </w:r>
          </w:p>
        </w:tc>
        <w:tc>
          <w:tcPr>
            <w:tcW w:w="13016" w:type="dxa"/>
            <w:gridSpan w:val="5"/>
            <w:tcBorders>
              <w:top w:val="single" w:color="auto" w:sz="4" w:space="0"/>
              <w:left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b/>
                <w:color w:val="auto"/>
              </w:rPr>
              <w:t>技术文件</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vMerge w:val="restart"/>
            <w:tcBorders>
              <w:top w:val="single" w:color="auto" w:sz="4" w:space="0"/>
              <w:left w:val="single" w:color="auto" w:sz="4" w:space="0"/>
              <w:bottom w:val="single" w:color="auto" w:sz="4" w:space="0"/>
              <w:right w:val="single" w:color="auto" w:sz="4" w:space="0"/>
            </w:tcBorders>
            <w:vAlign w:val="center"/>
          </w:tcPr>
          <w:p>
            <w:pPr>
              <w:snapToGrid w:val="0"/>
              <w:ind w:hanging="8"/>
              <w:jc w:val="center"/>
              <w:rPr>
                <w:rFonts w:ascii="Times New Roman" w:hAnsi="Times New Roman"/>
                <w:color w:val="auto"/>
              </w:rPr>
            </w:pPr>
            <w:r>
              <w:rPr>
                <w:rFonts w:ascii="Times New Roman" w:hAnsi="Times New Roman"/>
                <w:color w:val="auto"/>
              </w:rPr>
              <w:t>5.1</w:t>
            </w:r>
          </w:p>
        </w:tc>
        <w:tc>
          <w:tcPr>
            <w:tcW w:w="696"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工艺流程</w:t>
            </w:r>
          </w:p>
        </w:tc>
        <w:tc>
          <w:tcPr>
            <w:tcW w:w="4252" w:type="dxa"/>
            <w:tcBorders>
              <w:top w:val="single" w:color="auto" w:sz="4" w:space="0"/>
              <w:left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16）工艺流程图是否与其生产实际相吻合。</w:t>
            </w:r>
          </w:p>
        </w:tc>
        <w:tc>
          <w:tcPr>
            <w:tcW w:w="1560" w:type="dxa"/>
            <w:tcBorders>
              <w:top w:val="single" w:color="auto" w:sz="4" w:space="0"/>
              <w:left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符合</w:t>
            </w:r>
          </w:p>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建议改进</w:t>
            </w:r>
          </w:p>
        </w:tc>
        <w:tc>
          <w:tcPr>
            <w:tcW w:w="5091" w:type="dxa"/>
            <w:vMerge w:val="restart"/>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1.核查内容16）或17）款</w:t>
            </w:r>
            <w:r>
              <w:rPr>
                <w:rFonts w:hint="eastAsia" w:ascii="Times New Roman" w:hAnsi="Times New Roman"/>
                <w:color w:val="auto"/>
              </w:rPr>
              <w:t>任意一款</w:t>
            </w:r>
            <w:r>
              <w:rPr>
                <w:rFonts w:ascii="Times New Roman" w:hAnsi="Times New Roman"/>
                <w:color w:val="auto"/>
              </w:rPr>
              <w:t>为“否”，判为建议改进。</w:t>
            </w:r>
          </w:p>
          <w:p>
            <w:pPr>
              <w:snapToGrid w:val="0"/>
              <w:rPr>
                <w:rFonts w:ascii="Times New Roman" w:hAnsi="Times New Roman"/>
                <w:color w:val="auto"/>
              </w:rPr>
            </w:pPr>
            <w:r>
              <w:rPr>
                <w:rFonts w:ascii="Times New Roman" w:hAnsi="Times New Roman"/>
                <w:color w:val="auto"/>
              </w:rPr>
              <w:t>2.核查内容16）和17）款均为“否”，判为不符合。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p>
        </w:tc>
        <w:tc>
          <w:tcPr>
            <w:tcW w:w="696"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17）是否标明关键工序、质量控制点。</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p>
        </w:tc>
        <w:tc>
          <w:tcPr>
            <w:tcW w:w="5091" w:type="dxa"/>
            <w:vMerge w:val="continue"/>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403" w:hRule="atLeast"/>
          <w:jc w:val="center"/>
        </w:trPr>
        <w:tc>
          <w:tcPr>
            <w:tcW w:w="717" w:type="dxa"/>
            <w:vMerge w:val="restart"/>
            <w:tcBorders>
              <w:top w:val="single" w:color="auto" w:sz="4" w:space="0"/>
              <w:left w:val="single" w:color="auto" w:sz="4" w:space="0"/>
              <w:bottom w:val="single" w:color="auto" w:sz="4" w:space="0"/>
              <w:right w:val="single" w:color="auto" w:sz="4" w:space="0"/>
            </w:tcBorders>
            <w:vAlign w:val="center"/>
          </w:tcPr>
          <w:p>
            <w:pPr>
              <w:snapToGrid w:val="0"/>
              <w:ind w:hanging="8"/>
              <w:jc w:val="center"/>
              <w:rPr>
                <w:rFonts w:ascii="Times New Roman" w:hAnsi="Times New Roman"/>
                <w:color w:val="auto"/>
              </w:rPr>
            </w:pPr>
            <w:r>
              <w:rPr>
                <w:rFonts w:ascii="Times New Roman" w:hAnsi="Times New Roman"/>
                <w:color w:val="auto"/>
              </w:rPr>
              <w:t>5.2</w:t>
            </w:r>
          </w:p>
        </w:tc>
        <w:tc>
          <w:tcPr>
            <w:tcW w:w="696"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技术工艺文件</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18）技术工艺文件是否齐全，是否有工艺要求、不合格品的处置规定等。</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符合</w:t>
            </w:r>
          </w:p>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建议改进</w:t>
            </w:r>
          </w:p>
        </w:tc>
        <w:tc>
          <w:tcPr>
            <w:tcW w:w="5091" w:type="dxa"/>
            <w:vMerge w:val="restart"/>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1.技术工艺文件不全或内容不完整的，判为建议改进。</w:t>
            </w:r>
          </w:p>
          <w:p>
            <w:pPr>
              <w:snapToGrid w:val="0"/>
              <w:rPr>
                <w:rFonts w:ascii="Times New Roman" w:hAnsi="Times New Roman"/>
                <w:color w:val="auto"/>
              </w:rPr>
            </w:pPr>
            <w:r>
              <w:rPr>
                <w:rFonts w:ascii="Times New Roman" w:hAnsi="Times New Roman"/>
                <w:color w:val="auto"/>
              </w:rPr>
              <w:t>2.所有关键工序、质量控制点均无技术工艺文件，判为不符合。</w:t>
            </w:r>
          </w:p>
          <w:p>
            <w:pPr>
              <w:snapToGrid w:val="0"/>
              <w:rPr>
                <w:rFonts w:ascii="Times New Roman" w:hAnsi="Times New Roman"/>
                <w:color w:val="auto"/>
              </w:rPr>
            </w:pPr>
            <w:r>
              <w:rPr>
                <w:rFonts w:ascii="Times New Roman" w:hAnsi="Times New Roman"/>
                <w:color w:val="auto"/>
              </w:rPr>
              <w:t>3. 技术工艺文件不符合相关产品标准要求或者未审批、受控，判为不符合。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90" w:hRule="atLeast"/>
          <w:jc w:val="center"/>
        </w:trPr>
        <w:tc>
          <w:tcPr>
            <w:tcW w:w="7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p>
        </w:tc>
        <w:tc>
          <w:tcPr>
            <w:tcW w:w="696"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19）对识别和确认的所有关键工序、质量控制点，是否均编制相关工艺文件。</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p>
        </w:tc>
        <w:tc>
          <w:tcPr>
            <w:tcW w:w="5091"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383" w:hRule="atLeast"/>
          <w:jc w:val="center"/>
        </w:trPr>
        <w:tc>
          <w:tcPr>
            <w:tcW w:w="7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p>
        </w:tc>
        <w:tc>
          <w:tcPr>
            <w:tcW w:w="696"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20）技术工艺文件是否符合标准要求，是否明确了具体的控制参数，是否经过审批、受控。</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p>
        </w:tc>
        <w:tc>
          <w:tcPr>
            <w:tcW w:w="5091"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5.3</w:t>
            </w:r>
          </w:p>
        </w:tc>
        <w:tc>
          <w:tcPr>
            <w:tcW w:w="696"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检验检测文件</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21）是否对采购重要原材料进货检验（或验证）、生产过程检验检测、产品出厂检验作出规定，检验检测文件是否经过审批、受控。</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符合</w:t>
            </w:r>
          </w:p>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建议改进</w:t>
            </w:r>
          </w:p>
        </w:tc>
        <w:tc>
          <w:tcPr>
            <w:tcW w:w="5091" w:type="dxa"/>
            <w:vMerge w:val="restart"/>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1.核查内容21）</w:t>
            </w:r>
            <w:r>
              <w:rPr>
                <w:rFonts w:hint="eastAsia" w:ascii="Times New Roman" w:hAnsi="Times New Roman"/>
                <w:color w:val="auto"/>
                <w:lang w:val="en-US" w:eastAsia="zh-CN"/>
              </w:rPr>
              <w:t>或</w:t>
            </w:r>
            <w:r>
              <w:rPr>
                <w:rFonts w:ascii="Times New Roman" w:hAnsi="Times New Roman"/>
                <w:color w:val="auto"/>
              </w:rPr>
              <w:t>22）款任</w:t>
            </w:r>
            <w:r>
              <w:rPr>
                <w:rFonts w:hint="eastAsia" w:ascii="Times New Roman" w:hAnsi="Times New Roman"/>
                <w:color w:val="auto"/>
              </w:rPr>
              <w:t>意</w:t>
            </w:r>
            <w:r>
              <w:rPr>
                <w:rFonts w:ascii="Times New Roman" w:hAnsi="Times New Roman"/>
                <w:color w:val="auto"/>
              </w:rPr>
              <w:t>一</w:t>
            </w:r>
            <w:r>
              <w:rPr>
                <w:rFonts w:hint="eastAsia" w:ascii="Times New Roman" w:hAnsi="Times New Roman"/>
                <w:color w:val="auto"/>
              </w:rPr>
              <w:t>款</w:t>
            </w:r>
            <w:r>
              <w:rPr>
                <w:rFonts w:ascii="Times New Roman" w:hAnsi="Times New Roman"/>
                <w:color w:val="auto"/>
              </w:rPr>
              <w:t>为“否”，判为建议改进。</w:t>
            </w:r>
          </w:p>
          <w:p>
            <w:pPr>
              <w:snapToGrid w:val="0"/>
              <w:rPr>
                <w:rFonts w:ascii="Times New Roman" w:hAnsi="Times New Roman"/>
                <w:color w:val="auto"/>
              </w:rPr>
            </w:pPr>
            <w:r>
              <w:rPr>
                <w:rFonts w:ascii="Times New Roman" w:hAnsi="Times New Roman"/>
                <w:color w:val="auto"/>
              </w:rPr>
              <w:t>2.核查内容21）和22）款均为“否”，判为不符合。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p>
        </w:tc>
        <w:tc>
          <w:tcPr>
            <w:tcW w:w="696"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22）是否编制了检验检测规程，是否经过审批、受控，其内容是否完整正确（应包括检验检测频次、检验检测样品数、抽样方式、检验检测项目、检验检测方法、检验检测结果判定及处理）。</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p>
        </w:tc>
        <w:tc>
          <w:tcPr>
            <w:tcW w:w="5091"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439"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color w:val="auto"/>
              </w:rPr>
            </w:pPr>
            <w:r>
              <w:rPr>
                <w:rFonts w:ascii="Times New Roman" w:hAnsi="Times New Roman"/>
                <w:b/>
                <w:color w:val="auto"/>
              </w:rPr>
              <w:t>6</w:t>
            </w:r>
          </w:p>
        </w:tc>
        <w:tc>
          <w:tcPr>
            <w:tcW w:w="13016" w:type="dxa"/>
            <w:gridSpan w:val="5"/>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auto"/>
              </w:rPr>
            </w:pPr>
            <w:r>
              <w:rPr>
                <w:rFonts w:ascii="Times New Roman" w:hAnsi="Times New Roman"/>
                <w:b/>
                <w:color w:val="auto"/>
              </w:rPr>
              <w:t>生产过程控制</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6.1</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bCs/>
                <w:color w:val="auto"/>
              </w:rPr>
              <w:t>生产记录</w:t>
            </w:r>
          </w:p>
        </w:tc>
        <w:tc>
          <w:tcPr>
            <w:tcW w:w="4252" w:type="dxa"/>
            <w:tcBorders>
              <w:top w:val="single" w:color="auto" w:sz="4" w:space="0"/>
              <w:left w:val="single" w:color="auto" w:sz="4" w:space="0"/>
              <w:bottom w:val="single" w:color="auto" w:sz="4" w:space="0"/>
              <w:right w:val="single" w:color="auto" w:sz="4" w:space="0"/>
            </w:tcBorders>
            <w:vAlign w:val="center"/>
          </w:tcPr>
          <w:p>
            <w:pPr>
              <w:pStyle w:val="54"/>
              <w:numPr>
                <w:ilvl w:val="0"/>
                <w:numId w:val="3"/>
              </w:numPr>
              <w:ind w:left="0"/>
              <w:rPr>
                <w:rFonts w:ascii="Times New Roman" w:hAnsi="Times New Roman"/>
                <w:color w:val="auto"/>
              </w:rPr>
            </w:pPr>
            <w:r>
              <w:rPr>
                <w:rFonts w:ascii="Times New Roman" w:hAnsi="Times New Roman"/>
                <w:bCs/>
                <w:color w:val="auto"/>
              </w:rPr>
              <w:t>23）根据企业制定的主要生产过程进行记录。</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bCs/>
                <w:color w:val="auto"/>
              </w:rPr>
              <w:sym w:font="Wingdings" w:char="F06F"/>
            </w:r>
            <w:r>
              <w:rPr>
                <w:rFonts w:ascii="Times New Roman" w:hAnsi="Times New Roman"/>
                <w:bCs/>
                <w:color w:val="auto"/>
              </w:rPr>
              <w:t>是；</w:t>
            </w:r>
            <w:r>
              <w:rPr>
                <w:rFonts w:ascii="Times New Roman" w:hAnsi="Times New Roman"/>
                <w:bCs/>
                <w:color w:val="auto"/>
              </w:rPr>
              <w:sym w:font="Wingdings" w:char="F06F"/>
            </w:r>
            <w:r>
              <w:rPr>
                <w:rFonts w:ascii="Times New Roman" w:hAnsi="Times New Roman"/>
                <w:bCs/>
                <w:color w:val="auto"/>
              </w:rPr>
              <w:t>否：</w:t>
            </w:r>
          </w:p>
        </w:tc>
        <w:tc>
          <w:tcPr>
            <w:tcW w:w="1417"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bCs/>
                <w:color w:val="auto"/>
              </w:rPr>
            </w:pPr>
            <w:r>
              <w:rPr>
                <w:rFonts w:ascii="Times New Roman" w:hAnsi="Times New Roman"/>
                <w:bCs/>
                <w:color w:val="auto"/>
              </w:rPr>
              <w:sym w:font="Wingdings" w:char="F06F"/>
            </w:r>
            <w:r>
              <w:rPr>
                <w:rFonts w:ascii="Times New Roman" w:hAnsi="Times New Roman"/>
                <w:bCs/>
                <w:color w:val="auto"/>
              </w:rPr>
              <w:t>符合</w:t>
            </w:r>
          </w:p>
          <w:p>
            <w:pPr>
              <w:adjustRightInd w:val="0"/>
              <w:snapToGrid w:val="0"/>
              <w:rPr>
                <w:rFonts w:ascii="Times New Roman" w:hAnsi="Times New Roman"/>
                <w:bCs/>
                <w:color w:val="auto"/>
              </w:rPr>
            </w:pPr>
            <w:r>
              <w:rPr>
                <w:rFonts w:ascii="Times New Roman" w:hAnsi="Times New Roman"/>
                <w:bCs/>
                <w:color w:val="auto"/>
              </w:rPr>
              <w:sym w:font="Wingdings" w:char="F06F"/>
            </w:r>
            <w:r>
              <w:rPr>
                <w:rFonts w:ascii="Times New Roman" w:hAnsi="Times New Roman"/>
                <w:bCs/>
                <w:color w:val="auto"/>
              </w:rPr>
              <w:t>不符合</w:t>
            </w:r>
          </w:p>
          <w:p>
            <w:pPr>
              <w:snapToGrid w:val="0"/>
              <w:rPr>
                <w:rFonts w:ascii="Times New Roman" w:hAnsi="Times New Roman"/>
                <w:color w:val="auto"/>
              </w:rPr>
            </w:pPr>
            <w:r>
              <w:rPr>
                <w:rFonts w:ascii="Times New Roman" w:hAnsi="Times New Roman"/>
                <w:bCs/>
                <w:color w:val="auto"/>
              </w:rPr>
              <w:sym w:font="Wingdings" w:char="F06F"/>
            </w:r>
            <w:r>
              <w:rPr>
                <w:rFonts w:ascii="Times New Roman" w:hAnsi="Times New Roman"/>
                <w:color w:val="auto"/>
              </w:rPr>
              <w:t>建议改进</w:t>
            </w:r>
          </w:p>
        </w:tc>
        <w:tc>
          <w:tcPr>
            <w:tcW w:w="5091"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bCs/>
                <w:color w:val="auto"/>
              </w:rPr>
            </w:pPr>
            <w:r>
              <w:rPr>
                <w:rFonts w:ascii="Times New Roman" w:hAnsi="Times New Roman"/>
                <w:bCs/>
                <w:color w:val="auto"/>
              </w:rPr>
              <w:t>检查企业本次申请取证产品的生产记录（包括企业申请时提交的检验报告同批次产品的记录）。</w:t>
            </w:r>
          </w:p>
          <w:p>
            <w:pPr>
              <w:adjustRightInd w:val="0"/>
              <w:snapToGrid w:val="0"/>
              <w:rPr>
                <w:rFonts w:ascii="Times New Roman" w:hAnsi="Times New Roman"/>
                <w:color w:val="auto"/>
              </w:rPr>
            </w:pPr>
            <w:r>
              <w:rPr>
                <w:rFonts w:ascii="Times New Roman" w:hAnsi="Times New Roman"/>
                <w:bCs/>
                <w:color w:val="auto"/>
              </w:rPr>
              <w:t>1.生产记录</w:t>
            </w:r>
            <w:r>
              <w:rPr>
                <w:rFonts w:ascii="Times New Roman" w:hAnsi="Times New Roman"/>
                <w:color w:val="auto"/>
              </w:rPr>
              <w:t>存在系统性问题的，判为不符合。</w:t>
            </w:r>
          </w:p>
          <w:p>
            <w:pPr>
              <w:snapToGrid w:val="0"/>
              <w:rPr>
                <w:rFonts w:ascii="Times New Roman" w:hAnsi="Times New Roman"/>
                <w:color w:val="auto"/>
              </w:rPr>
            </w:pPr>
            <w:r>
              <w:rPr>
                <w:rFonts w:ascii="Times New Roman" w:hAnsi="Times New Roman"/>
                <w:bCs/>
                <w:color w:val="auto"/>
              </w:rPr>
              <w:t>2.存在部分记录不全的，判为建议改进。</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6.2</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进货验证</w:t>
            </w:r>
          </w:p>
        </w:tc>
        <w:tc>
          <w:tcPr>
            <w:tcW w:w="4252" w:type="dxa"/>
            <w:tcBorders>
              <w:top w:val="single" w:color="auto" w:sz="4" w:space="0"/>
              <w:left w:val="single" w:color="auto" w:sz="4" w:space="0"/>
              <w:bottom w:val="single" w:color="auto" w:sz="4" w:space="0"/>
              <w:right w:val="single" w:color="auto" w:sz="4" w:space="0"/>
            </w:tcBorders>
            <w:vAlign w:val="center"/>
          </w:tcPr>
          <w:p>
            <w:pPr>
              <w:pStyle w:val="54"/>
              <w:numPr>
                <w:ilvl w:val="0"/>
                <w:numId w:val="3"/>
              </w:numPr>
              <w:ind w:left="0"/>
              <w:rPr>
                <w:rFonts w:ascii="Times New Roman" w:hAnsi="Times New Roman"/>
                <w:color w:val="auto"/>
              </w:rPr>
            </w:pPr>
            <w:r>
              <w:rPr>
                <w:rFonts w:ascii="Times New Roman" w:hAnsi="Times New Roman"/>
                <w:color w:val="auto"/>
              </w:rPr>
              <w:t>24）主要原材料是否按要求进行检验检测或验收并保留检验检测或验收记录。</w:t>
            </w:r>
            <w:r>
              <w:rPr>
                <w:rFonts w:ascii="Times New Roman" w:hAnsi="Times New Roman"/>
                <w:bCs/>
                <w:color w:val="auto"/>
              </w:rPr>
              <w:t>不得使用未经证实安全性的工业废弃物、城市垃圾、污泥、色素、包膜材料、防结块剂等作为复肥生产原料。</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符合</w:t>
            </w:r>
          </w:p>
          <w:p>
            <w:pPr>
              <w:snapToGrid w:val="0"/>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p>
            <w:pPr>
              <w:snapToGrid w:val="0"/>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建议改进</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1.主要原材料的检验或验收记录不全，判为建议改进。</w:t>
            </w:r>
          </w:p>
          <w:p>
            <w:pPr>
              <w:snapToGrid w:val="0"/>
              <w:rPr>
                <w:rFonts w:ascii="Times New Roman" w:hAnsi="Times New Roman"/>
                <w:color w:val="auto"/>
              </w:rPr>
            </w:pPr>
            <w:r>
              <w:rPr>
                <w:rFonts w:ascii="Times New Roman" w:hAnsi="Times New Roman"/>
                <w:color w:val="auto"/>
              </w:rPr>
              <w:t>2.未对主要原材料按要求进行检验或验收并保存检验或验收记录，判为不符合。</w:t>
            </w:r>
          </w:p>
          <w:p>
            <w:pPr>
              <w:snapToGrid w:val="0"/>
              <w:rPr>
                <w:rFonts w:ascii="Times New Roman" w:hAnsi="Times New Roman"/>
                <w:color w:val="auto"/>
              </w:rPr>
            </w:pPr>
            <w:r>
              <w:rPr>
                <w:rFonts w:ascii="Times New Roman" w:hAnsi="Times New Roman"/>
                <w:color w:val="auto"/>
              </w:rPr>
              <w:t>3.使用未经证实安全性的工业废弃物、城市垃圾、污泥、色素、包膜材料、防结块剂等作为复肥生产原料的，判为不符合。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464" w:hRule="atLeast"/>
          <w:jc w:val="center"/>
        </w:trPr>
        <w:tc>
          <w:tcPr>
            <w:tcW w:w="717" w:type="dxa"/>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6.3</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过程控制</w:t>
            </w:r>
          </w:p>
        </w:tc>
        <w:tc>
          <w:tcPr>
            <w:tcW w:w="4252"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olor w:val="auto"/>
              </w:rPr>
            </w:pPr>
            <w:r>
              <w:rPr>
                <w:rFonts w:ascii="Times New Roman" w:hAnsi="Times New Roman"/>
                <w:color w:val="auto"/>
              </w:rPr>
              <w:t>25）是否按技术工艺文件要求对每一关键工序、质量控制点的主要工艺参数进行了控制并记录。</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符合</w:t>
            </w:r>
          </w:p>
          <w:p>
            <w:pPr>
              <w:snapToGrid w:val="0"/>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p>
            <w:pPr>
              <w:snapToGrid w:val="0"/>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建议改进</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1.记录不完整的，判为建议改进。</w:t>
            </w:r>
          </w:p>
          <w:p>
            <w:pPr>
              <w:snapToGrid w:val="0"/>
              <w:rPr>
                <w:rFonts w:ascii="Times New Roman" w:hAnsi="Times New Roman"/>
                <w:color w:val="auto"/>
              </w:rPr>
            </w:pPr>
            <w:r>
              <w:rPr>
                <w:rFonts w:ascii="Times New Roman" w:hAnsi="Times New Roman"/>
                <w:color w:val="auto"/>
              </w:rPr>
              <w:t>2.未进行控制或无记录的，判为不符合。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vMerge w:val="restart"/>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auto"/>
                <w:sz w:val="20"/>
                <w:szCs w:val="20"/>
              </w:rPr>
            </w:pPr>
            <w:r>
              <w:rPr>
                <w:rFonts w:ascii="Times New Roman" w:hAnsi="Times New Roman"/>
                <w:color w:val="auto"/>
              </w:rPr>
              <w:t>6.4</w:t>
            </w:r>
          </w:p>
        </w:tc>
        <w:tc>
          <w:tcPr>
            <w:tcW w:w="696" w:type="dxa"/>
            <w:vMerge w:val="restart"/>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出厂检验</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26）成品是否按产品标准的规定进行出厂检验，并保存记录。</w:t>
            </w:r>
          </w:p>
        </w:tc>
        <w:tc>
          <w:tcPr>
            <w:tcW w:w="1560" w:type="dxa"/>
            <w:tcBorders>
              <w:top w:val="single" w:color="auto" w:sz="4" w:space="0"/>
              <w:left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tcBorders>
              <w:top w:val="single" w:color="auto" w:sz="4" w:space="0"/>
              <w:left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符合</w:t>
            </w:r>
          </w:p>
          <w:p>
            <w:pPr>
              <w:snapToGrid w:val="0"/>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tc>
        <w:tc>
          <w:tcPr>
            <w:tcW w:w="5091" w:type="dxa"/>
            <w:tcBorders>
              <w:top w:val="single" w:color="auto" w:sz="4" w:space="0"/>
              <w:left w:val="single" w:color="auto" w:sz="4" w:space="0"/>
              <w:right w:val="single" w:color="auto" w:sz="4" w:space="0"/>
            </w:tcBorders>
            <w:vAlign w:val="center"/>
          </w:tcPr>
          <w:p>
            <w:pPr>
              <w:adjustRightInd w:val="0"/>
              <w:snapToGrid w:val="0"/>
              <w:jc w:val="left"/>
              <w:rPr>
                <w:rFonts w:ascii="Times New Roman" w:hAnsi="Times New Roman"/>
                <w:color w:val="auto"/>
              </w:rPr>
            </w:pPr>
            <w:r>
              <w:rPr>
                <w:rFonts w:ascii="Times New Roman" w:hAnsi="Times New Roman"/>
                <w:bCs/>
                <w:color w:val="auto"/>
              </w:rPr>
              <w:t>未按照标准规定进行出厂检验，或未保存出厂检验记录，判为不符合。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vMerge w:val="continue"/>
            <w:tcBorders>
              <w:left w:val="single" w:color="auto" w:sz="4" w:space="0"/>
              <w:right w:val="single" w:color="auto" w:sz="4" w:space="0"/>
            </w:tcBorders>
            <w:vAlign w:val="center"/>
          </w:tcPr>
          <w:p>
            <w:pPr>
              <w:snapToGrid w:val="0"/>
              <w:jc w:val="center"/>
              <w:rPr>
                <w:rFonts w:ascii="Times New Roman" w:hAnsi="Times New Roman"/>
                <w:color w:val="auto"/>
              </w:rPr>
            </w:pPr>
          </w:p>
        </w:tc>
        <w:tc>
          <w:tcPr>
            <w:tcW w:w="696" w:type="dxa"/>
            <w:vMerge w:val="continue"/>
            <w:tcBorders>
              <w:left w:val="single" w:color="auto" w:sz="4" w:space="0"/>
              <w:right w:val="single" w:color="auto" w:sz="4" w:space="0"/>
            </w:tcBorders>
            <w:vAlign w:val="center"/>
          </w:tcPr>
          <w:p>
            <w:pPr>
              <w:snapToGrid w:val="0"/>
              <w:jc w:val="center"/>
              <w:rPr>
                <w:rFonts w:ascii="Times New Roman" w:hAnsi="Times New Roman"/>
                <w:color w:val="auto"/>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bCs/>
                <w:color w:val="auto"/>
              </w:rPr>
              <w:t>27）现场抽查出厂检验项目中1～2个项目，核查出厂检验能力是否符合标准要求。</w:t>
            </w:r>
          </w:p>
        </w:tc>
        <w:tc>
          <w:tcPr>
            <w:tcW w:w="1560" w:type="dxa"/>
            <w:tcBorders>
              <w:top w:val="single" w:color="auto" w:sz="4" w:space="0"/>
              <w:left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tcBorders>
              <w:top w:val="single" w:color="auto" w:sz="4" w:space="0"/>
              <w:left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符合</w:t>
            </w:r>
          </w:p>
          <w:p>
            <w:pPr>
              <w:snapToGrid w:val="0"/>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tc>
        <w:tc>
          <w:tcPr>
            <w:tcW w:w="5091" w:type="dxa"/>
            <w:tcBorders>
              <w:top w:val="single" w:color="auto" w:sz="4" w:space="0"/>
              <w:left w:val="single" w:color="auto" w:sz="4" w:space="0"/>
              <w:right w:val="single" w:color="auto" w:sz="4" w:space="0"/>
            </w:tcBorders>
            <w:vAlign w:val="center"/>
          </w:tcPr>
          <w:p>
            <w:pPr>
              <w:adjustRightInd w:val="0"/>
              <w:snapToGrid w:val="0"/>
              <w:jc w:val="left"/>
              <w:rPr>
                <w:rFonts w:ascii="Times New Roman" w:hAnsi="Times New Roman"/>
                <w:bCs/>
                <w:color w:val="auto"/>
              </w:rPr>
            </w:pPr>
            <w:r>
              <w:rPr>
                <w:rFonts w:ascii="Times New Roman" w:hAnsi="Times New Roman"/>
                <w:bCs/>
                <w:color w:val="auto"/>
              </w:rPr>
              <w:t>对于检验项目不符合标准要求的则为否，判为不符合。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6.5</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bCs/>
                <w:color w:val="auto"/>
              </w:rPr>
              <w:t>型式检验</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bCs/>
                <w:color w:val="auto"/>
              </w:rPr>
              <w:t>28）型式检验报告中的“检验项目”不少于产品标准规定的和表3-3关键检验设备对应的型式检验项目。若委托型式检验，企业应与具备相关资质的检验机构签订了委托检验协议，型式检验项目所需仪器可不做要求。</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bCs/>
                <w:color w:val="auto"/>
              </w:rPr>
              <w:sym w:font="Wingdings" w:char="F06F"/>
            </w:r>
            <w:r>
              <w:rPr>
                <w:rFonts w:ascii="Times New Roman" w:hAnsi="Times New Roman"/>
                <w:bCs/>
                <w:color w:val="auto"/>
              </w:rPr>
              <w:t>是；</w:t>
            </w:r>
            <w:r>
              <w:rPr>
                <w:rFonts w:ascii="Times New Roman" w:hAnsi="Times New Roman"/>
                <w:bCs/>
                <w:color w:val="auto"/>
              </w:rPr>
              <w:sym w:font="Wingdings" w:char="F06F"/>
            </w:r>
            <w:r>
              <w:rPr>
                <w:rFonts w:ascii="Times New Roman" w:hAnsi="Times New Roman"/>
                <w:bCs/>
                <w:color w:val="auto"/>
              </w:rPr>
              <w:t>否：</w:t>
            </w:r>
          </w:p>
        </w:tc>
        <w:tc>
          <w:tcPr>
            <w:tcW w:w="1417"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bCs/>
                <w:color w:val="auto"/>
              </w:rPr>
            </w:pPr>
            <w:r>
              <w:rPr>
                <w:rFonts w:ascii="Times New Roman" w:hAnsi="Times New Roman"/>
                <w:bCs/>
                <w:color w:val="auto"/>
              </w:rPr>
              <w:sym w:font="Wingdings" w:char="F06F"/>
            </w:r>
            <w:r>
              <w:rPr>
                <w:rFonts w:ascii="Times New Roman" w:hAnsi="Times New Roman"/>
                <w:bCs/>
                <w:color w:val="auto"/>
              </w:rPr>
              <w:t>符合</w:t>
            </w:r>
          </w:p>
          <w:p>
            <w:pPr>
              <w:snapToGrid w:val="0"/>
              <w:rPr>
                <w:rFonts w:ascii="Times New Roman" w:hAnsi="Times New Roman"/>
                <w:color w:val="auto"/>
              </w:rPr>
            </w:pPr>
            <w:r>
              <w:rPr>
                <w:rFonts w:ascii="Times New Roman" w:hAnsi="Times New Roman"/>
                <w:bCs/>
                <w:color w:val="auto"/>
              </w:rPr>
              <w:sym w:font="Wingdings" w:char="F06F"/>
            </w:r>
            <w:r>
              <w:rPr>
                <w:rFonts w:ascii="Times New Roman" w:hAnsi="Times New Roman"/>
                <w:bCs/>
                <w:color w:val="auto"/>
              </w:rPr>
              <w:t>不符合</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bCs/>
                <w:color w:val="auto"/>
              </w:rPr>
              <w:t>检查企业的型式检验记录（包括企业申请时提交的检验报告同批次产品的记录），未按细则规定要求进行型式检验的，企业未与具备相关资质的检验机构签订了委托检验协议的，判为不符合。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6.6</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不合格品控制</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29）对不合格品是否按规定进行处置并保存相关记录。</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符合</w:t>
            </w:r>
          </w:p>
          <w:p>
            <w:pPr>
              <w:snapToGrid w:val="0"/>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p>
            <w:pPr>
              <w:snapToGrid w:val="0"/>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建议改进</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1.记录不完整的，判为建议改进。</w:t>
            </w:r>
          </w:p>
          <w:p>
            <w:pPr>
              <w:snapToGrid w:val="0"/>
              <w:rPr>
                <w:rFonts w:ascii="Times New Roman" w:hAnsi="Times New Roman"/>
                <w:color w:val="auto"/>
              </w:rPr>
            </w:pPr>
            <w:r>
              <w:rPr>
                <w:rFonts w:ascii="Times New Roman" w:hAnsi="Times New Roman"/>
                <w:color w:val="auto"/>
              </w:rPr>
              <w:t>2.未按规定进行处置的，或未保存相关记录的，判为不符合。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6.7</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auto"/>
              </w:rPr>
            </w:pPr>
            <w:r>
              <w:rPr>
                <w:rFonts w:ascii="Times New Roman" w:hAnsi="Times New Roman"/>
                <w:color w:val="auto"/>
              </w:rPr>
              <w:t>产品贮存</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30）是否制定了产品贮存的相关规定，规定是否满足标准对产品贮存的相关要求。产品是否依照规定贮存并有贮存记录。</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是；</w:t>
            </w:r>
            <w:r>
              <w:rPr>
                <w:rFonts w:ascii="Times New Roman" w:hAnsi="Times New Roman"/>
                <w:color w:val="auto"/>
              </w:rPr>
              <w:sym w:font="Wingdings" w:char="00A8"/>
            </w:r>
            <w:r>
              <w:rPr>
                <w:rFonts w:ascii="Times New Roman" w:hAnsi="Times New Roman"/>
                <w:color w:val="auto"/>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符合</w:t>
            </w:r>
          </w:p>
          <w:p>
            <w:pPr>
              <w:snapToGrid w:val="0"/>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p>
            <w:pPr>
              <w:snapToGrid w:val="0"/>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建议改进</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auto"/>
              </w:rPr>
            </w:pPr>
            <w:r>
              <w:rPr>
                <w:rFonts w:ascii="Times New Roman" w:hAnsi="Times New Roman"/>
                <w:color w:val="auto"/>
              </w:rPr>
              <w:t>1.企业制定的相关规定不完善，或产品贮存不完全满足规定要求，或贮存记录不完整，判为建议改进。</w:t>
            </w:r>
          </w:p>
          <w:p>
            <w:pPr>
              <w:snapToGrid w:val="0"/>
              <w:rPr>
                <w:rFonts w:ascii="Times New Roman" w:hAnsi="Times New Roman"/>
                <w:color w:val="auto"/>
              </w:rPr>
            </w:pPr>
            <w:r>
              <w:rPr>
                <w:rFonts w:ascii="Times New Roman" w:hAnsi="Times New Roman"/>
                <w:color w:val="auto"/>
              </w:rPr>
              <w:t>2. 企业未制定相关规定或产品贮存不满足规定要求并导致产品出现损伤，判为不符合。</w:t>
            </w:r>
          </w:p>
        </w:tc>
      </w:tr>
    </w:tbl>
    <w:p>
      <w:pPr>
        <w:rPr>
          <w:rFonts w:ascii="Times New Roman" w:hAnsi="Times New Roman"/>
          <w:color w:val="auto"/>
        </w:rPr>
        <w:sectPr>
          <w:headerReference r:id="rId9" w:type="default"/>
          <w:pgSz w:w="16838" w:h="11906" w:orient="landscape"/>
          <w:pgMar w:top="1418" w:right="1418" w:bottom="1418" w:left="1418" w:header="851" w:footer="992" w:gutter="0"/>
          <w:cols w:space="720" w:num="1"/>
          <w:docGrid w:linePitch="312" w:charSpace="0"/>
        </w:sectPr>
      </w:pPr>
    </w:p>
    <w:bookmarkEnd w:id="66"/>
    <w:p>
      <w:pPr>
        <w:pStyle w:val="4"/>
        <w:spacing w:line="440" w:lineRule="exact"/>
        <w:ind w:left="1680" w:hanging="1680"/>
        <w:outlineLvl w:val="0"/>
        <w:rPr>
          <w:rFonts w:eastAsia="宋体"/>
          <w:b w:val="0"/>
          <w:color w:val="auto"/>
          <w:sz w:val="28"/>
          <w:szCs w:val="28"/>
        </w:rPr>
      </w:pPr>
      <w:bookmarkStart w:id="69" w:name="_Toc178002571"/>
      <w:r>
        <w:rPr>
          <w:rFonts w:eastAsia="宋体"/>
          <w:b w:val="0"/>
          <w:color w:val="auto"/>
          <w:sz w:val="28"/>
          <w:szCs w:val="28"/>
        </w:rPr>
        <w:t>附件4</w:t>
      </w:r>
      <w:bookmarkEnd w:id="69"/>
    </w:p>
    <w:p>
      <w:pPr>
        <w:pStyle w:val="4"/>
        <w:spacing w:line="440" w:lineRule="exact"/>
        <w:ind w:left="1687" w:hanging="1687"/>
        <w:jc w:val="center"/>
        <w:rPr>
          <w:rFonts w:eastAsia="宋体"/>
          <w:color w:val="auto"/>
        </w:rPr>
      </w:pPr>
      <w:bookmarkStart w:id="70" w:name="_Toc178002572"/>
      <w:r>
        <w:rPr>
          <w:rFonts w:eastAsia="宋体"/>
          <w:color w:val="auto"/>
          <w:sz w:val="28"/>
          <w:szCs w:val="28"/>
        </w:rPr>
        <w:t>企业实地核查不符合和建议改进条款汇总表</w:t>
      </w:r>
      <w:bookmarkEnd w:id="70"/>
    </w:p>
    <w:p>
      <w:pPr>
        <w:pStyle w:val="57"/>
        <w:tabs>
          <w:tab w:val="left" w:pos="210"/>
        </w:tabs>
        <w:snapToGrid w:val="0"/>
        <w:spacing w:line="300" w:lineRule="auto"/>
        <w:rPr>
          <w:rFonts w:ascii="Times New Roman" w:hAnsi="Times New Roman" w:eastAsia="宋体"/>
          <w:color w:val="auto"/>
          <w:sz w:val="21"/>
          <w:szCs w:val="21"/>
        </w:rPr>
      </w:pPr>
    </w:p>
    <w:p>
      <w:pPr>
        <w:tabs>
          <w:tab w:val="left" w:pos="210"/>
        </w:tabs>
        <w:snapToGrid w:val="0"/>
        <w:spacing w:line="300" w:lineRule="auto"/>
        <w:rPr>
          <w:rFonts w:ascii="Times New Roman" w:hAnsi="Times New Roman"/>
          <w:b/>
          <w:bCs/>
          <w:color w:val="auto"/>
        </w:rPr>
      </w:pPr>
      <w:r>
        <w:rPr>
          <w:rFonts w:ascii="Times New Roman" w:hAnsi="Times New Roman"/>
          <w:b/>
          <w:bCs/>
          <w:color w:val="auto"/>
        </w:rPr>
        <w:t>企业名称：</w:t>
      </w:r>
    </w:p>
    <w:p>
      <w:pPr>
        <w:tabs>
          <w:tab w:val="left" w:pos="210"/>
        </w:tabs>
        <w:snapToGrid w:val="0"/>
        <w:spacing w:line="300" w:lineRule="auto"/>
        <w:rPr>
          <w:rFonts w:ascii="Times New Roman" w:hAnsi="Times New Roman"/>
          <w:b/>
          <w:bCs/>
          <w:color w:val="auto"/>
        </w:rPr>
      </w:pPr>
      <w:r>
        <w:rPr>
          <w:rFonts w:ascii="Times New Roman" w:hAnsi="Times New Roman"/>
          <w:b/>
          <w:bCs/>
          <w:color w:val="auto"/>
        </w:rPr>
        <w:t>产品单元：</w:t>
      </w:r>
    </w:p>
    <w:p>
      <w:pPr>
        <w:tabs>
          <w:tab w:val="left" w:pos="210"/>
        </w:tabs>
        <w:snapToGrid w:val="0"/>
        <w:spacing w:line="300" w:lineRule="auto"/>
        <w:rPr>
          <w:rFonts w:ascii="Times New Roman" w:hAnsi="Times New Roman"/>
          <w:b/>
          <w:bCs/>
          <w:color w:val="auto"/>
        </w:rPr>
      </w:pPr>
      <w:r>
        <w:rPr>
          <w:rFonts w:ascii="Times New Roman" w:hAnsi="Times New Roman"/>
          <w:b/>
          <w:bCs/>
          <w:color w:val="auto"/>
        </w:rPr>
        <w:t>复肥种类：</w:t>
      </w:r>
    </w:p>
    <w:tbl>
      <w:tblPr>
        <w:tblStyle w:val="37"/>
        <w:tblW w:w="928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993"/>
        <w:gridCol w:w="1701"/>
        <w:gridCol w:w="59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17" w:hRule="atLeast"/>
        </w:trPr>
        <w:tc>
          <w:tcPr>
            <w:tcW w:w="675" w:type="dxa"/>
            <w:vMerge w:val="restart"/>
            <w:vAlign w:val="center"/>
          </w:tcPr>
          <w:p>
            <w:pPr>
              <w:tabs>
                <w:tab w:val="left" w:pos="210"/>
              </w:tabs>
              <w:snapToGrid w:val="0"/>
              <w:spacing w:line="300" w:lineRule="auto"/>
              <w:jc w:val="center"/>
              <w:rPr>
                <w:rFonts w:ascii="Times New Roman" w:hAnsi="Times New Roman"/>
                <w:b/>
                <w:color w:val="auto"/>
              </w:rPr>
            </w:pPr>
            <w:r>
              <w:rPr>
                <w:rFonts w:ascii="Times New Roman" w:hAnsi="Times New Roman"/>
                <w:b/>
                <w:color w:val="auto"/>
              </w:rPr>
              <w:t>序号</w:t>
            </w:r>
          </w:p>
        </w:tc>
        <w:tc>
          <w:tcPr>
            <w:tcW w:w="993" w:type="dxa"/>
            <w:vMerge w:val="restart"/>
            <w:vAlign w:val="center"/>
          </w:tcPr>
          <w:p>
            <w:pPr>
              <w:tabs>
                <w:tab w:val="left" w:pos="210"/>
              </w:tabs>
              <w:snapToGrid w:val="0"/>
              <w:spacing w:line="300" w:lineRule="auto"/>
              <w:jc w:val="center"/>
              <w:rPr>
                <w:rFonts w:ascii="Times New Roman" w:hAnsi="Times New Roman"/>
                <w:b/>
                <w:color w:val="auto"/>
              </w:rPr>
            </w:pPr>
            <w:r>
              <w:rPr>
                <w:rFonts w:ascii="Times New Roman" w:hAnsi="Times New Roman"/>
                <w:b/>
                <w:color w:val="auto"/>
              </w:rPr>
              <w:t>条款号</w:t>
            </w:r>
          </w:p>
        </w:tc>
        <w:tc>
          <w:tcPr>
            <w:tcW w:w="1701" w:type="dxa"/>
            <w:vAlign w:val="center"/>
          </w:tcPr>
          <w:p>
            <w:pPr>
              <w:tabs>
                <w:tab w:val="left" w:pos="210"/>
              </w:tabs>
              <w:snapToGrid w:val="0"/>
              <w:spacing w:line="300" w:lineRule="auto"/>
              <w:jc w:val="center"/>
              <w:rPr>
                <w:rFonts w:ascii="Times New Roman" w:hAnsi="Times New Roman"/>
                <w:b/>
                <w:color w:val="auto"/>
              </w:rPr>
            </w:pPr>
            <w:r>
              <w:rPr>
                <w:rFonts w:ascii="Times New Roman" w:hAnsi="Times New Roman"/>
                <w:b/>
                <w:color w:val="auto"/>
              </w:rPr>
              <w:t>不符合程度</w:t>
            </w:r>
          </w:p>
        </w:tc>
        <w:tc>
          <w:tcPr>
            <w:tcW w:w="5919" w:type="dxa"/>
            <w:vMerge w:val="restart"/>
            <w:vAlign w:val="center"/>
          </w:tcPr>
          <w:p>
            <w:pPr>
              <w:tabs>
                <w:tab w:val="left" w:pos="210"/>
              </w:tabs>
              <w:snapToGrid w:val="0"/>
              <w:spacing w:line="300" w:lineRule="auto"/>
              <w:jc w:val="center"/>
              <w:rPr>
                <w:rFonts w:ascii="Times New Roman" w:hAnsi="Times New Roman"/>
                <w:b/>
                <w:color w:val="auto"/>
              </w:rPr>
            </w:pPr>
            <w:r>
              <w:rPr>
                <w:rFonts w:ascii="Times New Roman" w:hAnsi="Times New Roman"/>
                <w:b/>
                <w:color w:val="auto"/>
              </w:rPr>
              <w:t>事实描述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trPr>
        <w:tc>
          <w:tcPr>
            <w:tcW w:w="675" w:type="dxa"/>
            <w:vMerge w:val="continue"/>
            <w:vAlign w:val="center"/>
          </w:tcPr>
          <w:p>
            <w:pPr>
              <w:rPr>
                <w:rFonts w:ascii="Times New Roman" w:hAnsi="Times New Roman"/>
                <w:color w:val="auto"/>
              </w:rPr>
            </w:pPr>
          </w:p>
        </w:tc>
        <w:tc>
          <w:tcPr>
            <w:tcW w:w="993" w:type="dxa"/>
            <w:vMerge w:val="continue"/>
            <w:vAlign w:val="center"/>
          </w:tcPr>
          <w:p>
            <w:pPr>
              <w:rPr>
                <w:rFonts w:ascii="Times New Roman" w:hAnsi="Times New Roman"/>
                <w:color w:val="auto"/>
              </w:rPr>
            </w:pPr>
          </w:p>
        </w:tc>
        <w:tc>
          <w:tcPr>
            <w:tcW w:w="1701" w:type="dxa"/>
            <w:vAlign w:val="center"/>
          </w:tcPr>
          <w:p>
            <w:pPr>
              <w:tabs>
                <w:tab w:val="left" w:pos="210"/>
              </w:tabs>
              <w:snapToGrid w:val="0"/>
              <w:spacing w:line="300" w:lineRule="auto"/>
              <w:jc w:val="center"/>
              <w:rPr>
                <w:rFonts w:ascii="Times New Roman" w:hAnsi="Times New Roman"/>
                <w:b/>
                <w:color w:val="auto"/>
              </w:rPr>
            </w:pPr>
            <w:r>
              <w:rPr>
                <w:rFonts w:ascii="Times New Roman" w:hAnsi="Times New Roman"/>
                <w:b/>
                <w:color w:val="auto"/>
              </w:rPr>
              <w:t>在选框中打“√”</w:t>
            </w:r>
          </w:p>
        </w:tc>
        <w:tc>
          <w:tcPr>
            <w:tcW w:w="5919" w:type="dxa"/>
            <w:vMerge w:val="continue"/>
            <w:vAlign w:val="center"/>
          </w:tcPr>
          <w:p>
            <w:pPr>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ascii="Times New Roman" w:hAnsi="Times New Roman"/>
                <w:color w:val="auto"/>
              </w:rPr>
            </w:pPr>
          </w:p>
        </w:tc>
        <w:tc>
          <w:tcPr>
            <w:tcW w:w="993" w:type="dxa"/>
            <w:vAlign w:val="center"/>
          </w:tcPr>
          <w:p>
            <w:pPr>
              <w:tabs>
                <w:tab w:val="left" w:pos="210"/>
              </w:tabs>
              <w:snapToGrid w:val="0"/>
              <w:spacing w:line="300" w:lineRule="auto"/>
              <w:rPr>
                <w:rFonts w:ascii="Times New Roman" w:hAnsi="Times New Roman"/>
                <w:color w:val="auto"/>
              </w:rPr>
            </w:pPr>
          </w:p>
        </w:tc>
        <w:tc>
          <w:tcPr>
            <w:tcW w:w="1701" w:type="dxa"/>
            <w:vAlign w:val="center"/>
          </w:tcPr>
          <w:p>
            <w:pPr>
              <w:snapToGrid w:val="0"/>
              <w:spacing w:line="300" w:lineRule="auto"/>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p>
            <w:pPr>
              <w:tabs>
                <w:tab w:val="left" w:pos="210"/>
              </w:tabs>
              <w:snapToGrid w:val="0"/>
              <w:spacing w:line="300" w:lineRule="auto"/>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建议改进</w:t>
            </w:r>
          </w:p>
        </w:tc>
        <w:tc>
          <w:tcPr>
            <w:tcW w:w="5919" w:type="dxa"/>
            <w:vAlign w:val="center"/>
          </w:tcPr>
          <w:p>
            <w:pPr>
              <w:tabs>
                <w:tab w:val="left" w:pos="210"/>
              </w:tabs>
              <w:snapToGrid w:val="0"/>
              <w:spacing w:line="300" w:lineRule="auto"/>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87" w:hRule="atLeast"/>
        </w:trPr>
        <w:tc>
          <w:tcPr>
            <w:tcW w:w="675" w:type="dxa"/>
            <w:vAlign w:val="center"/>
          </w:tcPr>
          <w:p>
            <w:pPr>
              <w:tabs>
                <w:tab w:val="left" w:pos="210"/>
              </w:tabs>
              <w:snapToGrid w:val="0"/>
              <w:spacing w:line="300" w:lineRule="auto"/>
              <w:rPr>
                <w:rFonts w:ascii="Times New Roman" w:hAnsi="Times New Roman"/>
                <w:color w:val="auto"/>
              </w:rPr>
            </w:pPr>
          </w:p>
        </w:tc>
        <w:tc>
          <w:tcPr>
            <w:tcW w:w="993" w:type="dxa"/>
            <w:vAlign w:val="center"/>
          </w:tcPr>
          <w:p>
            <w:pPr>
              <w:tabs>
                <w:tab w:val="left" w:pos="210"/>
              </w:tabs>
              <w:snapToGrid w:val="0"/>
              <w:spacing w:line="300" w:lineRule="auto"/>
              <w:rPr>
                <w:rFonts w:ascii="Times New Roman" w:hAnsi="Times New Roman"/>
                <w:color w:val="auto"/>
              </w:rPr>
            </w:pPr>
          </w:p>
        </w:tc>
        <w:tc>
          <w:tcPr>
            <w:tcW w:w="1701" w:type="dxa"/>
            <w:vAlign w:val="center"/>
          </w:tcPr>
          <w:p>
            <w:pPr>
              <w:snapToGrid w:val="0"/>
              <w:spacing w:line="300" w:lineRule="auto"/>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p>
            <w:pPr>
              <w:tabs>
                <w:tab w:val="left" w:pos="210"/>
              </w:tabs>
              <w:snapToGrid w:val="0"/>
              <w:spacing w:line="300" w:lineRule="auto"/>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建议改进</w:t>
            </w:r>
          </w:p>
        </w:tc>
        <w:tc>
          <w:tcPr>
            <w:tcW w:w="5919" w:type="dxa"/>
            <w:vAlign w:val="center"/>
          </w:tcPr>
          <w:p>
            <w:pPr>
              <w:tabs>
                <w:tab w:val="left" w:pos="210"/>
              </w:tabs>
              <w:snapToGrid w:val="0"/>
              <w:spacing w:line="300" w:lineRule="auto"/>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87" w:hRule="atLeast"/>
        </w:trPr>
        <w:tc>
          <w:tcPr>
            <w:tcW w:w="675" w:type="dxa"/>
            <w:vAlign w:val="center"/>
          </w:tcPr>
          <w:p>
            <w:pPr>
              <w:tabs>
                <w:tab w:val="left" w:pos="210"/>
              </w:tabs>
              <w:snapToGrid w:val="0"/>
              <w:spacing w:line="300" w:lineRule="auto"/>
              <w:rPr>
                <w:rFonts w:ascii="Times New Roman" w:hAnsi="Times New Roman"/>
                <w:color w:val="auto"/>
              </w:rPr>
            </w:pPr>
          </w:p>
        </w:tc>
        <w:tc>
          <w:tcPr>
            <w:tcW w:w="993" w:type="dxa"/>
            <w:vAlign w:val="center"/>
          </w:tcPr>
          <w:p>
            <w:pPr>
              <w:tabs>
                <w:tab w:val="left" w:pos="210"/>
              </w:tabs>
              <w:snapToGrid w:val="0"/>
              <w:spacing w:line="300" w:lineRule="auto"/>
              <w:rPr>
                <w:rFonts w:ascii="Times New Roman" w:hAnsi="Times New Roman"/>
                <w:color w:val="auto"/>
              </w:rPr>
            </w:pPr>
          </w:p>
        </w:tc>
        <w:tc>
          <w:tcPr>
            <w:tcW w:w="1701" w:type="dxa"/>
            <w:vAlign w:val="center"/>
          </w:tcPr>
          <w:p>
            <w:pPr>
              <w:snapToGrid w:val="0"/>
              <w:spacing w:line="300" w:lineRule="auto"/>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p>
            <w:pPr>
              <w:tabs>
                <w:tab w:val="left" w:pos="210"/>
              </w:tabs>
              <w:snapToGrid w:val="0"/>
              <w:spacing w:line="300" w:lineRule="auto"/>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建议改进</w:t>
            </w:r>
          </w:p>
        </w:tc>
        <w:tc>
          <w:tcPr>
            <w:tcW w:w="5919" w:type="dxa"/>
            <w:vAlign w:val="center"/>
          </w:tcPr>
          <w:p>
            <w:pPr>
              <w:tabs>
                <w:tab w:val="left" w:pos="210"/>
              </w:tabs>
              <w:snapToGrid w:val="0"/>
              <w:spacing w:line="300" w:lineRule="auto"/>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ascii="Times New Roman" w:hAnsi="Times New Roman"/>
                <w:color w:val="auto"/>
              </w:rPr>
            </w:pPr>
          </w:p>
        </w:tc>
        <w:tc>
          <w:tcPr>
            <w:tcW w:w="993" w:type="dxa"/>
            <w:vAlign w:val="center"/>
          </w:tcPr>
          <w:p>
            <w:pPr>
              <w:tabs>
                <w:tab w:val="left" w:pos="210"/>
              </w:tabs>
              <w:snapToGrid w:val="0"/>
              <w:spacing w:line="300" w:lineRule="auto"/>
              <w:rPr>
                <w:rFonts w:ascii="Times New Roman" w:hAnsi="Times New Roman"/>
                <w:color w:val="auto"/>
              </w:rPr>
            </w:pPr>
          </w:p>
        </w:tc>
        <w:tc>
          <w:tcPr>
            <w:tcW w:w="1701" w:type="dxa"/>
            <w:vAlign w:val="center"/>
          </w:tcPr>
          <w:p>
            <w:pPr>
              <w:snapToGrid w:val="0"/>
              <w:spacing w:line="300" w:lineRule="auto"/>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p>
            <w:pPr>
              <w:tabs>
                <w:tab w:val="left" w:pos="210"/>
              </w:tabs>
              <w:snapToGrid w:val="0"/>
              <w:spacing w:line="300" w:lineRule="auto"/>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建议改进</w:t>
            </w:r>
          </w:p>
        </w:tc>
        <w:tc>
          <w:tcPr>
            <w:tcW w:w="5919" w:type="dxa"/>
            <w:vAlign w:val="center"/>
          </w:tcPr>
          <w:p>
            <w:pPr>
              <w:tabs>
                <w:tab w:val="left" w:pos="210"/>
              </w:tabs>
              <w:snapToGrid w:val="0"/>
              <w:spacing w:line="300" w:lineRule="auto"/>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ascii="Times New Roman" w:hAnsi="Times New Roman"/>
                <w:color w:val="auto"/>
              </w:rPr>
            </w:pPr>
          </w:p>
        </w:tc>
        <w:tc>
          <w:tcPr>
            <w:tcW w:w="993" w:type="dxa"/>
            <w:vAlign w:val="center"/>
          </w:tcPr>
          <w:p>
            <w:pPr>
              <w:tabs>
                <w:tab w:val="left" w:pos="210"/>
              </w:tabs>
              <w:snapToGrid w:val="0"/>
              <w:spacing w:line="300" w:lineRule="auto"/>
              <w:rPr>
                <w:rFonts w:ascii="Times New Roman" w:hAnsi="Times New Roman"/>
                <w:color w:val="auto"/>
              </w:rPr>
            </w:pPr>
          </w:p>
        </w:tc>
        <w:tc>
          <w:tcPr>
            <w:tcW w:w="1701" w:type="dxa"/>
            <w:vAlign w:val="center"/>
          </w:tcPr>
          <w:p>
            <w:pPr>
              <w:snapToGrid w:val="0"/>
              <w:spacing w:line="300" w:lineRule="auto"/>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p>
            <w:pPr>
              <w:tabs>
                <w:tab w:val="left" w:pos="210"/>
              </w:tabs>
              <w:snapToGrid w:val="0"/>
              <w:spacing w:line="300" w:lineRule="auto"/>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建议改进</w:t>
            </w:r>
          </w:p>
        </w:tc>
        <w:tc>
          <w:tcPr>
            <w:tcW w:w="5919" w:type="dxa"/>
            <w:vAlign w:val="center"/>
          </w:tcPr>
          <w:p>
            <w:pPr>
              <w:tabs>
                <w:tab w:val="left" w:pos="210"/>
              </w:tabs>
              <w:snapToGrid w:val="0"/>
              <w:spacing w:line="300" w:lineRule="auto"/>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87" w:hRule="atLeast"/>
        </w:trPr>
        <w:tc>
          <w:tcPr>
            <w:tcW w:w="675" w:type="dxa"/>
            <w:vAlign w:val="center"/>
          </w:tcPr>
          <w:p>
            <w:pPr>
              <w:tabs>
                <w:tab w:val="left" w:pos="210"/>
              </w:tabs>
              <w:snapToGrid w:val="0"/>
              <w:spacing w:line="300" w:lineRule="auto"/>
              <w:rPr>
                <w:rFonts w:ascii="Times New Roman" w:hAnsi="Times New Roman"/>
                <w:color w:val="auto"/>
              </w:rPr>
            </w:pPr>
          </w:p>
        </w:tc>
        <w:tc>
          <w:tcPr>
            <w:tcW w:w="993" w:type="dxa"/>
            <w:vAlign w:val="center"/>
          </w:tcPr>
          <w:p>
            <w:pPr>
              <w:tabs>
                <w:tab w:val="left" w:pos="210"/>
              </w:tabs>
              <w:snapToGrid w:val="0"/>
              <w:spacing w:line="300" w:lineRule="auto"/>
              <w:rPr>
                <w:rFonts w:ascii="Times New Roman" w:hAnsi="Times New Roman"/>
                <w:color w:val="auto"/>
              </w:rPr>
            </w:pPr>
          </w:p>
        </w:tc>
        <w:tc>
          <w:tcPr>
            <w:tcW w:w="1701" w:type="dxa"/>
            <w:vAlign w:val="center"/>
          </w:tcPr>
          <w:p>
            <w:pPr>
              <w:snapToGrid w:val="0"/>
              <w:spacing w:line="300" w:lineRule="auto"/>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p>
            <w:pPr>
              <w:tabs>
                <w:tab w:val="left" w:pos="210"/>
              </w:tabs>
              <w:snapToGrid w:val="0"/>
              <w:spacing w:line="300" w:lineRule="auto"/>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建议改进</w:t>
            </w:r>
          </w:p>
        </w:tc>
        <w:tc>
          <w:tcPr>
            <w:tcW w:w="5919" w:type="dxa"/>
            <w:vAlign w:val="center"/>
          </w:tcPr>
          <w:p>
            <w:pPr>
              <w:tabs>
                <w:tab w:val="left" w:pos="210"/>
              </w:tabs>
              <w:snapToGrid w:val="0"/>
              <w:spacing w:line="300" w:lineRule="auto"/>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87" w:hRule="atLeast"/>
        </w:trPr>
        <w:tc>
          <w:tcPr>
            <w:tcW w:w="675" w:type="dxa"/>
            <w:vAlign w:val="center"/>
          </w:tcPr>
          <w:p>
            <w:pPr>
              <w:tabs>
                <w:tab w:val="left" w:pos="210"/>
              </w:tabs>
              <w:snapToGrid w:val="0"/>
              <w:spacing w:line="300" w:lineRule="auto"/>
              <w:rPr>
                <w:rFonts w:ascii="Times New Roman" w:hAnsi="Times New Roman"/>
                <w:color w:val="auto"/>
              </w:rPr>
            </w:pPr>
          </w:p>
        </w:tc>
        <w:tc>
          <w:tcPr>
            <w:tcW w:w="993" w:type="dxa"/>
            <w:vAlign w:val="center"/>
          </w:tcPr>
          <w:p>
            <w:pPr>
              <w:tabs>
                <w:tab w:val="left" w:pos="210"/>
              </w:tabs>
              <w:snapToGrid w:val="0"/>
              <w:spacing w:line="300" w:lineRule="auto"/>
              <w:rPr>
                <w:rFonts w:ascii="Times New Roman" w:hAnsi="Times New Roman"/>
                <w:color w:val="auto"/>
              </w:rPr>
            </w:pPr>
          </w:p>
        </w:tc>
        <w:tc>
          <w:tcPr>
            <w:tcW w:w="1701" w:type="dxa"/>
            <w:vAlign w:val="center"/>
          </w:tcPr>
          <w:p>
            <w:pPr>
              <w:snapToGrid w:val="0"/>
              <w:spacing w:line="300" w:lineRule="auto"/>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p>
            <w:pPr>
              <w:tabs>
                <w:tab w:val="left" w:pos="210"/>
              </w:tabs>
              <w:snapToGrid w:val="0"/>
              <w:spacing w:line="300" w:lineRule="auto"/>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建议改进</w:t>
            </w:r>
          </w:p>
        </w:tc>
        <w:tc>
          <w:tcPr>
            <w:tcW w:w="5919" w:type="dxa"/>
            <w:vAlign w:val="center"/>
          </w:tcPr>
          <w:p>
            <w:pPr>
              <w:tabs>
                <w:tab w:val="left" w:pos="210"/>
              </w:tabs>
              <w:snapToGrid w:val="0"/>
              <w:spacing w:line="300" w:lineRule="auto"/>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ascii="Times New Roman" w:hAnsi="Times New Roman"/>
                <w:color w:val="auto"/>
              </w:rPr>
            </w:pPr>
          </w:p>
        </w:tc>
        <w:tc>
          <w:tcPr>
            <w:tcW w:w="993" w:type="dxa"/>
            <w:vAlign w:val="center"/>
          </w:tcPr>
          <w:p>
            <w:pPr>
              <w:tabs>
                <w:tab w:val="left" w:pos="210"/>
              </w:tabs>
              <w:snapToGrid w:val="0"/>
              <w:spacing w:line="300" w:lineRule="auto"/>
              <w:rPr>
                <w:rFonts w:ascii="Times New Roman" w:hAnsi="Times New Roman"/>
                <w:color w:val="auto"/>
              </w:rPr>
            </w:pPr>
          </w:p>
        </w:tc>
        <w:tc>
          <w:tcPr>
            <w:tcW w:w="1701" w:type="dxa"/>
            <w:vAlign w:val="center"/>
          </w:tcPr>
          <w:p>
            <w:pPr>
              <w:snapToGrid w:val="0"/>
              <w:spacing w:line="300" w:lineRule="auto"/>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不符合</w:t>
            </w:r>
          </w:p>
          <w:p>
            <w:pPr>
              <w:tabs>
                <w:tab w:val="left" w:pos="210"/>
              </w:tabs>
              <w:snapToGrid w:val="0"/>
              <w:spacing w:line="300" w:lineRule="auto"/>
              <w:rPr>
                <w:rFonts w:ascii="Times New Roman" w:hAnsi="Times New Roman"/>
                <w:color w:val="auto"/>
              </w:rPr>
            </w:pPr>
            <w:r>
              <w:rPr>
                <w:rFonts w:ascii="Times New Roman" w:hAnsi="Times New Roman"/>
                <w:color w:val="auto"/>
              </w:rPr>
              <w:sym w:font="Wingdings" w:char="00A8"/>
            </w:r>
            <w:r>
              <w:rPr>
                <w:rFonts w:ascii="Times New Roman" w:hAnsi="Times New Roman"/>
                <w:color w:val="auto"/>
              </w:rPr>
              <w:t>建议改进</w:t>
            </w:r>
          </w:p>
        </w:tc>
        <w:tc>
          <w:tcPr>
            <w:tcW w:w="5919" w:type="dxa"/>
            <w:vAlign w:val="center"/>
          </w:tcPr>
          <w:p>
            <w:pPr>
              <w:tabs>
                <w:tab w:val="left" w:pos="210"/>
              </w:tabs>
              <w:snapToGrid w:val="0"/>
              <w:spacing w:line="300" w:lineRule="auto"/>
              <w:rPr>
                <w:rFonts w:ascii="Times New Roman" w:hAnsi="Times New Roman"/>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235" w:hRule="atLeast"/>
        </w:trPr>
        <w:tc>
          <w:tcPr>
            <w:tcW w:w="3369" w:type="dxa"/>
            <w:gridSpan w:val="3"/>
            <w:vAlign w:val="center"/>
          </w:tcPr>
          <w:p>
            <w:pPr>
              <w:tabs>
                <w:tab w:val="left" w:pos="210"/>
              </w:tabs>
              <w:snapToGrid w:val="0"/>
              <w:rPr>
                <w:rFonts w:ascii="Times New Roman" w:hAnsi="Times New Roman"/>
                <w:color w:val="auto"/>
              </w:rPr>
            </w:pPr>
            <w:r>
              <w:rPr>
                <w:rFonts w:ascii="Times New Roman" w:hAnsi="Times New Roman"/>
                <w:color w:val="auto"/>
              </w:rPr>
              <w:t>核查组成员（签字）：</w:t>
            </w:r>
          </w:p>
          <w:p>
            <w:pPr>
              <w:tabs>
                <w:tab w:val="left" w:pos="210"/>
              </w:tabs>
              <w:snapToGrid w:val="0"/>
              <w:rPr>
                <w:rFonts w:ascii="Times New Roman" w:hAnsi="Times New Roman"/>
                <w:color w:val="auto"/>
              </w:rPr>
            </w:pPr>
          </w:p>
          <w:p>
            <w:pPr>
              <w:tabs>
                <w:tab w:val="left" w:pos="210"/>
              </w:tabs>
              <w:snapToGrid w:val="0"/>
              <w:jc w:val="right"/>
              <w:rPr>
                <w:rFonts w:ascii="Times New Roman" w:hAnsi="Times New Roman"/>
                <w:color w:val="auto"/>
              </w:rPr>
            </w:pPr>
            <w:r>
              <w:rPr>
                <w:rFonts w:ascii="Times New Roman" w:hAnsi="Times New Roman"/>
                <w:color w:val="auto"/>
              </w:rPr>
              <w:t>年  月  日</w:t>
            </w:r>
          </w:p>
        </w:tc>
        <w:tc>
          <w:tcPr>
            <w:tcW w:w="5919" w:type="dxa"/>
            <w:vMerge w:val="restart"/>
          </w:tcPr>
          <w:p>
            <w:pPr>
              <w:tabs>
                <w:tab w:val="left" w:pos="210"/>
              </w:tabs>
              <w:snapToGrid w:val="0"/>
              <w:rPr>
                <w:rFonts w:ascii="Times New Roman" w:hAnsi="Times New Roman"/>
                <w:color w:val="auto"/>
              </w:rPr>
            </w:pPr>
          </w:p>
          <w:p>
            <w:pPr>
              <w:tabs>
                <w:tab w:val="left" w:pos="210"/>
              </w:tabs>
              <w:snapToGrid w:val="0"/>
              <w:rPr>
                <w:rFonts w:ascii="Times New Roman" w:hAnsi="Times New Roman"/>
                <w:color w:val="auto"/>
              </w:rPr>
            </w:pPr>
            <w:r>
              <w:rPr>
                <w:rFonts w:ascii="Times New Roman" w:hAnsi="Times New Roman"/>
                <w:color w:val="auto"/>
              </w:rPr>
              <w:t>企业代表（签字）：</w:t>
            </w:r>
          </w:p>
          <w:p>
            <w:pPr>
              <w:tabs>
                <w:tab w:val="left" w:pos="210"/>
              </w:tabs>
              <w:snapToGrid w:val="0"/>
              <w:rPr>
                <w:rFonts w:ascii="Times New Roman" w:hAnsi="Times New Roman"/>
                <w:color w:val="auto"/>
              </w:rPr>
            </w:pPr>
          </w:p>
          <w:p>
            <w:pPr>
              <w:tabs>
                <w:tab w:val="left" w:pos="210"/>
              </w:tabs>
              <w:snapToGrid w:val="0"/>
              <w:rPr>
                <w:rFonts w:ascii="Times New Roman" w:hAnsi="Times New Roman"/>
                <w:color w:val="auto"/>
              </w:rPr>
            </w:pPr>
          </w:p>
          <w:p>
            <w:pPr>
              <w:tabs>
                <w:tab w:val="left" w:pos="210"/>
              </w:tabs>
              <w:snapToGrid w:val="0"/>
              <w:rPr>
                <w:rFonts w:ascii="Times New Roman" w:hAnsi="Times New Roman"/>
                <w:color w:val="auto"/>
              </w:rPr>
            </w:pPr>
          </w:p>
          <w:p>
            <w:pPr>
              <w:tabs>
                <w:tab w:val="left" w:pos="210"/>
              </w:tabs>
              <w:snapToGrid w:val="0"/>
              <w:ind w:right="420"/>
              <w:jc w:val="right"/>
              <w:rPr>
                <w:rFonts w:ascii="Times New Roman" w:hAnsi="Times New Roman"/>
                <w:color w:val="auto"/>
              </w:rPr>
            </w:pPr>
          </w:p>
          <w:p>
            <w:pPr>
              <w:tabs>
                <w:tab w:val="left" w:pos="210"/>
              </w:tabs>
              <w:snapToGrid w:val="0"/>
              <w:ind w:right="420"/>
              <w:jc w:val="right"/>
              <w:rPr>
                <w:rFonts w:ascii="Times New Roman" w:hAnsi="Times New Roman"/>
                <w:color w:val="auto"/>
              </w:rPr>
            </w:pPr>
            <w:r>
              <w:rPr>
                <w:rFonts w:ascii="Times New Roman" w:hAnsi="Times New Roman"/>
                <w:color w:val="auto"/>
              </w:rPr>
              <w:t>（企业公章）</w:t>
            </w:r>
          </w:p>
          <w:p>
            <w:pPr>
              <w:tabs>
                <w:tab w:val="left" w:pos="210"/>
              </w:tabs>
              <w:snapToGrid w:val="0"/>
              <w:ind w:right="210"/>
              <w:jc w:val="right"/>
              <w:rPr>
                <w:rFonts w:ascii="Times New Roman" w:hAnsi="Times New Roman"/>
                <w:color w:val="auto"/>
              </w:rPr>
            </w:pPr>
            <w:r>
              <w:rPr>
                <w:rFonts w:ascii="Times New Roman" w:hAnsi="Times New Roman"/>
                <w:color w:val="auto"/>
              </w:rPr>
              <w:t>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1041" w:hRule="atLeast"/>
        </w:trPr>
        <w:tc>
          <w:tcPr>
            <w:tcW w:w="3369" w:type="dxa"/>
            <w:gridSpan w:val="3"/>
            <w:vAlign w:val="center"/>
          </w:tcPr>
          <w:p>
            <w:pPr>
              <w:tabs>
                <w:tab w:val="left" w:pos="210"/>
              </w:tabs>
              <w:snapToGrid w:val="0"/>
              <w:rPr>
                <w:rFonts w:ascii="Times New Roman" w:hAnsi="Times New Roman"/>
                <w:color w:val="auto"/>
              </w:rPr>
            </w:pPr>
            <w:r>
              <w:rPr>
                <w:rFonts w:ascii="Times New Roman" w:hAnsi="Times New Roman"/>
                <w:color w:val="auto"/>
              </w:rPr>
              <w:t>核查组组长（签字）：</w:t>
            </w:r>
          </w:p>
          <w:p>
            <w:pPr>
              <w:tabs>
                <w:tab w:val="left" w:pos="210"/>
              </w:tabs>
              <w:snapToGrid w:val="0"/>
              <w:rPr>
                <w:rFonts w:ascii="Times New Roman" w:hAnsi="Times New Roman"/>
                <w:color w:val="auto"/>
              </w:rPr>
            </w:pPr>
          </w:p>
          <w:p>
            <w:pPr>
              <w:tabs>
                <w:tab w:val="left" w:pos="210"/>
              </w:tabs>
              <w:snapToGrid w:val="0"/>
              <w:jc w:val="right"/>
              <w:rPr>
                <w:rFonts w:ascii="Times New Roman" w:hAnsi="Times New Roman"/>
                <w:color w:val="auto"/>
              </w:rPr>
            </w:pPr>
            <w:r>
              <w:rPr>
                <w:rFonts w:ascii="Times New Roman" w:hAnsi="Times New Roman"/>
                <w:color w:val="auto"/>
              </w:rPr>
              <w:t>年  月  日</w:t>
            </w:r>
          </w:p>
        </w:tc>
        <w:tc>
          <w:tcPr>
            <w:tcW w:w="5919" w:type="dxa"/>
            <w:vMerge w:val="continue"/>
          </w:tcPr>
          <w:p>
            <w:pPr>
              <w:rPr>
                <w:rFonts w:ascii="Times New Roman" w:hAnsi="Times New Roman"/>
                <w:color w:val="auto"/>
              </w:rPr>
            </w:pPr>
          </w:p>
        </w:tc>
      </w:tr>
    </w:tbl>
    <w:p>
      <w:pPr>
        <w:rPr>
          <w:rFonts w:ascii="Times New Roman" w:hAnsi="Times New Roman"/>
          <w:color w:val="auto"/>
        </w:rPr>
      </w:pPr>
    </w:p>
    <w:p>
      <w:pPr>
        <w:rPr>
          <w:rFonts w:ascii="Times New Roman" w:hAnsi="Times New Roman"/>
          <w:color w:val="auto"/>
        </w:rPr>
        <w:sectPr>
          <w:headerReference r:id="rId10" w:type="default"/>
          <w:pgSz w:w="11906" w:h="16838"/>
          <w:pgMar w:top="1418" w:right="1418" w:bottom="1418" w:left="1418" w:header="851" w:footer="992" w:gutter="0"/>
          <w:cols w:space="720" w:num="1"/>
          <w:docGrid w:linePitch="312" w:charSpace="0"/>
        </w:sectPr>
      </w:pPr>
    </w:p>
    <w:p>
      <w:pPr>
        <w:pStyle w:val="4"/>
        <w:spacing w:line="440" w:lineRule="exact"/>
        <w:ind w:left="4704" w:hanging="4704"/>
        <w:outlineLvl w:val="0"/>
        <w:rPr>
          <w:rFonts w:eastAsia="宋体"/>
          <w:b w:val="0"/>
          <w:color w:val="auto"/>
          <w:sz w:val="28"/>
          <w:szCs w:val="28"/>
        </w:rPr>
      </w:pPr>
      <w:bookmarkStart w:id="71" w:name="_Toc178002573"/>
      <w:r>
        <w:rPr>
          <w:rFonts w:eastAsia="宋体"/>
          <w:b w:val="0"/>
          <w:color w:val="auto"/>
          <w:sz w:val="28"/>
          <w:szCs w:val="28"/>
        </w:rPr>
        <w:t>附件5</w:t>
      </w:r>
      <w:bookmarkEnd w:id="71"/>
    </w:p>
    <w:p>
      <w:pPr>
        <w:pStyle w:val="4"/>
        <w:spacing w:line="440" w:lineRule="exact"/>
        <w:ind w:left="4722" w:hanging="4722"/>
        <w:jc w:val="center"/>
        <w:rPr>
          <w:rFonts w:eastAsia="宋体"/>
          <w:b w:val="0"/>
          <w:color w:val="auto"/>
          <w:sz w:val="28"/>
          <w:szCs w:val="28"/>
        </w:rPr>
      </w:pPr>
      <w:bookmarkStart w:id="72" w:name="_Toc178002574"/>
      <w:r>
        <w:rPr>
          <w:rFonts w:eastAsia="宋体"/>
          <w:color w:val="auto"/>
          <w:sz w:val="28"/>
          <w:szCs w:val="28"/>
        </w:rPr>
        <w:t>生产许可证企业实地核查报告</w:t>
      </w:r>
      <w:bookmarkEnd w:id="72"/>
    </w:p>
    <w:tbl>
      <w:tblPr>
        <w:tblStyle w:val="37"/>
        <w:tblW w:w="14218" w:type="dxa"/>
        <w:jc w:val="center"/>
        <w:tblLayout w:type="fixed"/>
        <w:tblCellMar>
          <w:top w:w="0" w:type="dxa"/>
          <w:left w:w="108" w:type="dxa"/>
          <w:bottom w:w="0" w:type="dxa"/>
          <w:right w:w="108" w:type="dxa"/>
        </w:tblCellMar>
      </w:tblPr>
      <w:tblGrid>
        <w:gridCol w:w="2235"/>
        <w:gridCol w:w="1875"/>
        <w:gridCol w:w="1348"/>
        <w:gridCol w:w="3014"/>
        <w:gridCol w:w="141"/>
        <w:gridCol w:w="1787"/>
        <w:gridCol w:w="1048"/>
        <w:gridCol w:w="709"/>
        <w:gridCol w:w="2061"/>
      </w:tblGrid>
      <w:tr>
        <w:tblPrEx>
          <w:tblCellMar>
            <w:top w:w="0" w:type="dxa"/>
            <w:left w:w="108" w:type="dxa"/>
            <w:bottom w:w="0" w:type="dxa"/>
            <w:right w:w="108" w:type="dxa"/>
          </w:tblCellMar>
        </w:tblPrEx>
        <w:trPr>
          <w:trHeight w:val="536" w:hRule="atLeast"/>
          <w:jc w:val="center"/>
        </w:trPr>
        <w:tc>
          <w:tcPr>
            <w:tcW w:w="545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color w:val="auto"/>
              </w:rPr>
            </w:pPr>
            <w:r>
              <w:rPr>
                <w:rFonts w:ascii="Times New Roman" w:hAnsi="Times New Roman"/>
                <w:color w:val="auto"/>
              </w:rPr>
              <w:t>企业名称（盖章）：</w:t>
            </w:r>
          </w:p>
        </w:tc>
        <w:tc>
          <w:tcPr>
            <w:tcW w:w="6699"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color w:val="auto"/>
              </w:rPr>
            </w:pPr>
            <w:r>
              <w:rPr>
                <w:rFonts w:ascii="Times New Roman" w:hAnsi="Times New Roman"/>
                <w:color w:val="auto"/>
              </w:rPr>
              <w:t>生产地址：</w:t>
            </w:r>
          </w:p>
        </w:tc>
        <w:tc>
          <w:tcPr>
            <w:tcW w:w="2061" w:type="dxa"/>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color w:val="auto"/>
              </w:rPr>
            </w:pPr>
            <w:r>
              <w:rPr>
                <w:rFonts w:ascii="Times New Roman" w:hAnsi="Times New Roman"/>
                <w:color w:val="auto"/>
              </w:rPr>
              <w:t>邮编：</w:t>
            </w:r>
          </w:p>
        </w:tc>
      </w:tr>
      <w:tr>
        <w:tblPrEx>
          <w:tblCellMar>
            <w:top w:w="0" w:type="dxa"/>
            <w:left w:w="108" w:type="dxa"/>
            <w:bottom w:w="0" w:type="dxa"/>
            <w:right w:w="108" w:type="dxa"/>
          </w:tblCellMar>
        </w:tblPrEx>
        <w:trPr>
          <w:trHeight w:val="555" w:hRule="atLeast"/>
          <w:jc w:val="center"/>
        </w:trPr>
        <w:tc>
          <w:tcPr>
            <w:tcW w:w="545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color w:val="auto"/>
              </w:rPr>
            </w:pPr>
            <w:r>
              <w:rPr>
                <w:rFonts w:ascii="Times New Roman" w:hAnsi="Times New Roman"/>
                <w:color w:val="auto"/>
              </w:rPr>
              <w:t>产品名称：</w:t>
            </w:r>
          </w:p>
        </w:tc>
        <w:tc>
          <w:tcPr>
            <w:tcW w:w="315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color w:val="auto"/>
              </w:rPr>
            </w:pPr>
            <w:r>
              <w:rPr>
                <w:rFonts w:ascii="Times New Roman" w:hAnsi="Times New Roman"/>
                <w:color w:val="auto"/>
              </w:rPr>
              <w:t>联系人：</w:t>
            </w:r>
          </w:p>
        </w:tc>
        <w:tc>
          <w:tcPr>
            <w:tcW w:w="283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color w:val="auto"/>
              </w:rPr>
            </w:pPr>
            <w:r>
              <w:rPr>
                <w:rFonts w:ascii="Times New Roman" w:hAnsi="Times New Roman"/>
                <w:color w:val="auto"/>
              </w:rPr>
              <w:t>电话：</w:t>
            </w:r>
          </w:p>
        </w:tc>
        <w:tc>
          <w:tcPr>
            <w:tcW w:w="2770"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color w:val="auto"/>
              </w:rPr>
            </w:pPr>
            <w:r>
              <w:rPr>
                <w:rFonts w:ascii="Times New Roman" w:hAnsi="Times New Roman"/>
                <w:color w:val="auto"/>
              </w:rPr>
              <w:t>传真：</w:t>
            </w:r>
          </w:p>
        </w:tc>
      </w:tr>
      <w:tr>
        <w:tblPrEx>
          <w:tblCellMar>
            <w:top w:w="0" w:type="dxa"/>
            <w:left w:w="108" w:type="dxa"/>
            <w:bottom w:w="0" w:type="dxa"/>
            <w:right w:w="108" w:type="dxa"/>
          </w:tblCellMar>
        </w:tblPrEx>
        <w:trPr>
          <w:trHeight w:val="555" w:hRule="atLeast"/>
          <w:jc w:val="center"/>
        </w:trPr>
        <w:tc>
          <w:tcPr>
            <w:tcW w:w="545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color w:val="auto"/>
              </w:rPr>
            </w:pPr>
            <w:r>
              <w:rPr>
                <w:rFonts w:ascii="Times New Roman" w:hAnsi="Times New Roman"/>
                <w:color w:val="auto"/>
              </w:rPr>
              <w:t>产品单元：</w:t>
            </w:r>
          </w:p>
        </w:tc>
        <w:tc>
          <w:tcPr>
            <w:tcW w:w="8760" w:type="dxa"/>
            <w:gridSpan w:val="6"/>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color w:val="auto"/>
              </w:rPr>
            </w:pPr>
            <w:r>
              <w:rPr>
                <w:rFonts w:ascii="Times New Roman" w:hAnsi="Times New Roman"/>
                <w:color w:val="auto"/>
              </w:rPr>
              <w:t>复肥种类：</w:t>
            </w:r>
          </w:p>
        </w:tc>
      </w:tr>
      <w:tr>
        <w:tblPrEx>
          <w:tblCellMar>
            <w:top w:w="0" w:type="dxa"/>
            <w:left w:w="108" w:type="dxa"/>
            <w:bottom w:w="0" w:type="dxa"/>
            <w:right w:w="108" w:type="dxa"/>
          </w:tblCellMar>
        </w:tblPrEx>
        <w:trPr>
          <w:trHeight w:val="2201" w:hRule="atLeast"/>
          <w:jc w:val="center"/>
        </w:trPr>
        <w:tc>
          <w:tcPr>
            <w:tcW w:w="223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auto"/>
              </w:rPr>
            </w:pPr>
            <w:r>
              <w:rPr>
                <w:rFonts w:ascii="Times New Roman" w:hAnsi="Times New Roman"/>
                <w:color w:val="auto"/>
              </w:rPr>
              <w:t>核查结论</w:t>
            </w:r>
          </w:p>
        </w:tc>
        <w:tc>
          <w:tcPr>
            <w:tcW w:w="11983" w:type="dxa"/>
            <w:gridSpan w:val="8"/>
            <w:tcBorders>
              <w:top w:val="single" w:color="000000" w:sz="4" w:space="0"/>
              <w:left w:val="single" w:color="000000" w:sz="4" w:space="0"/>
              <w:bottom w:val="single" w:color="000000" w:sz="4" w:space="0"/>
              <w:right w:val="single" w:color="000000" w:sz="4" w:space="0"/>
            </w:tcBorders>
            <w:vAlign w:val="center"/>
          </w:tcPr>
          <w:p>
            <w:pPr>
              <w:spacing w:line="360" w:lineRule="auto"/>
              <w:jc w:val="left"/>
              <w:rPr>
                <w:rFonts w:ascii="Times New Roman" w:hAnsi="Times New Roman"/>
                <w:color w:val="auto"/>
              </w:rPr>
            </w:pPr>
            <w:r>
              <w:rPr>
                <w:rFonts w:ascii="Times New Roman" w:hAnsi="Times New Roman"/>
                <w:color w:val="auto"/>
              </w:rPr>
              <w:t>核查组根据《化肥产品生产许可证实施细则（一）（复肥产品部分）》，于</w:t>
            </w:r>
            <w:r>
              <w:rPr>
                <w:rFonts w:ascii="Times New Roman" w:hAnsi="Times New Roman"/>
                <w:color w:val="auto"/>
                <w:kern w:val="2"/>
                <w:szCs w:val="22"/>
                <w:u w:val="single"/>
              </w:rPr>
              <w:t xml:space="preserve">       </w:t>
            </w:r>
            <w:r>
              <w:rPr>
                <w:rFonts w:ascii="Times New Roman" w:hAnsi="Times New Roman"/>
                <w:color w:val="auto"/>
                <w:kern w:val="2"/>
                <w:szCs w:val="22"/>
              </w:rPr>
              <w:t>年</w:t>
            </w:r>
            <w:r>
              <w:rPr>
                <w:rFonts w:ascii="Times New Roman" w:hAnsi="Times New Roman"/>
                <w:color w:val="auto"/>
                <w:kern w:val="2"/>
                <w:szCs w:val="22"/>
                <w:u w:val="single"/>
              </w:rPr>
              <w:t xml:space="preserve">    </w:t>
            </w:r>
            <w:r>
              <w:rPr>
                <w:rFonts w:ascii="Times New Roman" w:hAnsi="Times New Roman"/>
                <w:color w:val="auto"/>
                <w:kern w:val="2"/>
                <w:szCs w:val="22"/>
              </w:rPr>
              <w:t>月</w:t>
            </w:r>
            <w:r>
              <w:rPr>
                <w:rFonts w:ascii="Times New Roman" w:hAnsi="Times New Roman"/>
                <w:color w:val="auto"/>
                <w:kern w:val="2"/>
                <w:szCs w:val="22"/>
                <w:u w:val="single"/>
              </w:rPr>
              <w:t xml:space="preserve">    </w:t>
            </w:r>
            <w:r>
              <w:rPr>
                <w:rFonts w:ascii="Times New Roman" w:hAnsi="Times New Roman"/>
                <w:color w:val="auto"/>
                <w:kern w:val="2"/>
                <w:szCs w:val="22"/>
              </w:rPr>
              <w:t>日</w:t>
            </w:r>
            <w:r>
              <w:rPr>
                <w:rFonts w:ascii="Times New Roman" w:hAnsi="Times New Roman"/>
                <w:color w:val="auto"/>
              </w:rPr>
              <w:t>至</w:t>
            </w:r>
            <w:r>
              <w:rPr>
                <w:rFonts w:ascii="Times New Roman" w:hAnsi="Times New Roman"/>
                <w:color w:val="auto"/>
                <w:kern w:val="2"/>
                <w:szCs w:val="22"/>
                <w:u w:val="single"/>
              </w:rPr>
              <w:t xml:space="preserve">       </w:t>
            </w:r>
            <w:r>
              <w:rPr>
                <w:rFonts w:ascii="Times New Roman" w:hAnsi="Times New Roman"/>
                <w:color w:val="auto"/>
                <w:kern w:val="2"/>
                <w:szCs w:val="22"/>
              </w:rPr>
              <w:t>年</w:t>
            </w:r>
            <w:r>
              <w:rPr>
                <w:rFonts w:ascii="Times New Roman" w:hAnsi="Times New Roman"/>
                <w:color w:val="auto"/>
                <w:kern w:val="2"/>
                <w:szCs w:val="22"/>
                <w:u w:val="single"/>
              </w:rPr>
              <w:t xml:space="preserve">    </w:t>
            </w:r>
            <w:r>
              <w:rPr>
                <w:rFonts w:ascii="Times New Roman" w:hAnsi="Times New Roman"/>
                <w:color w:val="auto"/>
                <w:kern w:val="2"/>
                <w:szCs w:val="22"/>
              </w:rPr>
              <w:t>月</w:t>
            </w:r>
            <w:r>
              <w:rPr>
                <w:rFonts w:ascii="Times New Roman" w:hAnsi="Times New Roman"/>
                <w:color w:val="auto"/>
                <w:kern w:val="2"/>
                <w:szCs w:val="22"/>
                <w:u w:val="single"/>
              </w:rPr>
              <w:t xml:space="preserve">    </w:t>
            </w:r>
            <w:r>
              <w:rPr>
                <w:rFonts w:ascii="Times New Roman" w:hAnsi="Times New Roman"/>
                <w:color w:val="auto"/>
                <w:kern w:val="2"/>
                <w:szCs w:val="22"/>
              </w:rPr>
              <w:t>日</w:t>
            </w:r>
          </w:p>
          <w:p>
            <w:pPr>
              <w:spacing w:line="360" w:lineRule="auto"/>
              <w:jc w:val="left"/>
              <w:rPr>
                <w:rFonts w:ascii="Times New Roman" w:hAnsi="Times New Roman"/>
                <w:color w:val="auto"/>
              </w:rPr>
            </w:pPr>
            <w:r>
              <w:rPr>
                <w:rFonts w:ascii="Times New Roman" w:hAnsi="Times New Roman"/>
                <w:color w:val="auto"/>
              </w:rPr>
              <w:t>对该企业进行了核查，共计核查出：</w:t>
            </w:r>
          </w:p>
          <w:p>
            <w:pPr>
              <w:snapToGrid w:val="0"/>
              <w:spacing w:line="360" w:lineRule="auto"/>
              <w:rPr>
                <w:rFonts w:ascii="Times New Roman" w:hAnsi="Times New Roman"/>
                <w:color w:val="auto"/>
              </w:rPr>
            </w:pPr>
            <w:r>
              <w:rPr>
                <w:rFonts w:ascii="Times New Roman" w:hAnsi="Times New Roman"/>
                <w:color w:val="auto"/>
              </w:rPr>
              <w:t>符合</w:t>
            </w:r>
            <w:r>
              <w:rPr>
                <w:rFonts w:ascii="Times New Roman" w:hAnsi="Times New Roman"/>
                <w:color w:val="auto"/>
                <w:sz w:val="30"/>
                <w:szCs w:val="30"/>
              </w:rPr>
              <w:t>_____</w:t>
            </w:r>
            <w:r>
              <w:rPr>
                <w:rFonts w:ascii="Times New Roman" w:hAnsi="Times New Roman"/>
                <w:color w:val="auto"/>
              </w:rPr>
              <w:t>条、不符合</w:t>
            </w:r>
            <w:r>
              <w:rPr>
                <w:rFonts w:ascii="Times New Roman" w:hAnsi="Times New Roman"/>
                <w:color w:val="auto"/>
                <w:sz w:val="30"/>
                <w:szCs w:val="30"/>
              </w:rPr>
              <w:t>_____</w:t>
            </w:r>
            <w:r>
              <w:rPr>
                <w:rFonts w:ascii="Times New Roman" w:hAnsi="Times New Roman"/>
                <w:color w:val="auto"/>
              </w:rPr>
              <w:t>条、建议改进</w:t>
            </w:r>
            <w:r>
              <w:rPr>
                <w:rFonts w:ascii="Times New Roman" w:hAnsi="Times New Roman"/>
                <w:color w:val="auto"/>
                <w:sz w:val="30"/>
                <w:szCs w:val="30"/>
              </w:rPr>
              <w:t>_____</w:t>
            </w:r>
            <w:r>
              <w:rPr>
                <w:rFonts w:ascii="Times New Roman" w:hAnsi="Times New Roman"/>
                <w:color w:val="auto"/>
              </w:rPr>
              <w:t>条。</w:t>
            </w:r>
          </w:p>
          <w:p>
            <w:pPr>
              <w:snapToGrid w:val="0"/>
              <w:spacing w:line="360" w:lineRule="auto"/>
              <w:rPr>
                <w:rFonts w:ascii="Times New Roman" w:hAnsi="Times New Roman"/>
                <w:color w:val="auto"/>
                <w:u w:val="single"/>
              </w:rPr>
            </w:pPr>
            <w:r>
              <w:rPr>
                <w:rFonts w:ascii="Times New Roman" w:hAnsi="Times New Roman"/>
                <w:color w:val="auto"/>
              </w:rPr>
              <w:t>其他情况说明：</w:t>
            </w:r>
          </w:p>
          <w:p>
            <w:pPr>
              <w:snapToGrid w:val="0"/>
              <w:spacing w:line="360" w:lineRule="auto"/>
              <w:rPr>
                <w:rFonts w:ascii="Times New Roman" w:hAnsi="Times New Roman"/>
                <w:color w:val="auto"/>
              </w:rPr>
            </w:pPr>
            <w:r>
              <w:rPr>
                <w:rFonts w:ascii="Times New Roman" w:hAnsi="Times New Roman"/>
                <w:color w:val="auto"/>
              </w:rPr>
              <w:t>经综合评价，本核查组对该企业的核查结论是：</w:t>
            </w:r>
            <w:r>
              <w:rPr>
                <w:rFonts w:ascii="Times New Roman" w:hAnsi="Times New Roman"/>
                <w:color w:val="auto"/>
                <w:sz w:val="30"/>
                <w:szCs w:val="30"/>
              </w:rPr>
              <w:t>_____</w:t>
            </w:r>
            <w:r>
              <w:rPr>
                <w:rFonts w:ascii="Times New Roman" w:hAnsi="Times New Roman"/>
                <w:color w:val="auto"/>
              </w:rPr>
              <w:t>。（注：核查结论填写合格或不合格。）</w:t>
            </w:r>
          </w:p>
        </w:tc>
      </w:tr>
      <w:tr>
        <w:tblPrEx>
          <w:tblCellMar>
            <w:top w:w="0" w:type="dxa"/>
            <w:left w:w="108" w:type="dxa"/>
            <w:bottom w:w="0" w:type="dxa"/>
            <w:right w:w="108" w:type="dxa"/>
          </w:tblCellMar>
        </w:tblPrEx>
        <w:trPr>
          <w:trHeight w:val="520" w:hRule="atLeast"/>
          <w:jc w:val="center"/>
        </w:trPr>
        <w:tc>
          <w:tcPr>
            <w:tcW w:w="2235" w:type="dxa"/>
            <w:vMerge w:val="restart"/>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auto"/>
              </w:rPr>
            </w:pPr>
            <w:r>
              <w:rPr>
                <w:rFonts w:ascii="Times New Roman" w:hAnsi="Times New Roman"/>
                <w:color w:val="auto"/>
              </w:rPr>
              <w:t>核查组成员</w:t>
            </w: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r>
              <w:rPr>
                <w:rFonts w:ascii="Times New Roman" w:hAnsi="Times New Roman"/>
                <w:color w:val="auto"/>
              </w:rPr>
              <w:t>姓名（签字）</w:t>
            </w: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r>
              <w:rPr>
                <w:rFonts w:ascii="Times New Roman" w:hAnsi="Times New Roman"/>
                <w:color w:val="auto"/>
              </w:rPr>
              <w:t>单位</w:t>
            </w: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r>
              <w:rPr>
                <w:rFonts w:ascii="Times New Roman" w:hAnsi="Times New Roman"/>
                <w:color w:val="auto"/>
              </w:rPr>
              <w:t>职务</w:t>
            </w:r>
          </w:p>
          <w:p>
            <w:pPr>
              <w:snapToGrid w:val="0"/>
              <w:jc w:val="center"/>
              <w:rPr>
                <w:rFonts w:ascii="Times New Roman" w:hAnsi="Times New Roman"/>
                <w:color w:val="auto"/>
              </w:rPr>
            </w:pPr>
            <w:r>
              <w:rPr>
                <w:rFonts w:ascii="Times New Roman" w:hAnsi="Times New Roman"/>
                <w:color w:val="auto"/>
              </w:rPr>
              <w:t>（组长、组员）</w:t>
            </w: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auto"/>
              </w:rPr>
            </w:pPr>
            <w:r>
              <w:rPr>
                <w:rFonts w:ascii="Times New Roman" w:hAnsi="Times New Roman"/>
                <w:color w:val="auto"/>
              </w:rPr>
              <w:t>核查分工（条款）</w:t>
            </w:r>
          </w:p>
        </w:tc>
      </w:tr>
      <w:tr>
        <w:tblPrEx>
          <w:tblCellMar>
            <w:top w:w="0" w:type="dxa"/>
            <w:left w:w="108" w:type="dxa"/>
            <w:bottom w:w="0" w:type="dxa"/>
            <w:right w:w="108" w:type="dxa"/>
          </w:tblCellMar>
        </w:tblPrEx>
        <w:trPr>
          <w:trHeight w:val="414" w:hRule="atLeast"/>
          <w:jc w:val="center"/>
        </w:trPr>
        <w:tc>
          <w:tcPr>
            <w:tcW w:w="2235" w:type="dxa"/>
            <w:vMerge w:val="continue"/>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color w:val="auto"/>
              </w:rPr>
            </w:pP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auto"/>
              </w:rPr>
            </w:pP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auto"/>
              </w:rPr>
            </w:pP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auto"/>
              </w:rPr>
            </w:pP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auto"/>
              </w:rPr>
            </w:pPr>
          </w:p>
        </w:tc>
      </w:tr>
      <w:tr>
        <w:tblPrEx>
          <w:tblCellMar>
            <w:top w:w="0" w:type="dxa"/>
            <w:left w:w="108" w:type="dxa"/>
            <w:bottom w:w="0" w:type="dxa"/>
            <w:right w:w="108" w:type="dxa"/>
          </w:tblCellMar>
        </w:tblPrEx>
        <w:trPr>
          <w:trHeight w:val="293" w:hRule="atLeast"/>
          <w:jc w:val="center"/>
        </w:trPr>
        <w:tc>
          <w:tcPr>
            <w:tcW w:w="2235" w:type="dxa"/>
            <w:vMerge w:val="continue"/>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color w:val="auto"/>
              </w:rPr>
            </w:pP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auto"/>
              </w:rPr>
            </w:pP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auto"/>
              </w:rPr>
            </w:pP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auto"/>
              </w:rPr>
            </w:pP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auto"/>
              </w:rPr>
            </w:pPr>
          </w:p>
        </w:tc>
      </w:tr>
      <w:tr>
        <w:tblPrEx>
          <w:tblCellMar>
            <w:top w:w="0" w:type="dxa"/>
            <w:left w:w="108" w:type="dxa"/>
            <w:bottom w:w="0" w:type="dxa"/>
            <w:right w:w="108" w:type="dxa"/>
          </w:tblCellMar>
        </w:tblPrEx>
        <w:trPr>
          <w:trHeight w:val="233" w:hRule="atLeast"/>
          <w:jc w:val="center"/>
        </w:trPr>
        <w:tc>
          <w:tcPr>
            <w:tcW w:w="2235" w:type="dxa"/>
            <w:vMerge w:val="continue"/>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color w:val="auto"/>
              </w:rPr>
            </w:pP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auto"/>
              </w:rPr>
            </w:pP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auto"/>
              </w:rPr>
            </w:pP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auto"/>
              </w:rPr>
            </w:pP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auto"/>
              </w:rPr>
            </w:pPr>
          </w:p>
        </w:tc>
      </w:tr>
      <w:tr>
        <w:tblPrEx>
          <w:tblCellMar>
            <w:top w:w="0" w:type="dxa"/>
            <w:left w:w="108" w:type="dxa"/>
            <w:bottom w:w="0" w:type="dxa"/>
            <w:right w:w="108" w:type="dxa"/>
          </w:tblCellMar>
        </w:tblPrEx>
        <w:trPr>
          <w:trHeight w:val="520" w:hRule="atLeast"/>
          <w:jc w:val="center"/>
        </w:trPr>
        <w:tc>
          <w:tcPr>
            <w:tcW w:w="223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auto"/>
              </w:rPr>
            </w:pPr>
            <w:r>
              <w:rPr>
                <w:rFonts w:ascii="Times New Roman" w:hAnsi="Times New Roman"/>
                <w:color w:val="auto"/>
              </w:rPr>
              <w:t>企业负责人签字</w:t>
            </w:r>
          </w:p>
        </w:tc>
        <w:tc>
          <w:tcPr>
            <w:tcW w:w="11983" w:type="dxa"/>
            <w:gridSpan w:val="8"/>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right"/>
              <w:rPr>
                <w:rFonts w:ascii="Times New Roman" w:hAnsi="Times New Roman"/>
                <w:color w:val="auto"/>
              </w:rPr>
            </w:pPr>
            <w:r>
              <w:rPr>
                <w:rFonts w:ascii="Times New Roman" w:hAnsi="Times New Roman"/>
                <w:color w:val="auto"/>
              </w:rPr>
              <w:t>年  月  日</w:t>
            </w:r>
          </w:p>
        </w:tc>
      </w:tr>
    </w:tbl>
    <w:p>
      <w:pPr>
        <w:pStyle w:val="56"/>
        <w:tabs>
          <w:tab w:val="left" w:pos="1418"/>
        </w:tabs>
        <w:spacing w:before="240" w:beforeLines="100"/>
        <w:ind w:firstLine="0"/>
        <w:rPr>
          <w:rFonts w:ascii="Times New Roman" w:hAnsi="Times New Roman" w:eastAsia="宋体"/>
          <w:color w:val="auto"/>
          <w:sz w:val="21"/>
          <w:szCs w:val="21"/>
        </w:rPr>
      </w:pPr>
      <w:r>
        <w:rPr>
          <w:rFonts w:ascii="Times New Roman" w:hAnsi="Times New Roman" w:eastAsia="宋体"/>
          <w:color w:val="auto"/>
          <w:sz w:val="21"/>
          <w:szCs w:val="21"/>
        </w:rPr>
        <w:t>观察员（签字，如有）：                              年    月   日                   核查组织单位（章）：      年      月      日</w:t>
      </w:r>
    </w:p>
    <w:p>
      <w:pPr>
        <w:rPr>
          <w:rFonts w:ascii="Times New Roman" w:hAnsi="Times New Roman"/>
          <w:color w:val="auto"/>
          <w:sz w:val="18"/>
          <w:szCs w:val="18"/>
        </w:rPr>
      </w:pPr>
      <w:r>
        <w:rPr>
          <w:rFonts w:ascii="Times New Roman" w:hAnsi="Times New Roman"/>
          <w:color w:val="auto"/>
          <w:sz w:val="18"/>
          <w:szCs w:val="18"/>
        </w:rPr>
        <w:t>注：企业存在不符合法律法规等有关规定，且不能体现在实地核查记录中的情况，应在“其他情况说明”中填写相关情况。如：企业存在因非不可抗力原因拖延或拒绝核查的情况等。</w:t>
      </w:r>
    </w:p>
    <w:p>
      <w:pPr>
        <w:adjustRightInd w:val="0"/>
        <w:snapToGrid w:val="0"/>
        <w:rPr>
          <w:rFonts w:ascii="Times New Roman" w:hAnsi="Times New Roman"/>
          <w:color w:val="auto"/>
        </w:rPr>
      </w:pPr>
    </w:p>
    <w:p>
      <w:pPr>
        <w:jc w:val="left"/>
        <w:rPr>
          <w:rFonts w:ascii="Times New Roman" w:hAnsi="Times New Roman"/>
          <w:color w:val="auto"/>
        </w:rPr>
        <w:sectPr>
          <w:headerReference r:id="rId11" w:type="default"/>
          <w:pgSz w:w="16838" w:h="11906" w:orient="landscape"/>
          <w:pgMar w:top="1418" w:right="1418" w:bottom="1418" w:left="1418" w:header="851" w:footer="992" w:gutter="0"/>
          <w:cols w:space="720" w:num="1"/>
          <w:docGrid w:linePitch="312" w:charSpace="0"/>
        </w:sectPr>
      </w:pPr>
    </w:p>
    <w:p>
      <w:pPr>
        <w:keepNext/>
        <w:keepLines/>
        <w:snapToGrid w:val="0"/>
        <w:spacing w:line="440" w:lineRule="exact"/>
        <w:ind w:left="2400" w:hanging="2399"/>
        <w:outlineLvl w:val="0"/>
        <w:rPr>
          <w:rFonts w:ascii="Times New Roman" w:hAnsi="Times New Roman"/>
          <w:b/>
          <w:color w:val="auto"/>
          <w:sz w:val="30"/>
        </w:rPr>
      </w:pPr>
      <w:r>
        <w:rPr>
          <w:rFonts w:ascii="Times New Roman" w:hAnsi="Times New Roman"/>
          <w:color w:val="auto"/>
          <w:sz w:val="28"/>
        </w:rPr>
        <w:t>附件6</w:t>
      </w:r>
    </w:p>
    <w:p>
      <w:pPr>
        <w:pStyle w:val="3"/>
        <w:jc w:val="center"/>
        <w:rPr>
          <w:rFonts w:ascii="Times New Roman" w:hAnsi="Times New Roman"/>
          <w:color w:val="auto"/>
          <w:sz w:val="28"/>
        </w:rPr>
      </w:pPr>
      <w:bookmarkStart w:id="73" w:name="_Toc178002852"/>
      <w:bookmarkStart w:id="74" w:name="_Hlk174367967"/>
      <w:r>
        <w:rPr>
          <w:rFonts w:ascii="Times New Roman" w:hAnsi="Times New Roman"/>
          <w:b/>
          <w:color w:val="auto"/>
          <w:sz w:val="28"/>
        </w:rPr>
        <w:t>本细则与上一版细则主要变化内容对比</w:t>
      </w:r>
      <w:bookmarkEnd w:id="73"/>
    </w:p>
    <w:p>
      <w:pPr>
        <w:snapToGrid w:val="0"/>
        <w:jc w:val="center"/>
        <w:rPr>
          <w:rFonts w:ascii="Times New Roman" w:hAnsi="Times New Roman"/>
          <w:b/>
          <w:color w:val="auto"/>
          <w:sz w:val="28"/>
        </w:rPr>
      </w:pPr>
    </w:p>
    <w:p>
      <w:pPr>
        <w:snapToGrid w:val="0"/>
        <w:jc w:val="center"/>
        <w:rPr>
          <w:rFonts w:ascii="Times New Roman" w:hAnsi="Times New Roman" w:eastAsiaTheme="minorEastAsia"/>
          <w:b/>
          <w:color w:val="auto"/>
        </w:rPr>
      </w:pPr>
      <w:r>
        <w:rPr>
          <w:rFonts w:hint="eastAsia" w:ascii="Times New Roman" w:hAnsi="Times New Roman" w:eastAsiaTheme="minorEastAsia"/>
          <w:b/>
          <w:color w:val="auto"/>
        </w:rPr>
        <w:t>表</w:t>
      </w:r>
      <w:r>
        <w:rPr>
          <w:rFonts w:ascii="Times New Roman" w:hAnsi="Times New Roman" w:eastAsiaTheme="minorEastAsia"/>
          <w:b/>
          <w:color w:val="auto"/>
        </w:rPr>
        <w:t xml:space="preserve">1 </w:t>
      </w:r>
      <w:r>
        <w:rPr>
          <w:rFonts w:hint="eastAsia" w:ascii="Times New Roman" w:hAnsi="Times New Roman" w:eastAsiaTheme="minorEastAsia"/>
          <w:b/>
          <w:color w:val="auto"/>
        </w:rPr>
        <w:t>产品单元、复肥种类变化对比表</w:t>
      </w:r>
    </w:p>
    <w:tbl>
      <w:tblPr>
        <w:tblStyle w:val="37"/>
        <w:tblW w:w="0" w:type="auto"/>
        <w:jc w:val="center"/>
        <w:tblLayout w:type="fixed"/>
        <w:tblCellMar>
          <w:top w:w="0" w:type="dxa"/>
          <w:left w:w="108" w:type="dxa"/>
          <w:bottom w:w="0" w:type="dxa"/>
          <w:right w:w="108" w:type="dxa"/>
        </w:tblCellMar>
      </w:tblPr>
      <w:tblGrid>
        <w:gridCol w:w="684"/>
        <w:gridCol w:w="2005"/>
        <w:gridCol w:w="1701"/>
        <w:gridCol w:w="1950"/>
        <w:gridCol w:w="1095"/>
        <w:gridCol w:w="1597"/>
      </w:tblGrid>
      <w:tr>
        <w:tblPrEx>
          <w:tblCellMar>
            <w:top w:w="0" w:type="dxa"/>
            <w:left w:w="108" w:type="dxa"/>
            <w:bottom w:w="0" w:type="dxa"/>
            <w:right w:w="108" w:type="dxa"/>
          </w:tblCellMar>
        </w:tblPrEx>
        <w:trPr>
          <w:trHeight w:val="447" w:hRule="atLeast"/>
          <w:jc w:val="center"/>
        </w:trPr>
        <w:tc>
          <w:tcPr>
            <w:tcW w:w="684"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bCs/>
                <w:color w:val="auto"/>
              </w:rPr>
            </w:pPr>
            <w:r>
              <w:rPr>
                <w:rFonts w:ascii="Times New Roman" w:hAnsi="Times New Roman"/>
                <w:b/>
                <w:bCs/>
                <w:color w:val="auto"/>
              </w:rPr>
              <w:t>序号</w:t>
            </w:r>
          </w:p>
        </w:tc>
        <w:tc>
          <w:tcPr>
            <w:tcW w:w="3706"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bCs/>
                <w:color w:val="auto"/>
              </w:rPr>
            </w:pPr>
            <w:r>
              <w:rPr>
                <w:rFonts w:ascii="Times New Roman" w:hAnsi="Times New Roman"/>
                <w:b/>
                <w:bCs/>
                <w:color w:val="auto"/>
              </w:rPr>
              <w:t>本细则</w:t>
            </w:r>
          </w:p>
        </w:tc>
        <w:tc>
          <w:tcPr>
            <w:tcW w:w="3045"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bCs/>
                <w:color w:val="auto"/>
              </w:rPr>
            </w:pPr>
            <w:r>
              <w:rPr>
                <w:rFonts w:ascii="Times New Roman" w:hAnsi="Times New Roman"/>
                <w:b/>
                <w:color w:val="auto"/>
              </w:rPr>
              <w:t>上一版细则</w:t>
            </w:r>
          </w:p>
        </w:tc>
        <w:tc>
          <w:tcPr>
            <w:tcW w:w="1597"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bCs/>
                <w:color w:val="auto"/>
              </w:rPr>
            </w:pPr>
            <w:r>
              <w:rPr>
                <w:rFonts w:ascii="Times New Roman" w:hAnsi="Times New Roman"/>
                <w:b/>
                <w:bCs/>
                <w:color w:val="auto"/>
              </w:rPr>
              <w:t>说明</w:t>
            </w:r>
          </w:p>
        </w:tc>
      </w:tr>
      <w:tr>
        <w:tblPrEx>
          <w:tblCellMar>
            <w:top w:w="0" w:type="dxa"/>
            <w:left w:w="108" w:type="dxa"/>
            <w:bottom w:w="0" w:type="dxa"/>
            <w:right w:w="108" w:type="dxa"/>
          </w:tblCellMar>
        </w:tblPrEx>
        <w:trPr>
          <w:trHeight w:val="447" w:hRule="atLeast"/>
          <w:jc w:val="center"/>
        </w:trPr>
        <w:tc>
          <w:tcPr>
            <w:tcW w:w="684"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auto"/>
              </w:rPr>
            </w:pPr>
          </w:p>
        </w:tc>
        <w:tc>
          <w:tcPr>
            <w:tcW w:w="2005"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bCs/>
                <w:color w:val="auto"/>
              </w:rPr>
            </w:pPr>
            <w:r>
              <w:rPr>
                <w:rFonts w:ascii="Times New Roman" w:hAnsi="Times New Roman"/>
                <w:b/>
                <w:bCs/>
                <w:color w:val="auto"/>
              </w:rPr>
              <w:t>产品单元</w:t>
            </w: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bCs/>
                <w:color w:val="auto"/>
              </w:rPr>
            </w:pPr>
            <w:r>
              <w:rPr>
                <w:rFonts w:ascii="Times New Roman" w:hAnsi="Times New Roman"/>
                <w:b/>
                <w:bCs/>
                <w:color w:val="auto"/>
              </w:rPr>
              <w:t>复肥种类</w:t>
            </w:r>
          </w:p>
        </w:tc>
        <w:tc>
          <w:tcPr>
            <w:tcW w:w="19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bCs/>
                <w:color w:val="auto"/>
              </w:rPr>
            </w:pPr>
            <w:r>
              <w:rPr>
                <w:rFonts w:ascii="Times New Roman" w:hAnsi="Times New Roman"/>
                <w:b/>
                <w:bCs/>
                <w:color w:val="auto"/>
              </w:rPr>
              <w:t>产品单元</w:t>
            </w:r>
          </w:p>
        </w:tc>
        <w:tc>
          <w:tcPr>
            <w:tcW w:w="10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bCs/>
                <w:color w:val="auto"/>
              </w:rPr>
            </w:pPr>
            <w:r>
              <w:rPr>
                <w:rFonts w:ascii="Times New Roman" w:hAnsi="Times New Roman"/>
                <w:b/>
                <w:bCs/>
                <w:color w:val="auto"/>
              </w:rPr>
              <w:t>复肥种类</w:t>
            </w:r>
          </w:p>
        </w:tc>
        <w:tc>
          <w:tcPr>
            <w:tcW w:w="1597"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auto"/>
              </w:rPr>
            </w:pPr>
          </w:p>
        </w:tc>
      </w:tr>
      <w:tr>
        <w:tblPrEx>
          <w:tblCellMar>
            <w:top w:w="0" w:type="dxa"/>
            <w:left w:w="108" w:type="dxa"/>
            <w:bottom w:w="0" w:type="dxa"/>
            <w:right w:w="108" w:type="dxa"/>
          </w:tblCellMar>
        </w:tblPrEx>
        <w:trPr>
          <w:trHeight w:val="479" w:hRule="atLeast"/>
          <w:jc w:val="center"/>
        </w:trPr>
        <w:tc>
          <w:tcPr>
            <w:tcW w:w="684"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color w:val="auto"/>
              </w:rPr>
              <w:t>1</w:t>
            </w:r>
          </w:p>
        </w:tc>
        <w:tc>
          <w:tcPr>
            <w:tcW w:w="200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bCs/>
                <w:color w:val="auto"/>
              </w:rPr>
              <w:t>复合肥料</w:t>
            </w:r>
          </w:p>
        </w:tc>
        <w:tc>
          <w:tcPr>
            <w:tcW w:w="1701"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color w:val="auto"/>
              </w:rPr>
              <w:t>如复合肥料、硝基复合肥料、腐植酸复合肥料等</w:t>
            </w:r>
          </w:p>
        </w:tc>
        <w:tc>
          <w:tcPr>
            <w:tcW w:w="195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bCs/>
                <w:color w:val="auto"/>
              </w:rPr>
              <w:t>复合肥料</w:t>
            </w:r>
          </w:p>
        </w:tc>
        <w:tc>
          <w:tcPr>
            <w:tcW w:w="10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color w:val="auto"/>
              </w:rPr>
              <w:t>——</w:t>
            </w:r>
          </w:p>
        </w:tc>
        <w:tc>
          <w:tcPr>
            <w:tcW w:w="15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color w:val="auto"/>
              </w:rPr>
              <w:t>增加复肥种类</w:t>
            </w:r>
          </w:p>
        </w:tc>
      </w:tr>
      <w:tr>
        <w:tblPrEx>
          <w:tblCellMar>
            <w:top w:w="0" w:type="dxa"/>
            <w:left w:w="108" w:type="dxa"/>
            <w:bottom w:w="0" w:type="dxa"/>
            <w:right w:w="108" w:type="dxa"/>
          </w:tblCellMar>
        </w:tblPrEx>
        <w:trPr>
          <w:trHeight w:val="479" w:hRule="atLeast"/>
          <w:jc w:val="center"/>
        </w:trPr>
        <w:tc>
          <w:tcPr>
            <w:tcW w:w="684"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color w:val="auto"/>
              </w:rPr>
              <w:t>2</w:t>
            </w:r>
          </w:p>
        </w:tc>
        <w:tc>
          <w:tcPr>
            <w:tcW w:w="200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bCs/>
                <w:color w:val="auto"/>
              </w:rPr>
              <w:t>掺混肥料</w:t>
            </w:r>
          </w:p>
        </w:tc>
        <w:tc>
          <w:tcPr>
            <w:tcW w:w="1701"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color w:val="auto"/>
              </w:rPr>
              <w:t>如：</w:t>
            </w:r>
            <w:r>
              <w:rPr>
                <w:rFonts w:ascii="Times New Roman" w:hAnsi="Times New Roman"/>
                <w:bCs/>
                <w:color w:val="auto"/>
              </w:rPr>
              <w:t>掺混肥料、缓释掺混肥料、控释掺混肥料、硫包衣缓释掺混肥料等</w:t>
            </w:r>
          </w:p>
        </w:tc>
        <w:tc>
          <w:tcPr>
            <w:tcW w:w="195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bCs/>
                <w:color w:val="auto"/>
              </w:rPr>
              <w:t>掺混肥料</w:t>
            </w:r>
          </w:p>
        </w:tc>
        <w:tc>
          <w:tcPr>
            <w:tcW w:w="10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color w:val="auto"/>
              </w:rPr>
              <w:t>——</w:t>
            </w:r>
          </w:p>
        </w:tc>
        <w:tc>
          <w:tcPr>
            <w:tcW w:w="15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color w:val="auto"/>
              </w:rPr>
              <w:t>增加复肥种类</w:t>
            </w:r>
          </w:p>
        </w:tc>
      </w:tr>
      <w:tr>
        <w:tblPrEx>
          <w:tblCellMar>
            <w:top w:w="0" w:type="dxa"/>
            <w:left w:w="108" w:type="dxa"/>
            <w:bottom w:w="0" w:type="dxa"/>
            <w:right w:w="108" w:type="dxa"/>
          </w:tblCellMar>
        </w:tblPrEx>
        <w:trPr>
          <w:trHeight w:val="542" w:hRule="atLeast"/>
          <w:jc w:val="center"/>
        </w:trPr>
        <w:tc>
          <w:tcPr>
            <w:tcW w:w="684"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color w:val="auto"/>
              </w:rPr>
              <w:t>3</w:t>
            </w:r>
          </w:p>
        </w:tc>
        <w:tc>
          <w:tcPr>
            <w:tcW w:w="200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bCs/>
                <w:color w:val="auto"/>
              </w:rPr>
              <w:t>有机无机复混肥料</w:t>
            </w:r>
          </w:p>
        </w:tc>
        <w:tc>
          <w:tcPr>
            <w:tcW w:w="1701"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color w:val="auto"/>
              </w:rPr>
              <w:t>如</w:t>
            </w:r>
            <w:r>
              <w:rPr>
                <w:rFonts w:ascii="Times New Roman" w:hAnsi="Times New Roman"/>
                <w:bCs/>
                <w:color w:val="auto"/>
              </w:rPr>
              <w:t>有机无机复混肥料、</w:t>
            </w:r>
            <w:r>
              <w:rPr>
                <w:rFonts w:ascii="Times New Roman" w:hAnsi="Times New Roman"/>
                <w:color w:val="auto"/>
              </w:rPr>
              <w:t>腐植酸有机无机复混肥</w:t>
            </w:r>
            <w:r>
              <w:rPr>
                <w:rFonts w:ascii="Times New Roman" w:hAnsi="Times New Roman"/>
                <w:bCs/>
                <w:color w:val="auto"/>
              </w:rPr>
              <w:t>等</w:t>
            </w:r>
          </w:p>
        </w:tc>
        <w:tc>
          <w:tcPr>
            <w:tcW w:w="195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bCs/>
                <w:color w:val="auto"/>
              </w:rPr>
              <w:t>有机无机复混肥料</w:t>
            </w:r>
          </w:p>
        </w:tc>
        <w:tc>
          <w:tcPr>
            <w:tcW w:w="10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color w:val="auto"/>
              </w:rPr>
              <w:t>——</w:t>
            </w:r>
          </w:p>
        </w:tc>
        <w:tc>
          <w:tcPr>
            <w:tcW w:w="15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color w:val="auto"/>
              </w:rPr>
              <w:t>增加复肥种类</w:t>
            </w:r>
          </w:p>
        </w:tc>
      </w:tr>
      <w:tr>
        <w:tblPrEx>
          <w:tblCellMar>
            <w:top w:w="0" w:type="dxa"/>
            <w:left w:w="108" w:type="dxa"/>
            <w:bottom w:w="0" w:type="dxa"/>
            <w:right w:w="108" w:type="dxa"/>
          </w:tblCellMar>
        </w:tblPrEx>
        <w:trPr>
          <w:trHeight w:val="542" w:hRule="atLeast"/>
          <w:jc w:val="center"/>
        </w:trPr>
        <w:tc>
          <w:tcPr>
            <w:tcW w:w="684" w:type="dxa"/>
            <w:tcBorders>
              <w:top w:val="single" w:color="000000" w:sz="4" w:space="0"/>
              <w:left w:val="single" w:color="000000" w:sz="4" w:space="0"/>
              <w:bottom w:val="single" w:color="auto" w:sz="4" w:space="0"/>
              <w:right w:val="single" w:color="auto"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color w:val="auto"/>
              </w:rPr>
              <w:t>4</w:t>
            </w:r>
          </w:p>
        </w:tc>
        <w:tc>
          <w:tcPr>
            <w:tcW w:w="200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bCs/>
                <w:color w:val="auto"/>
              </w:rPr>
              <w:t>有机无机掺混肥料</w:t>
            </w:r>
          </w:p>
        </w:tc>
        <w:tc>
          <w:tcPr>
            <w:tcW w:w="1701" w:type="dxa"/>
            <w:tcBorders>
              <w:top w:val="single" w:color="000000" w:sz="4" w:space="0"/>
              <w:left w:val="single" w:color="auto" w:sz="4" w:space="0"/>
              <w:bottom w:val="single" w:color="auto"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color w:val="auto"/>
              </w:rPr>
              <w:t>如</w:t>
            </w:r>
            <w:r>
              <w:rPr>
                <w:rFonts w:ascii="Times New Roman" w:hAnsi="Times New Roman"/>
                <w:bCs/>
                <w:color w:val="auto"/>
              </w:rPr>
              <w:t>有机无机掺混肥料等</w:t>
            </w:r>
          </w:p>
        </w:tc>
        <w:tc>
          <w:tcPr>
            <w:tcW w:w="1950"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color w:val="auto"/>
              </w:rPr>
              <w:t>——</w:t>
            </w:r>
          </w:p>
        </w:tc>
        <w:tc>
          <w:tcPr>
            <w:tcW w:w="1095"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color w:val="auto"/>
              </w:rPr>
              <w:t>——</w:t>
            </w:r>
          </w:p>
        </w:tc>
        <w:tc>
          <w:tcPr>
            <w:tcW w:w="1597"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color w:val="auto"/>
              </w:rPr>
              <w:t>增加产品单元和复肥种类</w:t>
            </w:r>
          </w:p>
        </w:tc>
      </w:tr>
    </w:tbl>
    <w:p>
      <w:pPr>
        <w:keepNext/>
        <w:keepLines/>
        <w:snapToGrid w:val="0"/>
        <w:rPr>
          <w:rFonts w:ascii="Times New Roman" w:hAnsi="Times New Roman"/>
          <w:color w:val="auto"/>
          <w:sz w:val="18"/>
          <w:szCs w:val="18"/>
        </w:rPr>
      </w:pPr>
    </w:p>
    <w:p>
      <w:pPr>
        <w:snapToGrid w:val="0"/>
        <w:rPr>
          <w:rFonts w:ascii="Times New Roman" w:hAnsi="Times New Roman"/>
          <w:color w:val="auto"/>
        </w:rPr>
      </w:pPr>
    </w:p>
    <w:p>
      <w:pPr>
        <w:snapToGrid w:val="0"/>
        <w:jc w:val="center"/>
        <w:rPr>
          <w:rFonts w:ascii="Times New Roman" w:hAnsi="Times New Roman"/>
          <w:b/>
          <w:color w:val="auto"/>
          <w:sz w:val="28"/>
        </w:rPr>
      </w:pPr>
    </w:p>
    <w:p>
      <w:pPr>
        <w:snapToGrid w:val="0"/>
        <w:jc w:val="center"/>
        <w:rPr>
          <w:rFonts w:ascii="Times New Roman" w:hAnsi="Times New Roman" w:eastAsiaTheme="minorEastAsia"/>
          <w:b/>
          <w:color w:val="auto"/>
        </w:rPr>
      </w:pPr>
      <w:r>
        <w:rPr>
          <w:rFonts w:hint="eastAsia" w:ascii="Times New Roman" w:hAnsi="Times New Roman" w:eastAsiaTheme="minorEastAsia"/>
          <w:b/>
          <w:color w:val="auto"/>
        </w:rPr>
        <w:t>表</w:t>
      </w:r>
      <w:r>
        <w:rPr>
          <w:rFonts w:ascii="Times New Roman" w:hAnsi="Times New Roman" w:eastAsiaTheme="minorEastAsia"/>
          <w:b/>
          <w:color w:val="auto"/>
        </w:rPr>
        <w:t xml:space="preserve">2 </w:t>
      </w:r>
      <w:r>
        <w:rPr>
          <w:rFonts w:hint="eastAsia" w:ascii="Times New Roman" w:hAnsi="Times New Roman" w:eastAsiaTheme="minorEastAsia"/>
          <w:b/>
          <w:color w:val="auto"/>
        </w:rPr>
        <w:t>产品标准变化对比表</w:t>
      </w:r>
    </w:p>
    <w:tbl>
      <w:tblPr>
        <w:tblStyle w:val="37"/>
        <w:tblW w:w="9067" w:type="dxa"/>
        <w:jc w:val="center"/>
        <w:tblLayout w:type="fixed"/>
        <w:tblCellMar>
          <w:top w:w="0" w:type="dxa"/>
          <w:left w:w="108" w:type="dxa"/>
          <w:bottom w:w="0" w:type="dxa"/>
          <w:right w:w="108" w:type="dxa"/>
        </w:tblCellMar>
      </w:tblPr>
      <w:tblGrid>
        <w:gridCol w:w="745"/>
        <w:gridCol w:w="2511"/>
        <w:gridCol w:w="2409"/>
        <w:gridCol w:w="2399"/>
        <w:gridCol w:w="1003"/>
      </w:tblGrid>
      <w:tr>
        <w:tblPrEx>
          <w:tblCellMar>
            <w:top w:w="0" w:type="dxa"/>
            <w:left w:w="108" w:type="dxa"/>
            <w:bottom w:w="0" w:type="dxa"/>
            <w:right w:w="108" w:type="dxa"/>
          </w:tblCellMar>
        </w:tblPrEx>
        <w:trPr>
          <w:trHeight w:val="474" w:hRule="atLeast"/>
          <w:jc w:val="center"/>
        </w:trPr>
        <w:tc>
          <w:tcPr>
            <w:tcW w:w="7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color w:val="auto"/>
              </w:rPr>
            </w:pPr>
            <w:r>
              <w:rPr>
                <w:rFonts w:ascii="Times New Roman" w:hAnsi="Times New Roman"/>
                <w:b/>
                <w:color w:val="auto"/>
              </w:rPr>
              <w:t>序号</w:t>
            </w:r>
          </w:p>
        </w:tc>
        <w:tc>
          <w:tcPr>
            <w:tcW w:w="251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color w:val="auto"/>
              </w:rPr>
            </w:pPr>
            <w:r>
              <w:rPr>
                <w:rFonts w:ascii="Times New Roman" w:hAnsi="Times New Roman"/>
                <w:b/>
                <w:color w:val="auto"/>
              </w:rPr>
              <w:t>产品单元（</w:t>
            </w:r>
            <w:r>
              <w:rPr>
                <w:rFonts w:ascii="Times New Roman" w:hAnsi="Times New Roman"/>
                <w:b/>
                <w:bCs/>
                <w:color w:val="auto"/>
              </w:rPr>
              <w:t>本细则</w:t>
            </w:r>
            <w:r>
              <w:rPr>
                <w:rFonts w:ascii="Times New Roman" w:hAnsi="Times New Roman"/>
                <w:b/>
                <w:color w:val="auto"/>
              </w:rPr>
              <w:t>）</w:t>
            </w:r>
          </w:p>
        </w:tc>
        <w:tc>
          <w:tcPr>
            <w:tcW w:w="240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color w:val="auto"/>
              </w:rPr>
            </w:pPr>
            <w:r>
              <w:rPr>
                <w:rFonts w:ascii="Times New Roman" w:hAnsi="Times New Roman"/>
                <w:b/>
                <w:color w:val="auto"/>
              </w:rPr>
              <w:t>产品标准（</w:t>
            </w:r>
            <w:r>
              <w:rPr>
                <w:rFonts w:ascii="Times New Roman" w:hAnsi="Times New Roman"/>
                <w:b/>
                <w:bCs/>
                <w:color w:val="auto"/>
              </w:rPr>
              <w:t>本细则</w:t>
            </w:r>
            <w:r>
              <w:rPr>
                <w:rFonts w:ascii="Times New Roman" w:hAnsi="Times New Roman"/>
                <w:b/>
                <w:color w:val="auto"/>
              </w:rPr>
              <w:t>）</w:t>
            </w:r>
          </w:p>
        </w:tc>
        <w:tc>
          <w:tcPr>
            <w:tcW w:w="23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color w:val="auto"/>
              </w:rPr>
            </w:pPr>
            <w:r>
              <w:rPr>
                <w:rFonts w:ascii="Times New Roman" w:hAnsi="Times New Roman"/>
                <w:b/>
                <w:color w:val="auto"/>
              </w:rPr>
              <w:t>产品标准（上一版细则）</w:t>
            </w:r>
          </w:p>
        </w:tc>
        <w:tc>
          <w:tcPr>
            <w:tcW w:w="10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color w:val="auto"/>
              </w:rPr>
            </w:pPr>
            <w:r>
              <w:rPr>
                <w:rFonts w:ascii="Times New Roman" w:hAnsi="Times New Roman"/>
                <w:b/>
                <w:color w:val="auto"/>
              </w:rPr>
              <w:t>说明</w:t>
            </w:r>
          </w:p>
        </w:tc>
      </w:tr>
      <w:tr>
        <w:tblPrEx>
          <w:tblCellMar>
            <w:top w:w="0" w:type="dxa"/>
            <w:left w:w="108" w:type="dxa"/>
            <w:bottom w:w="0" w:type="dxa"/>
            <w:right w:w="108" w:type="dxa"/>
          </w:tblCellMar>
        </w:tblPrEx>
        <w:trPr>
          <w:trHeight w:val="836" w:hRule="atLeast"/>
          <w:jc w:val="center"/>
        </w:trPr>
        <w:tc>
          <w:tcPr>
            <w:tcW w:w="7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bCs/>
                <w:color w:val="auto"/>
              </w:rPr>
              <w:t>1</w:t>
            </w:r>
          </w:p>
        </w:tc>
        <w:tc>
          <w:tcPr>
            <w:tcW w:w="251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bCs/>
                <w:color w:val="auto"/>
              </w:rPr>
              <w:t>复合肥料</w:t>
            </w:r>
          </w:p>
        </w:tc>
        <w:tc>
          <w:tcPr>
            <w:tcW w:w="240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rPr>
                <w:rFonts w:ascii="Times New Roman" w:hAnsi="Times New Roman"/>
                <w:color w:val="auto"/>
              </w:rPr>
            </w:pPr>
            <w:r>
              <w:rPr>
                <w:rFonts w:ascii="Times New Roman" w:hAnsi="Times New Roman"/>
                <w:bCs/>
                <w:color w:val="auto"/>
              </w:rPr>
              <w:t>GB/T 15063—2020 复合肥料</w:t>
            </w:r>
          </w:p>
        </w:tc>
        <w:tc>
          <w:tcPr>
            <w:tcW w:w="23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rPr>
                <w:rFonts w:ascii="Times New Roman" w:hAnsi="Times New Roman"/>
                <w:color w:val="auto"/>
              </w:rPr>
            </w:pPr>
            <w:r>
              <w:rPr>
                <w:rFonts w:ascii="Times New Roman" w:hAnsi="Times New Roman"/>
                <w:bCs/>
                <w:color w:val="auto"/>
              </w:rPr>
              <w:t>GB/T 15063—2009 复混肥料（复合肥料）</w:t>
            </w:r>
          </w:p>
        </w:tc>
        <w:tc>
          <w:tcPr>
            <w:tcW w:w="10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bCs/>
                <w:color w:val="auto"/>
              </w:rPr>
              <w:t>修订</w:t>
            </w:r>
          </w:p>
        </w:tc>
      </w:tr>
      <w:tr>
        <w:tblPrEx>
          <w:tblCellMar>
            <w:top w:w="0" w:type="dxa"/>
            <w:left w:w="108" w:type="dxa"/>
            <w:bottom w:w="0" w:type="dxa"/>
            <w:right w:w="108" w:type="dxa"/>
          </w:tblCellMar>
        </w:tblPrEx>
        <w:trPr>
          <w:trHeight w:val="836" w:hRule="atLeast"/>
          <w:jc w:val="center"/>
        </w:trPr>
        <w:tc>
          <w:tcPr>
            <w:tcW w:w="7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bCs/>
                <w:color w:val="auto"/>
              </w:rPr>
              <w:t>2</w:t>
            </w:r>
          </w:p>
        </w:tc>
        <w:tc>
          <w:tcPr>
            <w:tcW w:w="251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bCs/>
                <w:color w:val="auto"/>
              </w:rPr>
              <w:t>掺混肥料</w:t>
            </w:r>
          </w:p>
        </w:tc>
        <w:tc>
          <w:tcPr>
            <w:tcW w:w="240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rPr>
                <w:rFonts w:ascii="Times New Roman" w:hAnsi="Times New Roman"/>
                <w:color w:val="auto"/>
              </w:rPr>
            </w:pPr>
            <w:r>
              <w:rPr>
                <w:rFonts w:ascii="Times New Roman" w:hAnsi="Times New Roman"/>
                <w:bCs/>
                <w:color w:val="auto"/>
              </w:rPr>
              <w:t>GB/T 21633—2020 掺混肥料（BB肥）</w:t>
            </w:r>
          </w:p>
        </w:tc>
        <w:tc>
          <w:tcPr>
            <w:tcW w:w="23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rPr>
                <w:rFonts w:ascii="Times New Roman" w:hAnsi="Times New Roman"/>
                <w:color w:val="auto"/>
              </w:rPr>
            </w:pPr>
            <w:r>
              <w:rPr>
                <w:rFonts w:ascii="Times New Roman" w:hAnsi="Times New Roman"/>
                <w:bCs/>
                <w:color w:val="auto"/>
              </w:rPr>
              <w:t>GB/T 21633—2008 掺混肥料（BB肥）</w:t>
            </w:r>
          </w:p>
        </w:tc>
        <w:tc>
          <w:tcPr>
            <w:tcW w:w="10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bCs/>
                <w:color w:val="auto"/>
              </w:rPr>
              <w:t>修订</w:t>
            </w:r>
          </w:p>
        </w:tc>
      </w:tr>
      <w:tr>
        <w:tblPrEx>
          <w:tblCellMar>
            <w:top w:w="0" w:type="dxa"/>
            <w:left w:w="108" w:type="dxa"/>
            <w:bottom w:w="0" w:type="dxa"/>
            <w:right w:w="108" w:type="dxa"/>
          </w:tblCellMar>
        </w:tblPrEx>
        <w:trPr>
          <w:trHeight w:val="836" w:hRule="atLeast"/>
          <w:jc w:val="center"/>
        </w:trPr>
        <w:tc>
          <w:tcPr>
            <w:tcW w:w="7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bCs/>
                <w:color w:val="auto"/>
              </w:rPr>
              <w:t>3</w:t>
            </w:r>
          </w:p>
        </w:tc>
        <w:tc>
          <w:tcPr>
            <w:tcW w:w="251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bCs/>
                <w:color w:val="auto"/>
              </w:rPr>
              <w:t>有机无机复混肥料</w:t>
            </w:r>
          </w:p>
        </w:tc>
        <w:tc>
          <w:tcPr>
            <w:tcW w:w="240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rPr>
                <w:rFonts w:ascii="Times New Roman" w:hAnsi="Times New Roman"/>
                <w:color w:val="auto"/>
              </w:rPr>
            </w:pPr>
            <w:r>
              <w:rPr>
                <w:rFonts w:ascii="Times New Roman" w:hAnsi="Times New Roman"/>
                <w:bCs/>
                <w:color w:val="auto"/>
              </w:rPr>
              <w:t>GB/T 18877—2020 有机无机复混肥料</w:t>
            </w:r>
            <w:r>
              <w:rPr>
                <w:rFonts w:hint="eastAsia" w:ascii="Times New Roman" w:hAnsi="Times New Roman"/>
                <w:bCs/>
                <w:color w:val="auto"/>
              </w:rPr>
              <w:t>（含第1号修改单）</w:t>
            </w:r>
          </w:p>
        </w:tc>
        <w:tc>
          <w:tcPr>
            <w:tcW w:w="23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rPr>
                <w:rFonts w:ascii="Times New Roman" w:hAnsi="Times New Roman"/>
                <w:color w:val="auto"/>
              </w:rPr>
            </w:pPr>
            <w:r>
              <w:rPr>
                <w:rFonts w:ascii="Times New Roman" w:hAnsi="Times New Roman"/>
                <w:bCs/>
                <w:color w:val="auto"/>
              </w:rPr>
              <w:t>GB/T 18877—2009 有机-无机复混肥料</w:t>
            </w:r>
          </w:p>
        </w:tc>
        <w:tc>
          <w:tcPr>
            <w:tcW w:w="10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bCs/>
                <w:color w:val="auto"/>
              </w:rPr>
              <w:t>修订</w:t>
            </w:r>
          </w:p>
        </w:tc>
      </w:tr>
      <w:tr>
        <w:tblPrEx>
          <w:tblCellMar>
            <w:top w:w="0" w:type="dxa"/>
            <w:left w:w="108" w:type="dxa"/>
            <w:bottom w:w="0" w:type="dxa"/>
            <w:right w:w="108" w:type="dxa"/>
          </w:tblCellMar>
        </w:tblPrEx>
        <w:trPr>
          <w:trHeight w:val="836" w:hRule="atLeast"/>
          <w:jc w:val="center"/>
        </w:trPr>
        <w:tc>
          <w:tcPr>
            <w:tcW w:w="7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bCs/>
                <w:color w:val="auto"/>
              </w:rPr>
              <w:t>4</w:t>
            </w:r>
          </w:p>
        </w:tc>
        <w:tc>
          <w:tcPr>
            <w:tcW w:w="251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bCs/>
                <w:color w:val="auto"/>
              </w:rPr>
              <w:t>有机无机掺混肥料</w:t>
            </w:r>
          </w:p>
        </w:tc>
        <w:tc>
          <w:tcPr>
            <w:tcW w:w="240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rPr>
                <w:rFonts w:ascii="Times New Roman" w:hAnsi="Times New Roman"/>
                <w:color w:val="auto"/>
              </w:rPr>
            </w:pPr>
            <w:r>
              <w:rPr>
                <w:rFonts w:ascii="Times New Roman" w:hAnsi="Times New Roman"/>
                <w:bCs/>
                <w:color w:val="auto"/>
              </w:rPr>
              <w:t>GB/T 18877—2020 有机无机复混肥料</w:t>
            </w:r>
            <w:r>
              <w:rPr>
                <w:rFonts w:hint="eastAsia" w:ascii="Times New Roman" w:hAnsi="Times New Roman"/>
                <w:bCs/>
                <w:color w:val="auto"/>
              </w:rPr>
              <w:t>（含第1号修改单）</w:t>
            </w:r>
          </w:p>
        </w:tc>
        <w:tc>
          <w:tcPr>
            <w:tcW w:w="23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bCs/>
                <w:color w:val="auto"/>
              </w:rPr>
              <w:t>——</w:t>
            </w:r>
          </w:p>
        </w:tc>
        <w:tc>
          <w:tcPr>
            <w:tcW w:w="10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auto"/>
              </w:rPr>
            </w:pPr>
            <w:r>
              <w:rPr>
                <w:rFonts w:ascii="Times New Roman" w:hAnsi="Times New Roman"/>
                <w:bCs/>
                <w:color w:val="auto"/>
              </w:rPr>
              <w:t>新增</w:t>
            </w:r>
          </w:p>
        </w:tc>
      </w:tr>
      <w:bookmarkEnd w:id="74"/>
    </w:tbl>
    <w:p>
      <w:pPr>
        <w:jc w:val="center"/>
        <w:rPr>
          <w:rFonts w:ascii="Times New Roman" w:hAnsi="Times New Roman"/>
          <w:b/>
          <w:color w:val="auto"/>
          <w:sz w:val="28"/>
          <w:szCs w:val="28"/>
        </w:rPr>
      </w:pPr>
    </w:p>
    <w:p>
      <w:pPr>
        <w:snapToGrid w:val="0"/>
        <w:jc w:val="center"/>
        <w:rPr>
          <w:rFonts w:ascii="Times New Roman" w:hAnsi="Times New Roman" w:eastAsiaTheme="minorEastAsia"/>
          <w:b/>
          <w:color w:val="auto"/>
        </w:rPr>
      </w:pPr>
      <w:r>
        <w:rPr>
          <w:rFonts w:hint="eastAsia" w:ascii="Times New Roman" w:hAnsi="Times New Roman" w:eastAsiaTheme="minorEastAsia"/>
          <w:b/>
          <w:color w:val="auto"/>
        </w:rPr>
        <w:t>表</w:t>
      </w:r>
      <w:r>
        <w:rPr>
          <w:rFonts w:ascii="Times New Roman" w:hAnsi="Times New Roman" w:eastAsiaTheme="minorEastAsia"/>
          <w:b/>
          <w:color w:val="auto"/>
        </w:rPr>
        <w:t>3</w:t>
      </w:r>
      <w:r>
        <w:rPr>
          <w:rFonts w:hint="eastAsia" w:ascii="Times New Roman" w:hAnsi="Times New Roman" w:eastAsiaTheme="minorEastAsia"/>
          <w:b/>
          <w:color w:val="auto"/>
        </w:rPr>
        <w:t>应具备的生产设备变化对比表</w:t>
      </w:r>
    </w:p>
    <w:tbl>
      <w:tblPr>
        <w:tblStyle w:val="37"/>
        <w:tblpPr w:leftFromText="180" w:rightFromText="180" w:vertAnchor="text" w:tblpXSpec="center" w:tblpY="1"/>
        <w:tblOverlap w:val="never"/>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5"/>
        <w:gridCol w:w="1123"/>
        <w:gridCol w:w="2909"/>
        <w:gridCol w:w="2519"/>
        <w:gridCol w:w="1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423" w:type="pct"/>
            <w:vAlign w:val="center"/>
          </w:tcPr>
          <w:p>
            <w:pPr>
              <w:jc w:val="center"/>
              <w:rPr>
                <w:rFonts w:ascii="Times New Roman" w:hAnsi="Times New Roman"/>
                <w:b/>
                <w:color w:val="auto"/>
              </w:rPr>
            </w:pPr>
            <w:r>
              <w:rPr>
                <w:rFonts w:ascii="Times New Roman" w:hAnsi="Times New Roman"/>
                <w:b/>
                <w:color w:val="auto"/>
              </w:rPr>
              <w:t>序号</w:t>
            </w:r>
          </w:p>
        </w:tc>
        <w:tc>
          <w:tcPr>
            <w:tcW w:w="605" w:type="pct"/>
            <w:vAlign w:val="center"/>
          </w:tcPr>
          <w:p>
            <w:pPr>
              <w:jc w:val="center"/>
              <w:rPr>
                <w:rFonts w:ascii="Times New Roman" w:hAnsi="Times New Roman"/>
                <w:b/>
                <w:color w:val="auto"/>
              </w:rPr>
            </w:pPr>
            <w:r>
              <w:rPr>
                <w:rFonts w:ascii="Times New Roman" w:hAnsi="Times New Roman"/>
                <w:b/>
                <w:color w:val="auto"/>
              </w:rPr>
              <w:t>产品单元/复肥种类（</w:t>
            </w:r>
            <w:r>
              <w:rPr>
                <w:rFonts w:ascii="Times New Roman" w:hAnsi="Times New Roman"/>
                <w:b/>
                <w:bCs/>
                <w:color w:val="auto"/>
              </w:rPr>
              <w:t>本细则</w:t>
            </w:r>
            <w:r>
              <w:rPr>
                <w:rFonts w:ascii="Times New Roman" w:hAnsi="Times New Roman"/>
                <w:b/>
                <w:color w:val="auto"/>
              </w:rPr>
              <w:t>）</w:t>
            </w:r>
          </w:p>
        </w:tc>
        <w:tc>
          <w:tcPr>
            <w:tcW w:w="1567" w:type="pct"/>
            <w:vAlign w:val="center"/>
          </w:tcPr>
          <w:p>
            <w:pPr>
              <w:jc w:val="center"/>
              <w:rPr>
                <w:rFonts w:ascii="Times New Roman" w:hAnsi="Times New Roman"/>
                <w:b/>
                <w:color w:val="auto"/>
              </w:rPr>
            </w:pPr>
            <w:r>
              <w:rPr>
                <w:rFonts w:ascii="Times New Roman" w:hAnsi="Times New Roman"/>
                <w:b/>
                <w:color w:val="auto"/>
              </w:rPr>
              <w:t>主要设备</w:t>
            </w:r>
          </w:p>
          <w:p>
            <w:pPr>
              <w:jc w:val="center"/>
              <w:rPr>
                <w:rFonts w:ascii="Times New Roman" w:hAnsi="Times New Roman"/>
                <w:b/>
                <w:color w:val="auto"/>
              </w:rPr>
            </w:pPr>
            <w:r>
              <w:rPr>
                <w:rFonts w:ascii="Times New Roman" w:hAnsi="Times New Roman"/>
                <w:b/>
                <w:color w:val="auto"/>
              </w:rPr>
              <w:t>（</w:t>
            </w:r>
            <w:r>
              <w:rPr>
                <w:rFonts w:ascii="Times New Roman" w:hAnsi="Times New Roman"/>
                <w:b/>
                <w:bCs/>
                <w:color w:val="auto"/>
              </w:rPr>
              <w:t>本细则</w:t>
            </w:r>
            <w:r>
              <w:rPr>
                <w:rFonts w:ascii="Times New Roman" w:hAnsi="Times New Roman"/>
                <w:b/>
                <w:color w:val="auto"/>
              </w:rPr>
              <w:t>）</w:t>
            </w:r>
          </w:p>
        </w:tc>
        <w:tc>
          <w:tcPr>
            <w:tcW w:w="1357" w:type="pct"/>
            <w:vAlign w:val="center"/>
          </w:tcPr>
          <w:p>
            <w:pPr>
              <w:jc w:val="center"/>
              <w:rPr>
                <w:rFonts w:ascii="Times New Roman" w:hAnsi="Times New Roman"/>
                <w:b/>
                <w:color w:val="auto"/>
              </w:rPr>
            </w:pPr>
            <w:r>
              <w:rPr>
                <w:rFonts w:ascii="Times New Roman" w:hAnsi="Times New Roman"/>
                <w:b/>
                <w:color w:val="auto"/>
              </w:rPr>
              <w:t>主要设备</w:t>
            </w:r>
          </w:p>
          <w:p>
            <w:pPr>
              <w:jc w:val="center"/>
              <w:rPr>
                <w:rFonts w:ascii="Times New Roman" w:hAnsi="Times New Roman"/>
                <w:b/>
                <w:color w:val="auto"/>
              </w:rPr>
            </w:pPr>
            <w:r>
              <w:rPr>
                <w:rFonts w:ascii="Times New Roman" w:hAnsi="Times New Roman"/>
                <w:b/>
                <w:color w:val="auto"/>
              </w:rPr>
              <w:t>（上一版细则）</w:t>
            </w:r>
          </w:p>
        </w:tc>
        <w:tc>
          <w:tcPr>
            <w:tcW w:w="1048" w:type="pct"/>
            <w:vAlign w:val="center"/>
          </w:tcPr>
          <w:p>
            <w:pPr>
              <w:jc w:val="center"/>
              <w:rPr>
                <w:rFonts w:ascii="Times New Roman" w:hAnsi="Times New Roman"/>
                <w:b/>
                <w:color w:val="auto"/>
              </w:rPr>
            </w:pPr>
            <w:r>
              <w:rPr>
                <w:rFonts w:ascii="Times New Roman" w:hAnsi="Times New Roman"/>
                <w:b/>
                <w:color w:val="auto"/>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423" w:type="pct"/>
            <w:vMerge w:val="restart"/>
            <w:vAlign w:val="center"/>
          </w:tcPr>
          <w:p>
            <w:pPr>
              <w:spacing w:line="0" w:lineRule="atLeast"/>
              <w:jc w:val="center"/>
              <w:rPr>
                <w:rFonts w:ascii="Times New Roman" w:hAnsi="Times New Roman"/>
                <w:color w:val="auto"/>
              </w:rPr>
            </w:pPr>
            <w:r>
              <w:rPr>
                <w:rFonts w:ascii="Times New Roman" w:hAnsi="Times New Roman"/>
                <w:color w:val="auto"/>
              </w:rPr>
              <w:t>1</w:t>
            </w:r>
          </w:p>
        </w:tc>
        <w:tc>
          <w:tcPr>
            <w:tcW w:w="605" w:type="pct"/>
            <w:vAlign w:val="center"/>
          </w:tcPr>
          <w:p>
            <w:pPr>
              <w:adjustRightInd w:val="0"/>
              <w:snapToGrid w:val="0"/>
              <w:rPr>
                <w:rFonts w:ascii="Times New Roman" w:hAnsi="Times New Roman"/>
                <w:bCs/>
                <w:color w:val="auto"/>
              </w:rPr>
            </w:pPr>
            <w:r>
              <w:rPr>
                <w:rFonts w:ascii="Times New Roman" w:hAnsi="Times New Roman"/>
                <w:bCs/>
                <w:color w:val="auto"/>
              </w:rPr>
              <w:t>复合肥料/复合肥料、硝基复合肥料、腐植酸复合肥料、海藻酸复合肥料、氨基酸复合肥料、含硫酸脲复合肥料、稳定性复合肥料、脲醛缓释复合肥料</w:t>
            </w:r>
          </w:p>
        </w:tc>
        <w:tc>
          <w:tcPr>
            <w:tcW w:w="1567" w:type="pct"/>
            <w:vAlign w:val="center"/>
          </w:tcPr>
          <w:p>
            <w:pPr>
              <w:adjustRightInd w:val="0"/>
              <w:snapToGrid w:val="0"/>
              <w:rPr>
                <w:rFonts w:ascii="Times New Roman" w:hAnsi="Times New Roman"/>
                <w:color w:val="auto"/>
              </w:rPr>
            </w:pPr>
            <w:r>
              <w:rPr>
                <w:rFonts w:ascii="Times New Roman" w:hAnsi="Times New Roman"/>
                <w:color w:val="auto"/>
              </w:rPr>
              <w:t>1．配料计量设备</w:t>
            </w:r>
          </w:p>
          <w:p>
            <w:pPr>
              <w:adjustRightInd w:val="0"/>
              <w:snapToGrid w:val="0"/>
              <w:rPr>
                <w:rFonts w:ascii="Times New Roman" w:hAnsi="Times New Roman"/>
                <w:color w:val="auto"/>
              </w:rPr>
            </w:pPr>
            <w:r>
              <w:rPr>
                <w:rFonts w:ascii="Times New Roman" w:hAnsi="Times New Roman"/>
                <w:color w:val="auto"/>
              </w:rPr>
              <w:t>2．混合设备或化学合成设备</w:t>
            </w:r>
          </w:p>
          <w:p>
            <w:pPr>
              <w:adjustRightInd w:val="0"/>
              <w:snapToGrid w:val="0"/>
              <w:rPr>
                <w:rFonts w:ascii="Times New Roman" w:hAnsi="Times New Roman"/>
                <w:color w:val="auto"/>
              </w:rPr>
            </w:pPr>
            <w:r>
              <w:rPr>
                <w:rFonts w:ascii="Times New Roman" w:hAnsi="Times New Roman"/>
                <w:color w:val="auto"/>
              </w:rPr>
              <w:t>3．造粒设备</w:t>
            </w:r>
          </w:p>
          <w:p>
            <w:pPr>
              <w:adjustRightInd w:val="0"/>
              <w:snapToGrid w:val="0"/>
              <w:rPr>
                <w:rFonts w:ascii="Times New Roman" w:hAnsi="Times New Roman"/>
                <w:color w:val="auto"/>
              </w:rPr>
            </w:pPr>
            <w:r>
              <w:rPr>
                <w:rFonts w:ascii="Times New Roman" w:hAnsi="Times New Roman"/>
                <w:color w:val="auto"/>
              </w:rPr>
              <w:t>4．干燥及温控设备</w:t>
            </w:r>
          </w:p>
          <w:p>
            <w:pPr>
              <w:adjustRightInd w:val="0"/>
              <w:snapToGrid w:val="0"/>
              <w:rPr>
                <w:rFonts w:ascii="Times New Roman" w:hAnsi="Times New Roman"/>
                <w:color w:val="auto"/>
              </w:rPr>
            </w:pPr>
            <w:r>
              <w:rPr>
                <w:rFonts w:ascii="Times New Roman" w:hAnsi="Times New Roman"/>
                <w:color w:val="auto"/>
              </w:rPr>
              <w:t>5．冷却设备</w:t>
            </w:r>
          </w:p>
          <w:p>
            <w:pPr>
              <w:adjustRightInd w:val="0"/>
              <w:snapToGrid w:val="0"/>
              <w:rPr>
                <w:rFonts w:ascii="Times New Roman" w:hAnsi="Times New Roman"/>
                <w:color w:val="auto"/>
              </w:rPr>
            </w:pPr>
            <w:r>
              <w:rPr>
                <w:rFonts w:ascii="Times New Roman" w:hAnsi="Times New Roman"/>
                <w:color w:val="auto"/>
              </w:rPr>
              <w:t>6．成品筛分设备</w:t>
            </w:r>
          </w:p>
          <w:p>
            <w:pPr>
              <w:adjustRightInd w:val="0"/>
              <w:snapToGrid w:val="0"/>
              <w:rPr>
                <w:rFonts w:ascii="Times New Roman" w:hAnsi="Times New Roman"/>
                <w:color w:val="auto"/>
              </w:rPr>
            </w:pPr>
            <w:r>
              <w:rPr>
                <w:rFonts w:ascii="Times New Roman" w:hAnsi="Times New Roman"/>
                <w:color w:val="auto"/>
              </w:rPr>
              <w:t>7．从配料计量到产品包装形成连续的机械化生产线</w:t>
            </w:r>
          </w:p>
          <w:p>
            <w:pPr>
              <w:ind w:right="-15"/>
              <w:jc w:val="left"/>
              <w:rPr>
                <w:rFonts w:ascii="Times New Roman" w:hAnsi="Times New Roman"/>
                <w:color w:val="auto"/>
              </w:rPr>
            </w:pPr>
            <w:r>
              <w:rPr>
                <w:rFonts w:ascii="Times New Roman" w:hAnsi="Times New Roman"/>
                <w:color w:val="auto"/>
              </w:rPr>
              <w:t>8．尾气处理设备</w:t>
            </w:r>
          </w:p>
        </w:tc>
        <w:tc>
          <w:tcPr>
            <w:tcW w:w="1357" w:type="pct"/>
            <w:vAlign w:val="center"/>
          </w:tcPr>
          <w:p>
            <w:pPr>
              <w:adjustRightInd w:val="0"/>
              <w:snapToGrid w:val="0"/>
              <w:rPr>
                <w:rFonts w:ascii="Times New Roman" w:hAnsi="Times New Roman"/>
                <w:color w:val="auto"/>
              </w:rPr>
            </w:pPr>
            <w:r>
              <w:rPr>
                <w:rFonts w:ascii="Times New Roman" w:hAnsi="Times New Roman"/>
                <w:color w:val="auto"/>
              </w:rPr>
              <w:t>1．配料计量设备</w:t>
            </w:r>
          </w:p>
          <w:p>
            <w:pPr>
              <w:adjustRightInd w:val="0"/>
              <w:snapToGrid w:val="0"/>
              <w:rPr>
                <w:rFonts w:ascii="Times New Roman" w:hAnsi="Times New Roman"/>
                <w:color w:val="auto"/>
              </w:rPr>
            </w:pPr>
            <w:r>
              <w:rPr>
                <w:rFonts w:ascii="Times New Roman" w:hAnsi="Times New Roman"/>
                <w:color w:val="auto"/>
              </w:rPr>
              <w:t>2．混合设备或化学合成设备</w:t>
            </w:r>
          </w:p>
          <w:p>
            <w:pPr>
              <w:adjustRightInd w:val="0"/>
              <w:snapToGrid w:val="0"/>
              <w:rPr>
                <w:rFonts w:ascii="Times New Roman" w:hAnsi="Times New Roman"/>
                <w:color w:val="auto"/>
              </w:rPr>
            </w:pPr>
            <w:r>
              <w:rPr>
                <w:rFonts w:ascii="Times New Roman" w:hAnsi="Times New Roman"/>
                <w:color w:val="auto"/>
              </w:rPr>
              <w:t>3．造粒设备</w:t>
            </w:r>
          </w:p>
          <w:p>
            <w:pPr>
              <w:adjustRightInd w:val="0"/>
              <w:snapToGrid w:val="0"/>
              <w:rPr>
                <w:rFonts w:ascii="Times New Roman" w:hAnsi="Times New Roman"/>
                <w:color w:val="auto"/>
              </w:rPr>
            </w:pPr>
            <w:r>
              <w:rPr>
                <w:rFonts w:ascii="Times New Roman" w:hAnsi="Times New Roman"/>
                <w:color w:val="auto"/>
              </w:rPr>
              <w:t>4．干燥设备</w:t>
            </w:r>
          </w:p>
          <w:p>
            <w:pPr>
              <w:adjustRightInd w:val="0"/>
              <w:snapToGrid w:val="0"/>
              <w:rPr>
                <w:rFonts w:ascii="Times New Roman" w:hAnsi="Times New Roman"/>
                <w:color w:val="auto"/>
              </w:rPr>
            </w:pPr>
            <w:r>
              <w:rPr>
                <w:rFonts w:ascii="Times New Roman" w:hAnsi="Times New Roman"/>
                <w:color w:val="auto"/>
              </w:rPr>
              <w:t>5．冷却设备</w:t>
            </w:r>
          </w:p>
          <w:p>
            <w:pPr>
              <w:adjustRightInd w:val="0"/>
              <w:snapToGrid w:val="0"/>
              <w:rPr>
                <w:rFonts w:ascii="Times New Roman" w:hAnsi="Times New Roman"/>
                <w:color w:val="auto"/>
              </w:rPr>
            </w:pPr>
            <w:r>
              <w:rPr>
                <w:rFonts w:ascii="Times New Roman" w:hAnsi="Times New Roman"/>
                <w:color w:val="auto"/>
              </w:rPr>
              <w:t>6．干燥机进出口风温度测定仪</w:t>
            </w:r>
          </w:p>
          <w:p>
            <w:pPr>
              <w:adjustRightInd w:val="0"/>
              <w:snapToGrid w:val="0"/>
              <w:rPr>
                <w:rFonts w:ascii="Times New Roman" w:hAnsi="Times New Roman"/>
                <w:color w:val="auto"/>
              </w:rPr>
            </w:pPr>
            <w:r>
              <w:rPr>
                <w:rFonts w:ascii="Times New Roman" w:hAnsi="Times New Roman"/>
                <w:color w:val="auto"/>
              </w:rPr>
              <w:t>7．成品筛分设备</w:t>
            </w:r>
          </w:p>
          <w:p>
            <w:pPr>
              <w:adjustRightInd w:val="0"/>
              <w:snapToGrid w:val="0"/>
              <w:rPr>
                <w:rFonts w:ascii="Times New Roman" w:hAnsi="Times New Roman"/>
                <w:color w:val="auto"/>
              </w:rPr>
            </w:pPr>
            <w:r>
              <w:rPr>
                <w:rFonts w:ascii="Times New Roman" w:hAnsi="Times New Roman"/>
                <w:color w:val="auto"/>
              </w:rPr>
              <w:t>8．成品包装设备</w:t>
            </w:r>
          </w:p>
          <w:p>
            <w:pPr>
              <w:adjustRightInd w:val="0"/>
              <w:snapToGrid w:val="0"/>
              <w:rPr>
                <w:rFonts w:ascii="Times New Roman" w:hAnsi="Times New Roman"/>
                <w:color w:val="auto"/>
              </w:rPr>
            </w:pPr>
            <w:r>
              <w:rPr>
                <w:rFonts w:ascii="Times New Roman" w:hAnsi="Times New Roman"/>
                <w:color w:val="auto"/>
              </w:rPr>
              <w:t>9．成品包装计量设备</w:t>
            </w:r>
          </w:p>
          <w:p>
            <w:pPr>
              <w:adjustRightInd w:val="0"/>
              <w:snapToGrid w:val="0"/>
              <w:rPr>
                <w:rFonts w:ascii="Times New Roman" w:hAnsi="Times New Roman"/>
                <w:color w:val="auto"/>
              </w:rPr>
            </w:pPr>
            <w:r>
              <w:rPr>
                <w:rFonts w:ascii="Times New Roman" w:hAnsi="Times New Roman"/>
                <w:color w:val="auto"/>
              </w:rPr>
              <w:t>10．从配料计量到产品包装形成连续的机械化生产线</w:t>
            </w:r>
          </w:p>
          <w:p>
            <w:pPr>
              <w:adjustRightInd w:val="0"/>
              <w:snapToGrid w:val="0"/>
              <w:rPr>
                <w:rFonts w:ascii="Times New Roman" w:hAnsi="Times New Roman"/>
                <w:color w:val="auto"/>
              </w:rPr>
            </w:pPr>
            <w:r>
              <w:rPr>
                <w:rFonts w:ascii="Times New Roman" w:hAnsi="Times New Roman"/>
                <w:color w:val="auto"/>
              </w:rPr>
              <w:t>11．气体除尘净化回收设备</w:t>
            </w:r>
          </w:p>
          <w:p>
            <w:pPr>
              <w:ind w:right="-15"/>
              <w:jc w:val="left"/>
              <w:rPr>
                <w:rFonts w:ascii="Times New Roman" w:hAnsi="Times New Roman"/>
                <w:color w:val="auto"/>
              </w:rPr>
            </w:pPr>
            <w:r>
              <w:rPr>
                <w:rFonts w:ascii="Times New Roman" w:hAnsi="Times New Roman"/>
                <w:color w:val="auto"/>
              </w:rPr>
              <w:t>12．排风设备</w:t>
            </w:r>
          </w:p>
        </w:tc>
        <w:tc>
          <w:tcPr>
            <w:tcW w:w="1048" w:type="pct"/>
            <w:vAlign w:val="center"/>
          </w:tcPr>
          <w:p>
            <w:pPr>
              <w:jc w:val="center"/>
              <w:rPr>
                <w:rFonts w:ascii="Times New Roman" w:hAnsi="Times New Roman"/>
                <w:color w:val="auto"/>
              </w:rPr>
            </w:pPr>
            <w:r>
              <w:rPr>
                <w:rFonts w:ascii="Times New Roman" w:hAnsi="Times New Roman"/>
                <w:color w:val="auto"/>
              </w:rPr>
              <w:t>按复肥种类列明需具备的生产设备；删除常规的产品包装和包装计量设备，干燥机进出口风温度测定仪与干燥设备合并为干燥及温控设备。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423" w:type="pct"/>
            <w:vMerge w:val="continue"/>
            <w:vAlign w:val="center"/>
          </w:tcPr>
          <w:p>
            <w:pPr>
              <w:spacing w:line="0" w:lineRule="atLeast"/>
              <w:jc w:val="center"/>
              <w:rPr>
                <w:rFonts w:ascii="Times New Roman" w:hAnsi="Times New Roman"/>
                <w:color w:val="auto"/>
              </w:rPr>
            </w:pPr>
          </w:p>
        </w:tc>
        <w:tc>
          <w:tcPr>
            <w:tcW w:w="605" w:type="pct"/>
            <w:vAlign w:val="center"/>
          </w:tcPr>
          <w:p>
            <w:pPr>
              <w:adjustRightInd w:val="0"/>
              <w:snapToGrid w:val="0"/>
              <w:rPr>
                <w:rFonts w:ascii="Times New Roman" w:hAnsi="Times New Roman"/>
                <w:bCs/>
                <w:color w:val="auto"/>
              </w:rPr>
            </w:pPr>
            <w:r>
              <w:rPr>
                <w:rFonts w:ascii="Times New Roman" w:hAnsi="Times New Roman"/>
                <w:bCs/>
                <w:color w:val="auto"/>
              </w:rPr>
              <w:t>复合肥料/缓释复合肥料、控释复合肥料、硫包衣缓释复合肥料</w:t>
            </w:r>
          </w:p>
        </w:tc>
        <w:tc>
          <w:tcPr>
            <w:tcW w:w="1567" w:type="pct"/>
            <w:vAlign w:val="center"/>
          </w:tcPr>
          <w:p>
            <w:pPr>
              <w:rPr>
                <w:rFonts w:ascii="Times New Roman" w:hAnsi="Times New Roman"/>
                <w:bCs/>
                <w:color w:val="auto"/>
              </w:rPr>
            </w:pPr>
            <w:r>
              <w:rPr>
                <w:rFonts w:ascii="Times New Roman" w:hAnsi="Times New Roman"/>
                <w:bCs/>
                <w:color w:val="auto"/>
              </w:rPr>
              <w:t>1.包膜核芯原料筛分设备</w:t>
            </w:r>
          </w:p>
          <w:p>
            <w:pPr>
              <w:rPr>
                <w:rFonts w:ascii="Times New Roman" w:hAnsi="Times New Roman"/>
                <w:bCs/>
                <w:color w:val="auto"/>
              </w:rPr>
            </w:pPr>
            <w:r>
              <w:rPr>
                <w:rFonts w:ascii="Times New Roman" w:hAnsi="Times New Roman"/>
                <w:bCs/>
                <w:color w:val="auto"/>
              </w:rPr>
              <w:t>2.包膜核芯原料、膜材料计量设备</w:t>
            </w:r>
          </w:p>
          <w:p>
            <w:pPr>
              <w:rPr>
                <w:rFonts w:ascii="Times New Roman" w:hAnsi="Times New Roman"/>
                <w:bCs/>
                <w:color w:val="auto"/>
              </w:rPr>
            </w:pPr>
            <w:r>
              <w:rPr>
                <w:rFonts w:ascii="Times New Roman" w:hAnsi="Times New Roman"/>
                <w:bCs/>
                <w:color w:val="auto"/>
              </w:rPr>
              <w:t>3.</w:t>
            </w:r>
            <w:r>
              <w:rPr>
                <w:rFonts w:hint="eastAsia" w:ascii="Times New Roman" w:hAnsi="Times New Roman"/>
                <w:bCs/>
                <w:color w:val="auto"/>
              </w:rPr>
              <w:t>喷涂</w:t>
            </w:r>
            <w:r>
              <w:rPr>
                <w:rFonts w:ascii="Times New Roman" w:hAnsi="Times New Roman"/>
                <w:bCs/>
                <w:color w:val="auto"/>
              </w:rPr>
              <w:t>设备</w:t>
            </w:r>
          </w:p>
          <w:p>
            <w:pPr>
              <w:rPr>
                <w:rFonts w:ascii="Times New Roman" w:hAnsi="Times New Roman"/>
                <w:bCs/>
                <w:color w:val="auto"/>
              </w:rPr>
            </w:pPr>
            <w:r>
              <w:rPr>
                <w:rFonts w:ascii="Times New Roman" w:hAnsi="Times New Roman"/>
                <w:bCs/>
                <w:color w:val="auto"/>
              </w:rPr>
              <w:t>4.冷却设备</w:t>
            </w:r>
          </w:p>
          <w:p>
            <w:pPr>
              <w:rPr>
                <w:rFonts w:ascii="Times New Roman" w:hAnsi="Times New Roman"/>
                <w:bCs/>
                <w:color w:val="auto"/>
              </w:rPr>
            </w:pPr>
            <w:r>
              <w:rPr>
                <w:rFonts w:ascii="Times New Roman" w:hAnsi="Times New Roman"/>
                <w:bCs/>
                <w:color w:val="auto"/>
              </w:rPr>
              <w:t>5.膜材料制备设备</w:t>
            </w:r>
          </w:p>
          <w:p>
            <w:pPr>
              <w:rPr>
                <w:rFonts w:ascii="Times New Roman" w:hAnsi="Times New Roman"/>
                <w:bCs/>
                <w:color w:val="auto"/>
              </w:rPr>
            </w:pPr>
            <w:r>
              <w:rPr>
                <w:rFonts w:ascii="Times New Roman" w:hAnsi="Times New Roman"/>
                <w:bCs/>
                <w:color w:val="auto"/>
              </w:rPr>
              <w:t>6.成品筛分设备</w:t>
            </w:r>
          </w:p>
          <w:p>
            <w:pPr>
              <w:rPr>
                <w:rFonts w:ascii="Times New Roman" w:hAnsi="Times New Roman"/>
                <w:bCs/>
                <w:color w:val="auto"/>
              </w:rPr>
            </w:pPr>
            <w:r>
              <w:rPr>
                <w:rFonts w:ascii="Times New Roman" w:hAnsi="Times New Roman"/>
                <w:bCs/>
                <w:color w:val="auto"/>
              </w:rPr>
              <w:t>7.从包膜核芯原料筛分到产品包装形成连续的机械化生产线</w:t>
            </w:r>
          </w:p>
          <w:p>
            <w:pPr>
              <w:rPr>
                <w:rFonts w:ascii="Times New Roman" w:hAnsi="Times New Roman"/>
                <w:bCs/>
                <w:color w:val="auto"/>
              </w:rPr>
            </w:pPr>
            <w:r>
              <w:rPr>
                <w:rFonts w:ascii="Times New Roman" w:hAnsi="Times New Roman"/>
                <w:bCs/>
                <w:color w:val="auto"/>
              </w:rPr>
              <w:t>8.尾气处理设备</w:t>
            </w:r>
          </w:p>
          <w:p>
            <w:pPr>
              <w:rPr>
                <w:rFonts w:ascii="Times New Roman" w:hAnsi="Times New Roman"/>
                <w:bCs/>
                <w:color w:val="auto"/>
              </w:rPr>
            </w:pPr>
            <w:r>
              <w:rPr>
                <w:rFonts w:ascii="Times New Roman" w:hAnsi="Times New Roman"/>
                <w:bCs/>
                <w:color w:val="auto"/>
              </w:rPr>
              <w:t>9.硫磺计量设备</w:t>
            </w:r>
          </w:p>
          <w:p>
            <w:pPr>
              <w:rPr>
                <w:rFonts w:ascii="Times New Roman" w:hAnsi="Times New Roman"/>
                <w:bCs/>
                <w:color w:val="auto"/>
              </w:rPr>
            </w:pPr>
            <w:r>
              <w:rPr>
                <w:rFonts w:hint="eastAsia" w:ascii="Times New Roman" w:hAnsi="Times New Roman"/>
                <w:bCs/>
                <w:color w:val="auto"/>
              </w:rPr>
              <w:t>1</w:t>
            </w:r>
            <w:r>
              <w:rPr>
                <w:rFonts w:ascii="Times New Roman" w:hAnsi="Times New Roman"/>
                <w:bCs/>
                <w:color w:val="auto"/>
              </w:rPr>
              <w:t>0.封闭剂储存设备13.封闭剂储存设备</w:t>
            </w:r>
          </w:p>
          <w:p>
            <w:pPr>
              <w:rPr>
                <w:rFonts w:ascii="Times New Roman" w:hAnsi="Times New Roman"/>
                <w:bCs/>
                <w:color w:val="auto"/>
              </w:rPr>
            </w:pPr>
            <w:r>
              <w:rPr>
                <w:rFonts w:ascii="Times New Roman" w:hAnsi="Times New Roman"/>
                <w:bCs/>
                <w:color w:val="auto"/>
              </w:rPr>
              <w:t>11.封闭剂计量设备</w:t>
            </w:r>
          </w:p>
        </w:tc>
        <w:tc>
          <w:tcPr>
            <w:tcW w:w="1357" w:type="pct"/>
            <w:vAlign w:val="center"/>
          </w:tcPr>
          <w:p>
            <w:pPr>
              <w:adjustRightInd w:val="0"/>
              <w:snapToGrid w:val="0"/>
              <w:jc w:val="center"/>
              <w:rPr>
                <w:rFonts w:ascii="Times New Roman" w:hAnsi="Times New Roman"/>
                <w:color w:val="auto"/>
              </w:rPr>
            </w:pPr>
            <w:r>
              <w:rPr>
                <w:rFonts w:ascii="Times New Roman" w:hAnsi="Times New Roman"/>
                <w:color w:val="auto"/>
              </w:rPr>
              <w:t>——</w:t>
            </w:r>
          </w:p>
        </w:tc>
        <w:tc>
          <w:tcPr>
            <w:tcW w:w="1048" w:type="pct"/>
            <w:vAlign w:val="center"/>
          </w:tcPr>
          <w:p>
            <w:pPr>
              <w:jc w:val="center"/>
              <w:rPr>
                <w:rFonts w:ascii="Times New Roman" w:hAnsi="Times New Roman"/>
                <w:color w:val="auto"/>
              </w:rPr>
            </w:pPr>
            <w:r>
              <w:rPr>
                <w:rFonts w:ascii="Times New Roman" w:hAnsi="Times New Roman"/>
                <w:color w:val="auto"/>
              </w:rPr>
              <w:t>按复肥种类列明需具备的生产设备；9-11仅</w:t>
            </w:r>
            <w:r>
              <w:rPr>
                <w:rFonts w:ascii="Times New Roman" w:hAnsi="Times New Roman"/>
                <w:bCs/>
                <w:color w:val="auto"/>
              </w:rPr>
              <w:t>硫包衣缓释复合肥料要求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423" w:type="pct"/>
            <w:vMerge w:val="continue"/>
            <w:vAlign w:val="center"/>
          </w:tcPr>
          <w:p>
            <w:pPr>
              <w:spacing w:line="0" w:lineRule="atLeast"/>
              <w:jc w:val="center"/>
              <w:rPr>
                <w:rFonts w:ascii="Times New Roman" w:hAnsi="Times New Roman"/>
                <w:color w:val="auto"/>
              </w:rPr>
            </w:pPr>
          </w:p>
        </w:tc>
        <w:tc>
          <w:tcPr>
            <w:tcW w:w="605" w:type="pct"/>
            <w:vAlign w:val="center"/>
          </w:tcPr>
          <w:p>
            <w:pPr>
              <w:adjustRightInd w:val="0"/>
              <w:snapToGrid w:val="0"/>
              <w:rPr>
                <w:rFonts w:ascii="Times New Roman" w:hAnsi="Times New Roman"/>
                <w:bCs/>
                <w:color w:val="auto"/>
              </w:rPr>
            </w:pPr>
            <w:r>
              <w:rPr>
                <w:rFonts w:ascii="Times New Roman" w:hAnsi="Times New Roman"/>
                <w:bCs/>
                <w:color w:val="auto"/>
              </w:rPr>
              <w:t>复合肥料/无机包裹型复合肥料</w:t>
            </w:r>
          </w:p>
        </w:tc>
        <w:tc>
          <w:tcPr>
            <w:tcW w:w="1567" w:type="pct"/>
            <w:vAlign w:val="center"/>
          </w:tcPr>
          <w:p>
            <w:pPr>
              <w:rPr>
                <w:rFonts w:ascii="Times New Roman" w:hAnsi="Times New Roman"/>
                <w:bCs/>
                <w:color w:val="auto"/>
              </w:rPr>
            </w:pPr>
            <w:r>
              <w:rPr>
                <w:rFonts w:ascii="Times New Roman" w:hAnsi="Times New Roman"/>
                <w:bCs/>
                <w:color w:val="auto"/>
              </w:rPr>
              <w:t>1.原料粉碎设备</w:t>
            </w:r>
          </w:p>
          <w:p>
            <w:pPr>
              <w:rPr>
                <w:rFonts w:ascii="Times New Roman" w:hAnsi="Times New Roman"/>
                <w:bCs/>
                <w:color w:val="auto"/>
              </w:rPr>
            </w:pPr>
            <w:r>
              <w:rPr>
                <w:rFonts w:ascii="Times New Roman" w:hAnsi="Times New Roman"/>
                <w:bCs/>
                <w:color w:val="auto"/>
              </w:rPr>
              <w:t>2.配料计量设备</w:t>
            </w:r>
          </w:p>
          <w:p>
            <w:pPr>
              <w:rPr>
                <w:rFonts w:ascii="Times New Roman" w:hAnsi="Times New Roman"/>
                <w:bCs/>
                <w:color w:val="auto"/>
              </w:rPr>
            </w:pPr>
            <w:r>
              <w:rPr>
                <w:rFonts w:ascii="Times New Roman" w:hAnsi="Times New Roman"/>
                <w:bCs/>
                <w:color w:val="auto"/>
              </w:rPr>
              <w:t>3.</w:t>
            </w:r>
            <w:r>
              <w:rPr>
                <w:rFonts w:hint="eastAsia" w:ascii="Times New Roman" w:hAnsi="Times New Roman"/>
                <w:bCs/>
                <w:color w:val="auto"/>
              </w:rPr>
              <w:t>包裹</w:t>
            </w:r>
            <w:r>
              <w:rPr>
                <w:rFonts w:ascii="Times New Roman" w:hAnsi="Times New Roman"/>
                <w:bCs/>
                <w:color w:val="auto"/>
              </w:rPr>
              <w:t>设备10.冷却设备</w:t>
            </w:r>
          </w:p>
          <w:p>
            <w:pPr>
              <w:rPr>
                <w:rFonts w:ascii="Times New Roman" w:hAnsi="Times New Roman"/>
                <w:bCs/>
                <w:color w:val="auto"/>
              </w:rPr>
            </w:pPr>
            <w:r>
              <w:rPr>
                <w:rFonts w:ascii="Times New Roman" w:hAnsi="Times New Roman"/>
                <w:bCs/>
                <w:color w:val="auto"/>
              </w:rPr>
              <w:t>5.干燥及温控设备</w:t>
            </w:r>
          </w:p>
          <w:p>
            <w:pPr>
              <w:rPr>
                <w:rFonts w:ascii="Times New Roman" w:hAnsi="Times New Roman"/>
                <w:bCs/>
                <w:color w:val="auto"/>
              </w:rPr>
            </w:pPr>
            <w:r>
              <w:rPr>
                <w:rFonts w:ascii="Times New Roman" w:hAnsi="Times New Roman"/>
                <w:bCs/>
                <w:color w:val="auto"/>
              </w:rPr>
              <w:t>6.成品筛分设备</w:t>
            </w:r>
          </w:p>
          <w:p>
            <w:pPr>
              <w:rPr>
                <w:rFonts w:ascii="Times New Roman" w:hAnsi="Times New Roman"/>
                <w:bCs/>
                <w:color w:val="auto"/>
              </w:rPr>
            </w:pPr>
            <w:r>
              <w:rPr>
                <w:rFonts w:ascii="Times New Roman" w:hAnsi="Times New Roman"/>
                <w:bCs/>
                <w:color w:val="auto"/>
              </w:rPr>
              <w:t>7. 从配料计量到产品包装形成连续的机械化生产线</w:t>
            </w:r>
          </w:p>
          <w:p>
            <w:pPr>
              <w:rPr>
                <w:rFonts w:ascii="Times New Roman" w:hAnsi="Times New Roman"/>
                <w:bCs/>
                <w:color w:val="auto"/>
              </w:rPr>
            </w:pPr>
            <w:r>
              <w:rPr>
                <w:rFonts w:ascii="Times New Roman" w:hAnsi="Times New Roman"/>
                <w:bCs/>
                <w:color w:val="auto"/>
              </w:rPr>
              <w:t>8.尾气处理设备</w:t>
            </w:r>
          </w:p>
        </w:tc>
        <w:tc>
          <w:tcPr>
            <w:tcW w:w="1357" w:type="pct"/>
            <w:vAlign w:val="center"/>
          </w:tcPr>
          <w:p>
            <w:pPr>
              <w:adjustRightInd w:val="0"/>
              <w:snapToGrid w:val="0"/>
              <w:jc w:val="center"/>
              <w:rPr>
                <w:rFonts w:ascii="Times New Roman" w:hAnsi="Times New Roman"/>
                <w:color w:val="auto"/>
              </w:rPr>
            </w:pPr>
            <w:r>
              <w:rPr>
                <w:rFonts w:ascii="Times New Roman" w:hAnsi="Times New Roman"/>
                <w:color w:val="auto"/>
              </w:rPr>
              <w:t>——</w:t>
            </w:r>
          </w:p>
        </w:tc>
        <w:tc>
          <w:tcPr>
            <w:tcW w:w="1048" w:type="pct"/>
            <w:vAlign w:val="center"/>
          </w:tcPr>
          <w:p>
            <w:pPr>
              <w:jc w:val="center"/>
              <w:rPr>
                <w:rFonts w:ascii="Times New Roman" w:hAnsi="Times New Roman"/>
                <w:color w:val="auto"/>
              </w:rPr>
            </w:pPr>
            <w:r>
              <w:rPr>
                <w:rFonts w:ascii="Times New Roman" w:hAnsi="Times New Roman"/>
                <w:color w:val="auto"/>
              </w:rPr>
              <w:t>按复肥种类列明需具备的生产设备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423" w:type="pct"/>
            <w:vAlign w:val="center"/>
          </w:tcPr>
          <w:p>
            <w:pPr>
              <w:spacing w:line="0" w:lineRule="atLeast"/>
              <w:jc w:val="center"/>
              <w:rPr>
                <w:rFonts w:ascii="Times New Roman" w:hAnsi="Times New Roman"/>
                <w:color w:val="auto"/>
              </w:rPr>
            </w:pPr>
            <w:r>
              <w:rPr>
                <w:rFonts w:ascii="Times New Roman" w:hAnsi="Times New Roman"/>
                <w:color w:val="auto"/>
              </w:rPr>
              <w:t>2</w:t>
            </w:r>
          </w:p>
        </w:tc>
        <w:tc>
          <w:tcPr>
            <w:tcW w:w="605" w:type="pct"/>
            <w:vAlign w:val="center"/>
          </w:tcPr>
          <w:p>
            <w:pPr>
              <w:adjustRightInd w:val="0"/>
              <w:snapToGrid w:val="0"/>
              <w:rPr>
                <w:rFonts w:ascii="Times New Roman" w:hAnsi="Times New Roman"/>
                <w:bCs/>
                <w:color w:val="auto"/>
              </w:rPr>
            </w:pPr>
            <w:r>
              <w:rPr>
                <w:rFonts w:ascii="Times New Roman" w:hAnsi="Times New Roman"/>
                <w:bCs/>
                <w:color w:val="auto"/>
              </w:rPr>
              <w:t>掺混肥料/掺混肥料、缓释掺混肥料、控释掺混肥料、硫包衣缓释掺混肥料、脲醛缓释掺混肥料、稳定性掺混肥料、无机包裹型掺混肥料、含部分海藻酸包膜尿素的掺混肥料</w:t>
            </w:r>
          </w:p>
        </w:tc>
        <w:tc>
          <w:tcPr>
            <w:tcW w:w="1567" w:type="pct"/>
            <w:vAlign w:val="center"/>
          </w:tcPr>
          <w:p>
            <w:pPr>
              <w:adjustRightInd w:val="0"/>
              <w:snapToGrid w:val="0"/>
              <w:rPr>
                <w:rFonts w:ascii="Times New Roman" w:hAnsi="Times New Roman"/>
                <w:color w:val="auto"/>
              </w:rPr>
            </w:pPr>
            <w:r>
              <w:rPr>
                <w:rFonts w:ascii="Times New Roman" w:hAnsi="Times New Roman"/>
                <w:color w:val="auto"/>
              </w:rPr>
              <w:t>1.筛分设备</w:t>
            </w:r>
          </w:p>
          <w:p>
            <w:pPr>
              <w:adjustRightInd w:val="0"/>
              <w:snapToGrid w:val="0"/>
              <w:rPr>
                <w:rFonts w:ascii="Times New Roman" w:hAnsi="Times New Roman"/>
                <w:color w:val="auto"/>
              </w:rPr>
            </w:pPr>
            <w:r>
              <w:rPr>
                <w:rFonts w:ascii="Times New Roman" w:hAnsi="Times New Roman"/>
                <w:color w:val="auto"/>
              </w:rPr>
              <w:t>2.自动配料计量设备</w:t>
            </w:r>
          </w:p>
          <w:p>
            <w:pPr>
              <w:adjustRightInd w:val="0"/>
              <w:snapToGrid w:val="0"/>
              <w:rPr>
                <w:rFonts w:ascii="Times New Roman" w:hAnsi="Times New Roman"/>
                <w:color w:val="auto"/>
              </w:rPr>
            </w:pPr>
            <w:r>
              <w:rPr>
                <w:rFonts w:ascii="Times New Roman" w:hAnsi="Times New Roman"/>
                <w:color w:val="auto"/>
              </w:rPr>
              <w:t>3.混合设备</w:t>
            </w:r>
          </w:p>
          <w:p>
            <w:pPr>
              <w:ind w:right="-15"/>
              <w:rPr>
                <w:rFonts w:ascii="Times New Roman" w:hAnsi="Times New Roman"/>
                <w:color w:val="auto"/>
              </w:rPr>
            </w:pPr>
            <w:r>
              <w:rPr>
                <w:rFonts w:ascii="Times New Roman" w:hAnsi="Times New Roman"/>
                <w:color w:val="auto"/>
              </w:rPr>
              <w:t>4.从自动配料计量到产品包装形成连续的机械化生产线</w:t>
            </w:r>
          </w:p>
        </w:tc>
        <w:tc>
          <w:tcPr>
            <w:tcW w:w="1357" w:type="pct"/>
            <w:vAlign w:val="center"/>
          </w:tcPr>
          <w:p>
            <w:pPr>
              <w:adjustRightInd w:val="0"/>
              <w:snapToGrid w:val="0"/>
              <w:rPr>
                <w:rFonts w:ascii="Times New Roman" w:hAnsi="Times New Roman"/>
                <w:color w:val="auto"/>
              </w:rPr>
            </w:pPr>
            <w:r>
              <w:rPr>
                <w:rFonts w:ascii="Times New Roman" w:hAnsi="Times New Roman"/>
                <w:color w:val="auto"/>
              </w:rPr>
              <w:t>1.筛分设备</w:t>
            </w:r>
          </w:p>
          <w:p>
            <w:pPr>
              <w:adjustRightInd w:val="0"/>
              <w:snapToGrid w:val="0"/>
              <w:rPr>
                <w:rFonts w:ascii="Times New Roman" w:hAnsi="Times New Roman"/>
                <w:color w:val="auto"/>
              </w:rPr>
            </w:pPr>
            <w:r>
              <w:rPr>
                <w:rFonts w:ascii="Times New Roman" w:hAnsi="Times New Roman"/>
                <w:color w:val="auto"/>
              </w:rPr>
              <w:t>2.自动配料计量设备</w:t>
            </w:r>
          </w:p>
          <w:p>
            <w:pPr>
              <w:adjustRightInd w:val="0"/>
              <w:snapToGrid w:val="0"/>
              <w:rPr>
                <w:rFonts w:ascii="Times New Roman" w:hAnsi="Times New Roman"/>
                <w:color w:val="auto"/>
              </w:rPr>
            </w:pPr>
            <w:r>
              <w:rPr>
                <w:rFonts w:ascii="Times New Roman" w:hAnsi="Times New Roman"/>
                <w:color w:val="auto"/>
              </w:rPr>
              <w:t>3.混合设备</w:t>
            </w:r>
          </w:p>
          <w:p>
            <w:pPr>
              <w:adjustRightInd w:val="0"/>
              <w:snapToGrid w:val="0"/>
              <w:rPr>
                <w:rFonts w:ascii="Times New Roman" w:hAnsi="Times New Roman"/>
                <w:color w:val="auto"/>
              </w:rPr>
            </w:pPr>
            <w:r>
              <w:rPr>
                <w:rFonts w:ascii="Times New Roman" w:hAnsi="Times New Roman"/>
                <w:color w:val="auto"/>
              </w:rPr>
              <w:t>4.成品包装设备</w:t>
            </w:r>
          </w:p>
          <w:p>
            <w:pPr>
              <w:adjustRightInd w:val="0"/>
              <w:snapToGrid w:val="0"/>
              <w:rPr>
                <w:rFonts w:ascii="Times New Roman" w:hAnsi="Times New Roman"/>
                <w:color w:val="auto"/>
              </w:rPr>
            </w:pPr>
            <w:r>
              <w:rPr>
                <w:rFonts w:ascii="Times New Roman" w:hAnsi="Times New Roman"/>
                <w:color w:val="auto"/>
              </w:rPr>
              <w:t>5.成品包装计量设备</w:t>
            </w:r>
          </w:p>
          <w:p>
            <w:pPr>
              <w:ind w:right="-15"/>
              <w:jc w:val="left"/>
              <w:rPr>
                <w:rFonts w:ascii="Times New Roman" w:hAnsi="Times New Roman"/>
                <w:color w:val="auto"/>
              </w:rPr>
            </w:pPr>
            <w:r>
              <w:rPr>
                <w:rFonts w:ascii="Times New Roman" w:hAnsi="Times New Roman"/>
                <w:color w:val="auto"/>
              </w:rPr>
              <w:t>6.从自动配料计量到产品包装形成连续的机械化生产线</w:t>
            </w:r>
          </w:p>
        </w:tc>
        <w:tc>
          <w:tcPr>
            <w:tcW w:w="1048" w:type="pct"/>
            <w:vAlign w:val="center"/>
          </w:tcPr>
          <w:p>
            <w:pPr>
              <w:jc w:val="center"/>
              <w:rPr>
                <w:rFonts w:ascii="Times New Roman" w:hAnsi="Times New Roman"/>
                <w:color w:val="auto"/>
              </w:rPr>
            </w:pPr>
            <w:r>
              <w:rPr>
                <w:rFonts w:ascii="Times New Roman" w:hAnsi="Times New Roman"/>
                <w:color w:val="auto"/>
              </w:rPr>
              <w:t>按复肥种类列明需具备的生产设备；删除常规的成品包装和成品包装计量设备。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423" w:type="pct"/>
            <w:vAlign w:val="center"/>
          </w:tcPr>
          <w:p>
            <w:pPr>
              <w:spacing w:line="0" w:lineRule="atLeast"/>
              <w:jc w:val="center"/>
              <w:rPr>
                <w:rFonts w:ascii="Times New Roman" w:hAnsi="Times New Roman"/>
                <w:color w:val="auto"/>
              </w:rPr>
            </w:pPr>
            <w:r>
              <w:rPr>
                <w:rFonts w:ascii="Times New Roman" w:hAnsi="Times New Roman"/>
                <w:color w:val="auto"/>
              </w:rPr>
              <w:t>3</w:t>
            </w:r>
          </w:p>
        </w:tc>
        <w:tc>
          <w:tcPr>
            <w:tcW w:w="605" w:type="pct"/>
            <w:vAlign w:val="center"/>
          </w:tcPr>
          <w:p>
            <w:pPr>
              <w:jc w:val="center"/>
              <w:rPr>
                <w:rFonts w:ascii="Times New Roman" w:hAnsi="Times New Roman"/>
                <w:color w:val="auto"/>
              </w:rPr>
            </w:pPr>
            <w:r>
              <w:rPr>
                <w:rFonts w:ascii="Times New Roman" w:hAnsi="Times New Roman"/>
                <w:bCs/>
                <w:color w:val="auto"/>
              </w:rPr>
              <w:t>有机无机复混肥料/有机无机复混肥料、</w:t>
            </w:r>
            <w:r>
              <w:rPr>
                <w:rFonts w:ascii="Times New Roman" w:hAnsi="Times New Roman"/>
                <w:color w:val="auto"/>
              </w:rPr>
              <w:t>腐植酸有机无机复混肥料</w:t>
            </w:r>
          </w:p>
        </w:tc>
        <w:tc>
          <w:tcPr>
            <w:tcW w:w="1567" w:type="pct"/>
            <w:vAlign w:val="center"/>
          </w:tcPr>
          <w:p>
            <w:pPr>
              <w:adjustRightInd w:val="0"/>
              <w:snapToGrid w:val="0"/>
              <w:rPr>
                <w:rFonts w:ascii="Times New Roman" w:hAnsi="Times New Roman"/>
                <w:color w:val="auto"/>
              </w:rPr>
            </w:pPr>
            <w:r>
              <w:rPr>
                <w:rFonts w:ascii="Times New Roman" w:hAnsi="Times New Roman"/>
                <w:color w:val="auto"/>
              </w:rPr>
              <w:t>1.原料粉碎设备</w:t>
            </w:r>
          </w:p>
          <w:p>
            <w:pPr>
              <w:adjustRightInd w:val="0"/>
              <w:snapToGrid w:val="0"/>
              <w:rPr>
                <w:rFonts w:ascii="Times New Roman" w:hAnsi="Times New Roman"/>
                <w:color w:val="auto"/>
              </w:rPr>
            </w:pPr>
            <w:r>
              <w:rPr>
                <w:rFonts w:ascii="Times New Roman" w:hAnsi="Times New Roman"/>
                <w:color w:val="auto"/>
              </w:rPr>
              <w:t>2.配料计量设备</w:t>
            </w:r>
          </w:p>
          <w:p>
            <w:pPr>
              <w:adjustRightInd w:val="0"/>
              <w:snapToGrid w:val="0"/>
              <w:rPr>
                <w:rFonts w:ascii="Times New Roman" w:hAnsi="Times New Roman"/>
                <w:color w:val="auto"/>
              </w:rPr>
            </w:pPr>
            <w:r>
              <w:rPr>
                <w:rFonts w:ascii="Times New Roman" w:hAnsi="Times New Roman"/>
                <w:color w:val="auto"/>
              </w:rPr>
              <w:t>3.混合设备</w:t>
            </w:r>
          </w:p>
          <w:p>
            <w:pPr>
              <w:adjustRightInd w:val="0"/>
              <w:snapToGrid w:val="0"/>
              <w:rPr>
                <w:rFonts w:ascii="Times New Roman" w:hAnsi="Times New Roman"/>
                <w:color w:val="auto"/>
              </w:rPr>
            </w:pPr>
            <w:r>
              <w:rPr>
                <w:rFonts w:ascii="Times New Roman" w:hAnsi="Times New Roman"/>
                <w:color w:val="auto"/>
              </w:rPr>
              <w:t>4.造粒设备</w:t>
            </w:r>
          </w:p>
          <w:p>
            <w:pPr>
              <w:adjustRightInd w:val="0"/>
              <w:snapToGrid w:val="0"/>
              <w:rPr>
                <w:rFonts w:ascii="Times New Roman" w:hAnsi="Times New Roman"/>
                <w:color w:val="auto"/>
              </w:rPr>
            </w:pPr>
            <w:r>
              <w:rPr>
                <w:rFonts w:ascii="Times New Roman" w:hAnsi="Times New Roman"/>
                <w:color w:val="auto"/>
              </w:rPr>
              <w:t>5.干燥及温控设备</w:t>
            </w:r>
          </w:p>
          <w:p>
            <w:pPr>
              <w:adjustRightInd w:val="0"/>
              <w:snapToGrid w:val="0"/>
              <w:rPr>
                <w:rFonts w:ascii="Times New Roman" w:hAnsi="Times New Roman"/>
                <w:color w:val="auto"/>
              </w:rPr>
            </w:pPr>
            <w:r>
              <w:rPr>
                <w:rFonts w:ascii="Times New Roman" w:hAnsi="Times New Roman"/>
                <w:color w:val="auto"/>
              </w:rPr>
              <w:t>6.冷却设备</w:t>
            </w:r>
          </w:p>
          <w:p>
            <w:pPr>
              <w:adjustRightInd w:val="0"/>
              <w:snapToGrid w:val="0"/>
              <w:rPr>
                <w:rFonts w:ascii="Times New Roman" w:hAnsi="Times New Roman"/>
                <w:color w:val="auto"/>
              </w:rPr>
            </w:pPr>
            <w:r>
              <w:rPr>
                <w:rFonts w:ascii="Times New Roman" w:hAnsi="Times New Roman"/>
                <w:color w:val="auto"/>
              </w:rPr>
              <w:t>7.成品筛分设备</w:t>
            </w:r>
          </w:p>
          <w:p>
            <w:pPr>
              <w:adjustRightInd w:val="0"/>
              <w:snapToGrid w:val="0"/>
              <w:rPr>
                <w:rFonts w:ascii="Times New Roman" w:hAnsi="Times New Roman"/>
                <w:color w:val="auto"/>
              </w:rPr>
            </w:pPr>
            <w:r>
              <w:rPr>
                <w:rFonts w:ascii="Times New Roman" w:hAnsi="Times New Roman"/>
                <w:color w:val="auto"/>
              </w:rPr>
              <w:t>8.从配料计量到产品包装形成连续的机械化生产线</w:t>
            </w:r>
          </w:p>
          <w:p>
            <w:pPr>
              <w:adjustRightInd w:val="0"/>
              <w:snapToGrid w:val="0"/>
              <w:rPr>
                <w:rFonts w:ascii="Times New Roman" w:hAnsi="Times New Roman"/>
                <w:bCs/>
                <w:color w:val="auto"/>
              </w:rPr>
            </w:pPr>
            <w:r>
              <w:rPr>
                <w:rFonts w:ascii="Times New Roman" w:hAnsi="Times New Roman"/>
                <w:color w:val="auto"/>
              </w:rPr>
              <w:t>9.</w:t>
            </w:r>
            <w:r>
              <w:rPr>
                <w:rFonts w:ascii="Times New Roman" w:hAnsi="Times New Roman"/>
                <w:bCs/>
                <w:color w:val="auto"/>
              </w:rPr>
              <w:t>尾气处理设备</w:t>
            </w:r>
          </w:p>
          <w:p>
            <w:pPr>
              <w:adjustRightInd w:val="0"/>
              <w:snapToGrid w:val="0"/>
              <w:rPr>
                <w:rFonts w:ascii="Times New Roman" w:hAnsi="Times New Roman"/>
                <w:color w:val="auto"/>
              </w:rPr>
            </w:pPr>
            <w:r>
              <w:rPr>
                <w:rFonts w:ascii="Times New Roman" w:hAnsi="Times New Roman"/>
                <w:color w:val="auto"/>
              </w:rPr>
              <w:t>10.无害化处理设备设施</w:t>
            </w:r>
          </w:p>
        </w:tc>
        <w:tc>
          <w:tcPr>
            <w:tcW w:w="1357" w:type="pct"/>
            <w:vAlign w:val="center"/>
          </w:tcPr>
          <w:p>
            <w:pPr>
              <w:adjustRightInd w:val="0"/>
              <w:snapToGrid w:val="0"/>
              <w:rPr>
                <w:rFonts w:ascii="Times New Roman" w:hAnsi="Times New Roman"/>
                <w:color w:val="auto"/>
              </w:rPr>
            </w:pPr>
            <w:r>
              <w:rPr>
                <w:rFonts w:ascii="Times New Roman" w:hAnsi="Times New Roman"/>
                <w:color w:val="auto"/>
              </w:rPr>
              <w:t>1.原料粉碎设备</w:t>
            </w:r>
          </w:p>
          <w:p>
            <w:pPr>
              <w:adjustRightInd w:val="0"/>
              <w:snapToGrid w:val="0"/>
              <w:rPr>
                <w:rFonts w:ascii="Times New Roman" w:hAnsi="Times New Roman"/>
                <w:color w:val="auto"/>
              </w:rPr>
            </w:pPr>
            <w:r>
              <w:rPr>
                <w:rFonts w:ascii="Times New Roman" w:hAnsi="Times New Roman"/>
                <w:color w:val="auto"/>
              </w:rPr>
              <w:t>2.配料计量设备</w:t>
            </w:r>
          </w:p>
          <w:p>
            <w:pPr>
              <w:adjustRightInd w:val="0"/>
              <w:snapToGrid w:val="0"/>
              <w:rPr>
                <w:rFonts w:ascii="Times New Roman" w:hAnsi="Times New Roman"/>
                <w:color w:val="auto"/>
              </w:rPr>
            </w:pPr>
            <w:r>
              <w:rPr>
                <w:rFonts w:ascii="Times New Roman" w:hAnsi="Times New Roman"/>
                <w:color w:val="auto"/>
              </w:rPr>
              <w:t>3.混合设备</w:t>
            </w:r>
          </w:p>
          <w:p>
            <w:pPr>
              <w:adjustRightInd w:val="0"/>
              <w:snapToGrid w:val="0"/>
              <w:rPr>
                <w:rFonts w:ascii="Times New Roman" w:hAnsi="Times New Roman"/>
                <w:color w:val="auto"/>
              </w:rPr>
            </w:pPr>
            <w:r>
              <w:rPr>
                <w:rFonts w:ascii="Times New Roman" w:hAnsi="Times New Roman"/>
                <w:color w:val="auto"/>
              </w:rPr>
              <w:t>4.造粒设备</w:t>
            </w:r>
          </w:p>
          <w:p>
            <w:pPr>
              <w:adjustRightInd w:val="0"/>
              <w:snapToGrid w:val="0"/>
              <w:rPr>
                <w:rFonts w:ascii="Times New Roman" w:hAnsi="Times New Roman"/>
                <w:color w:val="auto"/>
              </w:rPr>
            </w:pPr>
            <w:r>
              <w:rPr>
                <w:rFonts w:ascii="Times New Roman" w:hAnsi="Times New Roman"/>
                <w:color w:val="auto"/>
              </w:rPr>
              <w:t>5.干燥设备</w:t>
            </w:r>
          </w:p>
          <w:p>
            <w:pPr>
              <w:adjustRightInd w:val="0"/>
              <w:snapToGrid w:val="0"/>
              <w:rPr>
                <w:rFonts w:ascii="Times New Roman" w:hAnsi="Times New Roman"/>
                <w:color w:val="auto"/>
              </w:rPr>
            </w:pPr>
            <w:r>
              <w:rPr>
                <w:rFonts w:ascii="Times New Roman" w:hAnsi="Times New Roman"/>
                <w:color w:val="auto"/>
              </w:rPr>
              <w:t>6.冷却设备</w:t>
            </w:r>
          </w:p>
          <w:p>
            <w:pPr>
              <w:adjustRightInd w:val="0"/>
              <w:snapToGrid w:val="0"/>
              <w:rPr>
                <w:rFonts w:ascii="Times New Roman" w:hAnsi="Times New Roman"/>
                <w:color w:val="auto"/>
              </w:rPr>
            </w:pPr>
            <w:r>
              <w:rPr>
                <w:rFonts w:ascii="Times New Roman" w:hAnsi="Times New Roman"/>
                <w:color w:val="auto"/>
              </w:rPr>
              <w:t>7.干燥机进出口风温度测定仪</w:t>
            </w:r>
          </w:p>
          <w:p>
            <w:pPr>
              <w:adjustRightInd w:val="0"/>
              <w:snapToGrid w:val="0"/>
              <w:rPr>
                <w:rFonts w:ascii="Times New Roman" w:hAnsi="Times New Roman"/>
                <w:color w:val="auto"/>
              </w:rPr>
            </w:pPr>
            <w:r>
              <w:rPr>
                <w:rFonts w:ascii="Times New Roman" w:hAnsi="Times New Roman"/>
                <w:color w:val="auto"/>
              </w:rPr>
              <w:t>8.成品筛分设备</w:t>
            </w:r>
          </w:p>
          <w:p>
            <w:pPr>
              <w:adjustRightInd w:val="0"/>
              <w:snapToGrid w:val="0"/>
              <w:rPr>
                <w:rFonts w:ascii="Times New Roman" w:hAnsi="Times New Roman"/>
                <w:color w:val="auto"/>
              </w:rPr>
            </w:pPr>
            <w:r>
              <w:rPr>
                <w:rFonts w:ascii="Times New Roman" w:hAnsi="Times New Roman"/>
                <w:color w:val="auto"/>
              </w:rPr>
              <w:t>9.成品包装设备</w:t>
            </w:r>
          </w:p>
          <w:p>
            <w:pPr>
              <w:adjustRightInd w:val="0"/>
              <w:snapToGrid w:val="0"/>
              <w:rPr>
                <w:rFonts w:ascii="Times New Roman" w:hAnsi="Times New Roman"/>
                <w:color w:val="auto"/>
              </w:rPr>
            </w:pPr>
            <w:r>
              <w:rPr>
                <w:rFonts w:ascii="Times New Roman" w:hAnsi="Times New Roman"/>
                <w:color w:val="auto"/>
              </w:rPr>
              <w:t>10.成品包装计量设备</w:t>
            </w:r>
          </w:p>
          <w:p>
            <w:pPr>
              <w:adjustRightInd w:val="0"/>
              <w:snapToGrid w:val="0"/>
              <w:rPr>
                <w:rFonts w:ascii="Times New Roman" w:hAnsi="Times New Roman"/>
                <w:color w:val="auto"/>
              </w:rPr>
            </w:pPr>
            <w:r>
              <w:rPr>
                <w:rFonts w:ascii="Times New Roman" w:hAnsi="Times New Roman"/>
                <w:color w:val="auto"/>
              </w:rPr>
              <w:t>11.从配料计量到产品包装形成连续的机械化生产线</w:t>
            </w:r>
          </w:p>
          <w:p>
            <w:pPr>
              <w:adjustRightInd w:val="0"/>
              <w:snapToGrid w:val="0"/>
              <w:rPr>
                <w:rFonts w:ascii="Times New Roman" w:hAnsi="Times New Roman"/>
                <w:color w:val="auto"/>
              </w:rPr>
            </w:pPr>
            <w:r>
              <w:rPr>
                <w:rFonts w:ascii="Times New Roman" w:hAnsi="Times New Roman"/>
                <w:color w:val="auto"/>
              </w:rPr>
              <w:t>12.气体除尘净化回收设备</w:t>
            </w:r>
          </w:p>
          <w:p>
            <w:pPr>
              <w:adjustRightInd w:val="0"/>
              <w:snapToGrid w:val="0"/>
              <w:rPr>
                <w:rFonts w:ascii="Times New Roman" w:hAnsi="Times New Roman"/>
                <w:color w:val="auto"/>
              </w:rPr>
            </w:pPr>
            <w:r>
              <w:rPr>
                <w:rFonts w:ascii="Times New Roman" w:hAnsi="Times New Roman"/>
                <w:color w:val="auto"/>
              </w:rPr>
              <w:t>13.排风设备</w:t>
            </w:r>
          </w:p>
          <w:p>
            <w:pPr>
              <w:ind w:right="-15"/>
              <w:rPr>
                <w:rFonts w:ascii="Times New Roman" w:hAnsi="Times New Roman"/>
                <w:color w:val="auto"/>
              </w:rPr>
            </w:pPr>
            <w:r>
              <w:rPr>
                <w:rFonts w:ascii="Times New Roman" w:hAnsi="Times New Roman"/>
                <w:color w:val="auto"/>
              </w:rPr>
              <w:t>14.无害化处理设备设施</w:t>
            </w:r>
          </w:p>
        </w:tc>
        <w:tc>
          <w:tcPr>
            <w:tcW w:w="1048" w:type="pct"/>
            <w:vAlign w:val="center"/>
          </w:tcPr>
          <w:p>
            <w:pPr>
              <w:jc w:val="center"/>
              <w:rPr>
                <w:rFonts w:ascii="Times New Roman" w:hAnsi="Times New Roman"/>
                <w:color w:val="auto"/>
              </w:rPr>
            </w:pPr>
            <w:r>
              <w:rPr>
                <w:rFonts w:ascii="Times New Roman" w:hAnsi="Times New Roman"/>
                <w:color w:val="auto"/>
              </w:rPr>
              <w:t>按复肥种类列明需具备的生产设备；删除成品包装和包装计量设备，干燥设备修改为干燥及温控设备，合并尾气处理设备。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423" w:type="pct"/>
            <w:vAlign w:val="center"/>
          </w:tcPr>
          <w:p>
            <w:pPr>
              <w:spacing w:line="0" w:lineRule="atLeast"/>
              <w:jc w:val="center"/>
              <w:rPr>
                <w:rFonts w:ascii="Times New Roman" w:hAnsi="Times New Roman"/>
                <w:color w:val="auto"/>
              </w:rPr>
            </w:pPr>
            <w:r>
              <w:rPr>
                <w:rFonts w:ascii="Times New Roman" w:hAnsi="Times New Roman"/>
                <w:color w:val="auto"/>
              </w:rPr>
              <w:t>4</w:t>
            </w:r>
          </w:p>
        </w:tc>
        <w:tc>
          <w:tcPr>
            <w:tcW w:w="605" w:type="pct"/>
            <w:vAlign w:val="center"/>
          </w:tcPr>
          <w:p>
            <w:pPr>
              <w:jc w:val="center"/>
              <w:rPr>
                <w:rFonts w:ascii="Times New Roman" w:hAnsi="Times New Roman"/>
                <w:color w:val="auto"/>
              </w:rPr>
            </w:pPr>
            <w:r>
              <w:rPr>
                <w:rFonts w:ascii="Times New Roman" w:hAnsi="Times New Roman"/>
                <w:bCs/>
                <w:color w:val="auto"/>
              </w:rPr>
              <w:t>有机无机掺混肥料/有机无机掺混肥料</w:t>
            </w:r>
          </w:p>
        </w:tc>
        <w:tc>
          <w:tcPr>
            <w:tcW w:w="1567" w:type="pct"/>
            <w:vAlign w:val="center"/>
          </w:tcPr>
          <w:p>
            <w:pPr>
              <w:adjustRightInd w:val="0"/>
              <w:snapToGrid w:val="0"/>
              <w:rPr>
                <w:rFonts w:ascii="Times New Roman" w:hAnsi="Times New Roman"/>
                <w:color w:val="auto"/>
              </w:rPr>
            </w:pPr>
            <w:r>
              <w:rPr>
                <w:rFonts w:ascii="Times New Roman" w:hAnsi="Times New Roman"/>
                <w:color w:val="auto"/>
              </w:rPr>
              <w:t>1.筛分设备</w:t>
            </w:r>
          </w:p>
          <w:p>
            <w:pPr>
              <w:adjustRightInd w:val="0"/>
              <w:snapToGrid w:val="0"/>
              <w:rPr>
                <w:rFonts w:ascii="Times New Roman" w:hAnsi="Times New Roman"/>
                <w:color w:val="auto"/>
              </w:rPr>
            </w:pPr>
            <w:r>
              <w:rPr>
                <w:rFonts w:ascii="Times New Roman" w:hAnsi="Times New Roman"/>
                <w:color w:val="auto"/>
              </w:rPr>
              <w:t>2.自动配料计量设备</w:t>
            </w:r>
          </w:p>
          <w:p>
            <w:pPr>
              <w:adjustRightInd w:val="0"/>
              <w:snapToGrid w:val="0"/>
              <w:rPr>
                <w:rFonts w:ascii="Times New Roman" w:hAnsi="Times New Roman"/>
                <w:color w:val="auto"/>
              </w:rPr>
            </w:pPr>
            <w:r>
              <w:rPr>
                <w:rFonts w:ascii="Times New Roman" w:hAnsi="Times New Roman"/>
                <w:color w:val="auto"/>
              </w:rPr>
              <w:t>3.混合设备</w:t>
            </w:r>
          </w:p>
          <w:p>
            <w:pPr>
              <w:ind w:right="-15"/>
              <w:jc w:val="left"/>
              <w:rPr>
                <w:rFonts w:ascii="Times New Roman" w:hAnsi="Times New Roman"/>
                <w:color w:val="auto"/>
              </w:rPr>
            </w:pPr>
            <w:r>
              <w:rPr>
                <w:rFonts w:ascii="Times New Roman" w:hAnsi="Times New Roman"/>
                <w:color w:val="auto"/>
              </w:rPr>
              <w:t>4.从自动配料计量到产品包装形成连续的机械化生产线</w:t>
            </w:r>
          </w:p>
        </w:tc>
        <w:tc>
          <w:tcPr>
            <w:tcW w:w="1357" w:type="pct"/>
            <w:vAlign w:val="center"/>
          </w:tcPr>
          <w:p>
            <w:pPr>
              <w:ind w:right="-15"/>
              <w:jc w:val="center"/>
              <w:rPr>
                <w:rFonts w:ascii="Times New Roman" w:hAnsi="Times New Roman"/>
                <w:color w:val="auto"/>
              </w:rPr>
            </w:pPr>
            <w:r>
              <w:rPr>
                <w:rFonts w:ascii="Times New Roman" w:hAnsi="Times New Roman"/>
                <w:color w:val="auto"/>
              </w:rPr>
              <w:t>——</w:t>
            </w:r>
          </w:p>
        </w:tc>
        <w:tc>
          <w:tcPr>
            <w:tcW w:w="1048" w:type="pct"/>
            <w:vAlign w:val="center"/>
          </w:tcPr>
          <w:p>
            <w:pPr>
              <w:jc w:val="center"/>
              <w:rPr>
                <w:rFonts w:ascii="Times New Roman" w:hAnsi="Times New Roman"/>
                <w:color w:val="auto"/>
              </w:rPr>
            </w:pPr>
            <w:r>
              <w:rPr>
                <w:rFonts w:ascii="Times New Roman" w:hAnsi="Times New Roman"/>
                <w:color w:val="auto"/>
              </w:rPr>
              <w:t>按复肥种类列明需具备的生产设备；新增</w:t>
            </w:r>
          </w:p>
        </w:tc>
      </w:tr>
    </w:tbl>
    <w:p>
      <w:pPr>
        <w:snapToGrid w:val="0"/>
        <w:jc w:val="center"/>
        <w:rPr>
          <w:rFonts w:ascii="Times New Roman" w:hAnsi="Times New Roman"/>
          <w:b/>
          <w:color w:val="auto"/>
        </w:rPr>
      </w:pPr>
    </w:p>
    <w:p>
      <w:pPr>
        <w:snapToGrid w:val="0"/>
        <w:jc w:val="center"/>
        <w:rPr>
          <w:rFonts w:ascii="Times New Roman" w:hAnsi="Times New Roman"/>
          <w:b/>
          <w:color w:val="auto"/>
        </w:rPr>
      </w:pPr>
      <w:r>
        <w:rPr>
          <w:rFonts w:hint="eastAsia" w:ascii="Times New Roman" w:hAnsi="Times New Roman"/>
          <w:b/>
          <w:color w:val="auto"/>
        </w:rPr>
        <w:t>表</w:t>
      </w:r>
      <w:r>
        <w:rPr>
          <w:rFonts w:ascii="Times New Roman" w:hAnsi="Times New Roman"/>
          <w:b/>
          <w:color w:val="auto"/>
        </w:rPr>
        <w:t xml:space="preserve">4 </w:t>
      </w:r>
      <w:r>
        <w:rPr>
          <w:rFonts w:hint="eastAsia" w:ascii="Times New Roman" w:hAnsi="Times New Roman"/>
          <w:b/>
          <w:color w:val="auto"/>
        </w:rPr>
        <w:t>应具备的检验检测设备变化对比表</w:t>
      </w:r>
    </w:p>
    <w:tbl>
      <w:tblPr>
        <w:tblStyle w:val="3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1176"/>
        <w:gridCol w:w="1826"/>
        <w:gridCol w:w="2060"/>
        <w:gridCol w:w="3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blHeader/>
          <w:jc w:val="center"/>
        </w:trPr>
        <w:tc>
          <w:tcPr>
            <w:tcW w:w="440" w:type="pct"/>
            <w:vAlign w:val="center"/>
          </w:tcPr>
          <w:p>
            <w:pPr>
              <w:jc w:val="center"/>
              <w:rPr>
                <w:rFonts w:ascii="Times New Roman" w:hAnsi="Times New Roman"/>
                <w:b/>
                <w:color w:val="auto"/>
              </w:rPr>
            </w:pPr>
            <w:r>
              <w:rPr>
                <w:rFonts w:ascii="Times New Roman" w:hAnsi="Times New Roman"/>
                <w:b/>
                <w:color w:val="auto"/>
              </w:rPr>
              <w:t>序号</w:t>
            </w:r>
          </w:p>
        </w:tc>
        <w:tc>
          <w:tcPr>
            <w:tcW w:w="633" w:type="pct"/>
            <w:vAlign w:val="center"/>
          </w:tcPr>
          <w:p>
            <w:pPr>
              <w:jc w:val="center"/>
              <w:rPr>
                <w:rFonts w:ascii="Times New Roman" w:hAnsi="Times New Roman"/>
                <w:b/>
                <w:color w:val="auto"/>
              </w:rPr>
            </w:pPr>
            <w:r>
              <w:rPr>
                <w:rFonts w:ascii="Times New Roman" w:hAnsi="Times New Roman"/>
                <w:b/>
                <w:color w:val="auto"/>
              </w:rPr>
              <w:t>产品单元/复肥种类</w:t>
            </w:r>
          </w:p>
          <w:p>
            <w:pPr>
              <w:jc w:val="center"/>
              <w:rPr>
                <w:rFonts w:ascii="Times New Roman" w:hAnsi="Times New Roman"/>
                <w:b/>
                <w:color w:val="auto"/>
              </w:rPr>
            </w:pPr>
            <w:r>
              <w:rPr>
                <w:rFonts w:ascii="Times New Roman" w:hAnsi="Times New Roman"/>
                <w:b/>
                <w:color w:val="auto"/>
              </w:rPr>
              <w:t>（</w:t>
            </w:r>
            <w:r>
              <w:rPr>
                <w:rFonts w:ascii="Times New Roman" w:hAnsi="Times New Roman"/>
                <w:b/>
                <w:bCs/>
                <w:color w:val="auto"/>
              </w:rPr>
              <w:t>本细则</w:t>
            </w:r>
            <w:r>
              <w:rPr>
                <w:rFonts w:ascii="Times New Roman" w:hAnsi="Times New Roman"/>
                <w:b/>
                <w:color w:val="auto"/>
              </w:rPr>
              <w:t>）</w:t>
            </w:r>
          </w:p>
        </w:tc>
        <w:tc>
          <w:tcPr>
            <w:tcW w:w="983" w:type="pct"/>
            <w:vAlign w:val="center"/>
          </w:tcPr>
          <w:p>
            <w:pPr>
              <w:jc w:val="center"/>
              <w:rPr>
                <w:rFonts w:ascii="Times New Roman" w:hAnsi="Times New Roman"/>
                <w:b/>
                <w:color w:val="auto"/>
              </w:rPr>
            </w:pPr>
            <w:r>
              <w:rPr>
                <w:rFonts w:ascii="Times New Roman" w:hAnsi="Times New Roman"/>
                <w:b/>
                <w:color w:val="auto"/>
              </w:rPr>
              <w:t>主要检测设备</w:t>
            </w:r>
          </w:p>
          <w:p>
            <w:pPr>
              <w:jc w:val="center"/>
              <w:rPr>
                <w:rFonts w:ascii="Times New Roman" w:hAnsi="Times New Roman"/>
                <w:b/>
                <w:color w:val="auto"/>
              </w:rPr>
            </w:pPr>
            <w:r>
              <w:rPr>
                <w:rFonts w:ascii="Times New Roman" w:hAnsi="Times New Roman"/>
                <w:b/>
                <w:color w:val="auto"/>
              </w:rPr>
              <w:t>（</w:t>
            </w:r>
            <w:r>
              <w:rPr>
                <w:rFonts w:ascii="Times New Roman" w:hAnsi="Times New Roman"/>
                <w:b/>
                <w:bCs/>
                <w:color w:val="auto"/>
              </w:rPr>
              <w:t>本细则</w:t>
            </w:r>
            <w:r>
              <w:rPr>
                <w:rFonts w:ascii="Times New Roman" w:hAnsi="Times New Roman"/>
                <w:b/>
                <w:color w:val="auto"/>
              </w:rPr>
              <w:t>）</w:t>
            </w:r>
          </w:p>
        </w:tc>
        <w:tc>
          <w:tcPr>
            <w:tcW w:w="1109" w:type="pct"/>
            <w:vAlign w:val="center"/>
          </w:tcPr>
          <w:p>
            <w:pPr>
              <w:jc w:val="center"/>
              <w:rPr>
                <w:rFonts w:ascii="Times New Roman" w:hAnsi="Times New Roman"/>
                <w:b/>
                <w:color w:val="auto"/>
              </w:rPr>
            </w:pPr>
            <w:r>
              <w:rPr>
                <w:rFonts w:ascii="Times New Roman" w:hAnsi="Times New Roman"/>
                <w:b/>
                <w:color w:val="auto"/>
              </w:rPr>
              <w:t>主要检测设备</w:t>
            </w:r>
          </w:p>
          <w:p>
            <w:pPr>
              <w:jc w:val="center"/>
              <w:rPr>
                <w:rFonts w:ascii="Times New Roman" w:hAnsi="Times New Roman"/>
                <w:b/>
                <w:color w:val="auto"/>
              </w:rPr>
            </w:pPr>
            <w:r>
              <w:rPr>
                <w:rFonts w:ascii="Times New Roman" w:hAnsi="Times New Roman"/>
                <w:b/>
                <w:color w:val="auto"/>
              </w:rPr>
              <w:t>（上一版细则）</w:t>
            </w:r>
          </w:p>
        </w:tc>
        <w:tc>
          <w:tcPr>
            <w:tcW w:w="1832" w:type="pct"/>
            <w:vAlign w:val="center"/>
          </w:tcPr>
          <w:p>
            <w:pPr>
              <w:jc w:val="center"/>
              <w:rPr>
                <w:rFonts w:ascii="Times New Roman" w:hAnsi="Times New Roman"/>
                <w:b/>
                <w:color w:val="auto"/>
              </w:rPr>
            </w:pPr>
            <w:r>
              <w:rPr>
                <w:rFonts w:ascii="Times New Roman" w:hAnsi="Times New Roman"/>
                <w:b/>
                <w:color w:val="auto"/>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440" w:type="pct"/>
            <w:vAlign w:val="center"/>
          </w:tcPr>
          <w:p>
            <w:pPr>
              <w:jc w:val="center"/>
              <w:rPr>
                <w:rFonts w:ascii="Times New Roman" w:hAnsi="Times New Roman"/>
                <w:b/>
                <w:color w:val="auto"/>
              </w:rPr>
            </w:pPr>
            <w:r>
              <w:rPr>
                <w:rFonts w:ascii="Times New Roman" w:hAnsi="Times New Roman"/>
                <w:color w:val="auto"/>
              </w:rPr>
              <w:t>1</w:t>
            </w:r>
          </w:p>
        </w:tc>
        <w:tc>
          <w:tcPr>
            <w:tcW w:w="633" w:type="pct"/>
            <w:vAlign w:val="center"/>
          </w:tcPr>
          <w:p>
            <w:pPr>
              <w:jc w:val="center"/>
              <w:rPr>
                <w:rFonts w:ascii="Times New Roman" w:hAnsi="Times New Roman"/>
                <w:b/>
                <w:color w:val="auto"/>
              </w:rPr>
            </w:pPr>
            <w:r>
              <w:rPr>
                <w:rFonts w:ascii="Times New Roman" w:hAnsi="Times New Roman"/>
                <w:color w:val="auto"/>
              </w:rPr>
              <w:t>复合肥料</w:t>
            </w:r>
          </w:p>
        </w:tc>
        <w:tc>
          <w:tcPr>
            <w:tcW w:w="983" w:type="pct"/>
            <w:vAlign w:val="center"/>
          </w:tcPr>
          <w:p>
            <w:pPr>
              <w:jc w:val="center"/>
              <w:rPr>
                <w:rFonts w:ascii="Times New Roman" w:hAnsi="Times New Roman"/>
                <w:b/>
                <w:color w:val="auto"/>
              </w:rPr>
            </w:pPr>
            <w:r>
              <w:rPr>
                <w:rFonts w:ascii="Times New Roman" w:hAnsi="Times New Roman"/>
                <w:color w:val="auto"/>
              </w:rPr>
              <w:t>按照复合肥料的复肥种类进行设置</w:t>
            </w:r>
          </w:p>
        </w:tc>
        <w:tc>
          <w:tcPr>
            <w:tcW w:w="1109" w:type="pct"/>
            <w:vAlign w:val="center"/>
          </w:tcPr>
          <w:p>
            <w:pPr>
              <w:jc w:val="center"/>
              <w:rPr>
                <w:rFonts w:ascii="Times New Roman" w:hAnsi="Times New Roman"/>
                <w:b/>
                <w:color w:val="auto"/>
              </w:rPr>
            </w:pPr>
            <w:r>
              <w:rPr>
                <w:rFonts w:ascii="Times New Roman" w:hAnsi="Times New Roman"/>
                <w:color w:val="auto"/>
              </w:rPr>
              <w:t>按照复合肥料单元进行设置</w:t>
            </w:r>
          </w:p>
        </w:tc>
        <w:tc>
          <w:tcPr>
            <w:tcW w:w="1832" w:type="pct"/>
            <w:vAlign w:val="center"/>
          </w:tcPr>
          <w:p>
            <w:pPr>
              <w:jc w:val="center"/>
              <w:rPr>
                <w:rFonts w:ascii="Times New Roman" w:hAnsi="Times New Roman"/>
                <w:b/>
                <w:color w:val="auto"/>
              </w:rPr>
            </w:pPr>
            <w:r>
              <w:rPr>
                <w:rFonts w:ascii="Times New Roman" w:hAnsi="Times New Roman"/>
                <w:bCs/>
                <w:color w:val="auto"/>
              </w:rPr>
              <w:t>根据GB/T 15063—2020 复合肥料、</w:t>
            </w:r>
            <w:r>
              <w:rPr>
                <w:rFonts w:ascii="Times New Roman" w:hAnsi="Times New Roman"/>
                <w:color w:val="auto"/>
              </w:rPr>
              <w:t>GB 38400—2019 肥料中有毒有害物质的限量要求</w:t>
            </w:r>
            <w:r>
              <w:rPr>
                <w:rFonts w:ascii="Times New Roman" w:hAnsi="Times New Roman"/>
                <w:bCs/>
                <w:color w:val="auto"/>
              </w:rPr>
              <w:t>标准要求新增了检验方法对应的检验设备。</w:t>
            </w:r>
            <w:r>
              <w:rPr>
                <w:rFonts w:ascii="Times New Roman" w:hAnsi="Times New Roman"/>
                <w:color w:val="auto"/>
              </w:rPr>
              <w:t>允许企业委托型式检验。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440" w:type="pct"/>
            <w:vAlign w:val="center"/>
          </w:tcPr>
          <w:p>
            <w:pPr>
              <w:jc w:val="center"/>
              <w:rPr>
                <w:rFonts w:ascii="Times New Roman" w:hAnsi="Times New Roman"/>
                <w:b/>
                <w:color w:val="auto"/>
              </w:rPr>
            </w:pPr>
            <w:r>
              <w:rPr>
                <w:rFonts w:ascii="Times New Roman" w:hAnsi="Times New Roman"/>
                <w:color w:val="auto"/>
              </w:rPr>
              <w:t>2</w:t>
            </w:r>
          </w:p>
        </w:tc>
        <w:tc>
          <w:tcPr>
            <w:tcW w:w="633" w:type="pct"/>
            <w:vAlign w:val="center"/>
          </w:tcPr>
          <w:p>
            <w:pPr>
              <w:jc w:val="center"/>
              <w:rPr>
                <w:rFonts w:ascii="Times New Roman" w:hAnsi="Times New Roman"/>
                <w:b/>
                <w:color w:val="auto"/>
              </w:rPr>
            </w:pPr>
            <w:r>
              <w:rPr>
                <w:rFonts w:ascii="Times New Roman" w:hAnsi="Times New Roman"/>
                <w:color w:val="auto"/>
              </w:rPr>
              <w:t>掺混肥料</w:t>
            </w:r>
          </w:p>
        </w:tc>
        <w:tc>
          <w:tcPr>
            <w:tcW w:w="983" w:type="pct"/>
            <w:vAlign w:val="center"/>
          </w:tcPr>
          <w:p>
            <w:pPr>
              <w:jc w:val="center"/>
              <w:rPr>
                <w:rFonts w:ascii="Times New Roman" w:hAnsi="Times New Roman"/>
                <w:b/>
                <w:color w:val="auto"/>
              </w:rPr>
            </w:pPr>
            <w:r>
              <w:rPr>
                <w:rFonts w:ascii="Times New Roman" w:hAnsi="Times New Roman"/>
                <w:color w:val="auto"/>
              </w:rPr>
              <w:t>按照掺混肥料的复肥种类单元进行设置</w:t>
            </w:r>
          </w:p>
        </w:tc>
        <w:tc>
          <w:tcPr>
            <w:tcW w:w="1109" w:type="pct"/>
            <w:vAlign w:val="center"/>
          </w:tcPr>
          <w:p>
            <w:pPr>
              <w:jc w:val="center"/>
              <w:rPr>
                <w:rFonts w:ascii="Times New Roman" w:hAnsi="Times New Roman"/>
                <w:b/>
                <w:color w:val="auto"/>
              </w:rPr>
            </w:pPr>
            <w:r>
              <w:rPr>
                <w:rFonts w:ascii="Times New Roman" w:hAnsi="Times New Roman"/>
                <w:color w:val="auto"/>
              </w:rPr>
              <w:t>按照掺混肥料单元进行设置</w:t>
            </w:r>
          </w:p>
        </w:tc>
        <w:tc>
          <w:tcPr>
            <w:tcW w:w="1832" w:type="pct"/>
            <w:vAlign w:val="center"/>
          </w:tcPr>
          <w:p>
            <w:pPr>
              <w:jc w:val="center"/>
              <w:rPr>
                <w:rFonts w:ascii="Times New Roman" w:hAnsi="Times New Roman"/>
                <w:b/>
                <w:color w:val="auto"/>
              </w:rPr>
            </w:pPr>
            <w:r>
              <w:rPr>
                <w:rFonts w:ascii="Times New Roman" w:hAnsi="Times New Roman"/>
                <w:bCs/>
                <w:color w:val="auto"/>
              </w:rPr>
              <w:t>根据GB/T 21633—2020 掺混肥料（BB肥）、</w:t>
            </w:r>
            <w:r>
              <w:rPr>
                <w:rFonts w:ascii="Times New Roman" w:hAnsi="Times New Roman"/>
                <w:color w:val="auto"/>
              </w:rPr>
              <w:t>GB 38400—2019 肥料中有毒有害物质的限量要求</w:t>
            </w:r>
            <w:r>
              <w:rPr>
                <w:rFonts w:ascii="Times New Roman" w:hAnsi="Times New Roman"/>
                <w:bCs/>
                <w:color w:val="auto"/>
              </w:rPr>
              <w:t>标准要求新增了检验方法对应的检验设备。</w:t>
            </w:r>
            <w:r>
              <w:rPr>
                <w:rFonts w:ascii="Times New Roman" w:hAnsi="Times New Roman"/>
                <w:color w:val="auto"/>
              </w:rPr>
              <w:t>允许企业委托型式检验。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440" w:type="pct"/>
            <w:vAlign w:val="center"/>
          </w:tcPr>
          <w:p>
            <w:pPr>
              <w:jc w:val="center"/>
              <w:rPr>
                <w:rFonts w:ascii="Times New Roman" w:hAnsi="Times New Roman"/>
                <w:b/>
                <w:color w:val="auto"/>
              </w:rPr>
            </w:pPr>
            <w:r>
              <w:rPr>
                <w:rFonts w:ascii="Times New Roman" w:hAnsi="Times New Roman"/>
                <w:color w:val="auto"/>
              </w:rPr>
              <w:t>3</w:t>
            </w:r>
          </w:p>
        </w:tc>
        <w:tc>
          <w:tcPr>
            <w:tcW w:w="633" w:type="pct"/>
            <w:vAlign w:val="center"/>
          </w:tcPr>
          <w:p>
            <w:pPr>
              <w:jc w:val="center"/>
              <w:rPr>
                <w:rFonts w:ascii="Times New Roman" w:hAnsi="Times New Roman"/>
                <w:b/>
                <w:color w:val="auto"/>
              </w:rPr>
            </w:pPr>
            <w:r>
              <w:rPr>
                <w:rFonts w:ascii="Times New Roman" w:hAnsi="Times New Roman"/>
                <w:color w:val="auto"/>
              </w:rPr>
              <w:t>有机无机复混肥料</w:t>
            </w:r>
          </w:p>
        </w:tc>
        <w:tc>
          <w:tcPr>
            <w:tcW w:w="983" w:type="pct"/>
            <w:vAlign w:val="center"/>
          </w:tcPr>
          <w:p>
            <w:pPr>
              <w:jc w:val="center"/>
              <w:rPr>
                <w:rFonts w:ascii="Times New Roman" w:hAnsi="Times New Roman"/>
                <w:b/>
                <w:color w:val="auto"/>
              </w:rPr>
            </w:pPr>
            <w:r>
              <w:rPr>
                <w:rFonts w:ascii="Times New Roman" w:hAnsi="Times New Roman"/>
                <w:color w:val="auto"/>
              </w:rPr>
              <w:t>按照有机无机复混肥料的复肥种类进行设置</w:t>
            </w:r>
          </w:p>
        </w:tc>
        <w:tc>
          <w:tcPr>
            <w:tcW w:w="1109" w:type="pct"/>
            <w:vAlign w:val="center"/>
          </w:tcPr>
          <w:p>
            <w:pPr>
              <w:jc w:val="center"/>
              <w:rPr>
                <w:rFonts w:ascii="Times New Roman" w:hAnsi="Times New Roman"/>
                <w:b/>
                <w:color w:val="auto"/>
              </w:rPr>
            </w:pPr>
            <w:r>
              <w:rPr>
                <w:rFonts w:ascii="Times New Roman" w:hAnsi="Times New Roman"/>
                <w:color w:val="auto"/>
              </w:rPr>
              <w:t>按照有机-无机复混肥料单元进行设置</w:t>
            </w:r>
          </w:p>
        </w:tc>
        <w:tc>
          <w:tcPr>
            <w:tcW w:w="1832" w:type="pct"/>
            <w:vAlign w:val="center"/>
          </w:tcPr>
          <w:p>
            <w:pPr>
              <w:jc w:val="center"/>
              <w:rPr>
                <w:rFonts w:ascii="Times New Roman" w:hAnsi="Times New Roman"/>
                <w:b/>
                <w:color w:val="auto"/>
              </w:rPr>
            </w:pPr>
            <w:r>
              <w:rPr>
                <w:rFonts w:ascii="Times New Roman" w:hAnsi="Times New Roman"/>
                <w:bCs/>
                <w:color w:val="auto"/>
              </w:rPr>
              <w:t>根据GB/T 18877—2020 有机无机复混肥料（含第1号修改单）、</w:t>
            </w:r>
            <w:r>
              <w:rPr>
                <w:rFonts w:ascii="Times New Roman" w:hAnsi="Times New Roman"/>
                <w:color w:val="auto"/>
              </w:rPr>
              <w:t>GB 38400—2019 肥料中有毒有害物质的限量要求</w:t>
            </w:r>
            <w:r>
              <w:rPr>
                <w:rFonts w:ascii="Times New Roman" w:hAnsi="Times New Roman"/>
                <w:bCs/>
                <w:color w:val="auto"/>
              </w:rPr>
              <w:t>标准要求新增了检验方法对应的检验设备。</w:t>
            </w:r>
            <w:r>
              <w:rPr>
                <w:rFonts w:ascii="Times New Roman" w:hAnsi="Times New Roman"/>
                <w:color w:val="auto"/>
              </w:rPr>
              <w:t>允许企业委托型式检验。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440" w:type="pct"/>
            <w:vAlign w:val="center"/>
          </w:tcPr>
          <w:p>
            <w:pPr>
              <w:jc w:val="center"/>
              <w:rPr>
                <w:rFonts w:ascii="Times New Roman" w:hAnsi="Times New Roman"/>
                <w:b/>
                <w:color w:val="auto"/>
              </w:rPr>
            </w:pPr>
            <w:r>
              <w:rPr>
                <w:rFonts w:ascii="Times New Roman" w:hAnsi="Times New Roman"/>
                <w:color w:val="auto"/>
              </w:rPr>
              <w:t>4</w:t>
            </w:r>
          </w:p>
        </w:tc>
        <w:tc>
          <w:tcPr>
            <w:tcW w:w="633" w:type="pct"/>
            <w:vAlign w:val="center"/>
          </w:tcPr>
          <w:p>
            <w:pPr>
              <w:jc w:val="center"/>
              <w:rPr>
                <w:rFonts w:ascii="Times New Roman" w:hAnsi="Times New Roman"/>
                <w:b/>
                <w:color w:val="auto"/>
              </w:rPr>
            </w:pPr>
            <w:r>
              <w:rPr>
                <w:rFonts w:ascii="Times New Roman" w:hAnsi="Times New Roman"/>
                <w:color w:val="auto"/>
              </w:rPr>
              <w:t>有机无机掺混肥料</w:t>
            </w:r>
          </w:p>
        </w:tc>
        <w:tc>
          <w:tcPr>
            <w:tcW w:w="983" w:type="pct"/>
            <w:vAlign w:val="center"/>
          </w:tcPr>
          <w:p>
            <w:pPr>
              <w:jc w:val="center"/>
              <w:rPr>
                <w:rFonts w:ascii="Times New Roman" w:hAnsi="Times New Roman"/>
                <w:b/>
                <w:color w:val="auto"/>
              </w:rPr>
            </w:pPr>
            <w:r>
              <w:rPr>
                <w:rFonts w:ascii="Times New Roman" w:hAnsi="Times New Roman"/>
                <w:color w:val="auto"/>
              </w:rPr>
              <w:t>按照有机无机复混肥料的复肥种类进行设置</w:t>
            </w:r>
          </w:p>
        </w:tc>
        <w:tc>
          <w:tcPr>
            <w:tcW w:w="1109" w:type="pct"/>
            <w:vAlign w:val="center"/>
          </w:tcPr>
          <w:p>
            <w:pPr>
              <w:jc w:val="center"/>
              <w:rPr>
                <w:rFonts w:ascii="Times New Roman" w:hAnsi="Times New Roman"/>
                <w:b/>
                <w:color w:val="auto"/>
              </w:rPr>
            </w:pPr>
            <w:r>
              <w:rPr>
                <w:rFonts w:ascii="Times New Roman" w:hAnsi="Times New Roman"/>
                <w:color w:val="auto"/>
              </w:rPr>
              <w:t>按照有机-无机复混肥料单元进行设置</w:t>
            </w:r>
          </w:p>
        </w:tc>
        <w:tc>
          <w:tcPr>
            <w:tcW w:w="1832" w:type="pct"/>
            <w:vAlign w:val="center"/>
          </w:tcPr>
          <w:p>
            <w:pPr>
              <w:jc w:val="center"/>
              <w:rPr>
                <w:rFonts w:ascii="Times New Roman" w:hAnsi="Times New Roman"/>
                <w:b/>
                <w:color w:val="auto"/>
              </w:rPr>
            </w:pPr>
            <w:r>
              <w:rPr>
                <w:rFonts w:ascii="Times New Roman" w:hAnsi="Times New Roman"/>
                <w:bCs/>
                <w:color w:val="auto"/>
              </w:rPr>
              <w:t>新增</w:t>
            </w:r>
          </w:p>
        </w:tc>
      </w:tr>
    </w:tbl>
    <w:p>
      <w:pPr>
        <w:adjustRightInd w:val="0"/>
        <w:snapToGrid w:val="0"/>
        <w:spacing w:line="360" w:lineRule="auto"/>
        <w:rPr>
          <w:rFonts w:ascii="Times New Roman" w:hAnsi="Times New Roman"/>
          <w:color w:val="auto"/>
          <w:sz w:val="24"/>
          <w:szCs w:val="24"/>
        </w:rPr>
      </w:pPr>
    </w:p>
    <w:sectPr>
      <w:pgSz w:w="11906" w:h="16838"/>
      <w:pgMar w:top="1418" w:right="1418" w:bottom="1418"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Verdana">
    <w:altName w:val="Ubuntu"/>
    <w:panose1 w:val="020B0604030504040204"/>
    <w:charset w:val="00"/>
    <w:family w:val="swiss"/>
    <w:pitch w:val="default"/>
    <w:sig w:usb0="00000000" w:usb1="00000000" w:usb2="00000010" w:usb3="00000000" w:csb0="2000019F" w:csb1="00000000"/>
  </w:font>
  <w:font w:name="Tahoma">
    <w:altName w:val="Droid Sans"/>
    <w:panose1 w:val="020B0604030504040204"/>
    <w:charset w:val="00"/>
    <w:family w:val="swiss"/>
    <w:pitch w:val="default"/>
    <w:sig w:usb0="00000000" w:usb1="00000000" w:usb2="00000029" w:usb3="00000000" w:csb0="200101FF" w:csb1="20280000"/>
  </w:font>
  <w:font w:name="汉鼎简书宋二">
    <w:altName w:val="方正书宋_GBK"/>
    <w:panose1 w:val="00000000000000000000"/>
    <w:charset w:val="86"/>
    <w:family w:val="modern"/>
    <w:pitch w:val="default"/>
    <w:sig w:usb0="00000000" w:usb1="00000000" w:usb2="00000000" w:usb3="00000000" w:csb0="0000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altName w:val="黑体"/>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center"/>
    </w:pPr>
  </w:p>
  <w:p>
    <w:pPr>
      <w:pStyle w:val="24"/>
      <w:snapToGrid w:val="0"/>
      <w:jc w:val="center"/>
      <w:rPr>
        <w:rFonts w:hAnsi="宋体"/>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snapToGrid w:val="0"/>
      <w:jc w:val="center"/>
      <w:rPr>
        <w:rFonts w:ascii="宋体" w:hAnsi="宋体"/>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snapToGrid w:val="0"/>
      <w:jc w:val="center"/>
      <w:rPr>
        <w:rFonts w:ascii="宋体" w:hAnsi="宋体"/>
      </w:rPr>
    </w:pPr>
    <w:r>
      <w:rPr>
        <w:rFonts w:ascii="宋体" w:hAnsi="宋体"/>
      </w:rPr>
      <w:fldChar w:fldCharType="begin"/>
    </w:r>
    <w:r>
      <w:instrText xml:space="preserve">PAGE  \* MERGEFORMAT</w:instrText>
    </w:r>
    <w:r>
      <w:fldChar w:fldCharType="separate"/>
    </w:r>
    <w:r>
      <w:rPr>
        <w:rFonts w:ascii="宋体" w:hAnsi="宋体"/>
      </w:rPr>
      <w:t>41</w:t>
    </w:r>
    <w:r>
      <w:rPr>
        <w:rFonts w:ascii="宋体" w:hAnsi="宋体"/>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center" w:pos="4535"/>
        <w:tab w:val="clear" w:pos="4153"/>
        <w:tab w:val="clear" w:pos="8306"/>
      </w:tabs>
      <w:snapToGrid w:val="0"/>
      <w:rPr>
        <w:rFonts w:hAnsi="宋体"/>
        <w:sz w:val="21"/>
        <w:szCs w:val="21"/>
      </w:rPr>
    </w:pPr>
    <w:r>
      <w:rPr>
        <w:rFonts w:hint="eastAsia"/>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5570" cy="139065"/>
              <wp:effectExtent l="0" t="0" r="0" b="0"/>
              <wp:wrapNone/>
              <wp:docPr id="102" name="文本框 4"/>
              <wp:cNvGraphicFramePr/>
              <a:graphic xmlns:a="http://schemas.openxmlformats.org/drawingml/2006/main">
                <a:graphicData uri="http://schemas.microsoft.com/office/word/2010/wordprocessingShape">
                  <wps:wsp>
                    <wps:cNvSpPr txBox="true"/>
                    <wps:spPr>
                      <a:xfrm>
                        <a:off x="0" y="0"/>
                        <a:ext cx="116205" cy="139700"/>
                      </a:xfrm>
                      <a:prstGeom prst="rect">
                        <a:avLst/>
                      </a:prstGeom>
                      <a:noFill/>
                      <a:ln cap="flat">
                        <a:noFill/>
                      </a:ln>
                      <a:effectLst/>
                    </wps:spPr>
                    <wps:txbx>
                      <w:txbxContent>
                        <w:p>
                          <w:pPr>
                            <w:pStyle w:val="24"/>
                            <w:snapToGrid w:val="0"/>
                            <w:jc w:val="center"/>
                            <w:rPr>
                              <w:rFonts w:hAnsi="宋体"/>
                            </w:rPr>
                          </w:pPr>
                          <w:r>
                            <w:rPr>
                              <w:rStyle w:val="4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Style w:val="41"/>
                            </w:rPr>
                            <w:t>58</w:t>
                          </w:r>
                          <w:r>
                            <w:rPr>
                              <w:rFonts w:ascii="Times New Roman" w:hAnsi="Times New Roman"/>
                              <w:sz w:val="21"/>
                              <w:szCs w:val="21"/>
                            </w:rPr>
                            <w:fldChar w:fldCharType="end"/>
                          </w:r>
                        </w:p>
                      </w:txbxContent>
                    </wps:txbx>
                    <wps:bodyPr rot="0" spcFirstLastPara="0" vertOverflow="overflow" horzOverflow="overflow" vert="horz" wrap="none" lIns="0" tIns="0" rIns="0" bIns="0" numCol="1" spcCol="0" rtlCol="0" fromWordArt="false" anchor="ctr" anchorCtr="false" forceAA="false" upright="true" compatLnSpc="false">
                      <a:spAutoFit/>
                    </wps:bodyPr>
                  </wps:wsp>
                </a:graphicData>
              </a:graphic>
            </wp:anchor>
          </w:drawing>
        </mc:Choice>
        <mc:Fallback>
          <w:pict>
            <v:shape id="文本框 4" o:spid="_x0000_s1026" o:spt="202" type="#_x0000_t202" style="position:absolute;left:0pt;margin-top:0pt;height:10.95pt;width:9.1pt;mso-position-horizontal:center;mso-position-horizontal-relative:margin;mso-wrap-style:none;z-index:251659264;v-text-anchor:middle;mso-width-relative:page;mso-height-relative:page;" filled="f" stroked="f" coordsize="21600,21600" o:gfxdata="UEsFBgAAAAAAAAAAAAAAAAAAAAAAAFBLAwQKAAAAAACHTuJAAAAAAAAAAAAAAAAABAAAAGRycy9Q&#10;SwMEFAAAAAgAh07iQIcPZ7rSAAAAAwEAAA8AAABkcnMvZG93bnJldi54bWxNj8FOwzAQRO9I/Qdr&#10;K3GjdnJAbcimQhVIXCml4ujGSxw1Xkexkwa+HpcLXFYazWjmbbmdXScmGkLrGSFbKRDEtTctNwiH&#10;t+e7NYgQNRvdeSaELwqwrRY3pS6Mv/ArTfvYiFTCodAINsa+kDLUlpwOK98TJ+/TD07HJIdGmkFf&#10;UrnrZK7UvXS65bRgdU87S/V5PzqEcFZH9fL99Pjxvhl31vl5OkiLeLvM1AOISHP8C8MVP6FDlZhO&#10;fmQTRIeQHom/9+qtcxAnhDzbgKxK+Z+9+gFQSwMEFAAAAAgAh07iQNYX19UrAgAAOwQAAA4AAABk&#10;cnMvZTJvRG9jLnhtbK1TzY7TMBC+I/EOlu80SYEFqqarsqsipIpdqSDOrmM3kRzbst0m5QHgDThx&#10;4c5z9Tn47CZdBJwQF3vG8+OZ+b6ZX/etIgfhfGN0SYtJTonQ3FSN3pX0w/vVk5eU+MB0xZTRoqRH&#10;4en14vGjeWdnYmpqoyrhCJJoP+tsSesQ7CzLPK9Fy/zEWKFhlMa1LEB1u6xyrEP2VmXTPL/KOuMq&#10;6wwX3uP19myki5RfSsHDnZReBKJKitpCOl06t/HMFnM22zlm64YPZbB/qKJljcanl1S3LDCyd80f&#10;qdqGO+ONDBNu2sxI2XCRekA3Rf5bN5uaWZF6wXC8vYzJ/7+0/N3h3pGmAnb5lBLNWoB0+vrl9O3H&#10;6ftn8iwOqLN+Br+NhWfoX5u+pMHtxWjyeI+t99K18UZTBC6Y9vEyYdEHwvFYFFfT/DklHKbi6asX&#10;eUIgewi2zoc3wrQkCiV1ADDNlR3WPqAWuI4u8S9tVo1SCUSlCWdgkFTsHHKxIUbp6C0SIYZEsatz&#10;6VEK/bYfWt2a6ohOnTmTxVu+alDMmvlwzxzYgc7A+HCHQyrTldQMEiW1cZ/+9h79ARqslHRgW0k1&#10;1oES9VYDzEjMUXCjsB0FvW9vDOhbYJMsTyICXFCjKJ1pP2INlvEPyZRHYqY5fispD25UbgL0wYyF&#10;4mK5vOh765pdjfAELAE3LQtrvbF8dInz83a5D5h4AiJO7TwqoBIVMDThM2xTXIFf9eT1sPOLn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BYA&#10;AABkcnMvUEsBAhQAFAAAAAgAh07iQIcPZ7rSAAAAAwEAAA8AAAAAAAAAAQAgAAAAOAAAAGRycy9k&#10;b3ducmV2LnhtbFBLAQIUABQAAAAIAIdO4kDWF9fVKwIAADsEAAAOAAAAAAAAAAEAIAAAADcBAABk&#10;cnMvZTJvRG9jLnhtbFBLBQYAAAAABgAGAFkBAADUBQAAAAA=&#10;">
              <v:fill on="f" focussize="0,0"/>
              <v:stroke on="f"/>
              <v:imagedata o:title=""/>
              <o:lock v:ext="edit" aspectratio="f"/>
              <v:textbox inset="0mm,0mm,0mm,0mm" style="mso-fit-shape-to-text:t;">
                <w:txbxContent>
                  <w:p>
                    <w:pPr>
                      <w:pStyle w:val="24"/>
                      <w:snapToGrid w:val="0"/>
                      <w:jc w:val="center"/>
                      <w:rPr>
                        <w:rFonts w:hAnsi="宋体"/>
                      </w:rPr>
                    </w:pPr>
                    <w:r>
                      <w:rPr>
                        <w:rStyle w:val="4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Style w:val="41"/>
                      </w:rPr>
                      <w:t>58</w:t>
                    </w:r>
                    <w:r>
                      <w:rPr>
                        <w:rFonts w:ascii="Times New Roman" w:hAnsi="Times New Roman"/>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snapToGrid w:val="0"/>
      <w:ind w:firstLine="210"/>
      <w:jc w:val="left"/>
      <w:rPr>
        <w:rFonts w:hAnsi="宋体"/>
        <w:sz w:val="21"/>
        <w:szCs w:val="21"/>
      </w:rPr>
    </w:pPr>
    <w:r>
      <w:rPr>
        <w:rStyle w:val="41"/>
      </w:rPr>
      <w:fldChar w:fldCharType="begin"/>
    </w:r>
    <w:r>
      <w:instrText xml:space="preserve">PAGE  \* MERGEFORMAT</w:instrText>
    </w:r>
    <w:r>
      <w:fldChar w:fldCharType="separate"/>
    </w:r>
    <w:r>
      <w:rPr>
        <w:rStyle w:val="41"/>
        <w:rFonts w:hAnsi="宋体"/>
      </w:rPr>
      <w:t>18</w:t>
    </w:r>
    <w:r>
      <w:rPr>
        <w:rFonts w:hAnsi="宋体"/>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single" w:color="000000" w:sz="6" w:space="0"/>
      </w:pBdr>
      <w:snapToGrid w:val="0"/>
      <w:rPr>
        <w:rFonts w:hAnsi="宋体"/>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snapToGrid w:val="0"/>
      <w:jc w:val="both"/>
      <w:rPr>
        <w:rFonts w:hAnsi="宋体"/>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snapToGrid w:val="0"/>
      <w:rPr>
        <w:rFonts w:hAnsi="宋体"/>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DF482F"/>
    <w:multiLevelType w:val="singleLevel"/>
    <w:tmpl w:val="FFDF482F"/>
    <w:lvl w:ilvl="0" w:tentative="0">
      <w:start w:val="2"/>
      <w:numFmt w:val="chineseCounting"/>
      <w:suff w:val="space"/>
      <w:lvlText w:val="第%1条"/>
      <w:lvlJc w:val="left"/>
      <w:rPr>
        <w:rFonts w:hint="eastAsia"/>
      </w:rPr>
    </w:lvl>
  </w:abstractNum>
  <w:abstractNum w:abstractNumId="1">
    <w:nsid w:val="0805F2E8"/>
    <w:multiLevelType w:val="singleLevel"/>
    <w:tmpl w:val="0805F2E8"/>
    <w:lvl w:ilvl="0" w:tentative="0">
      <w:start w:val="2"/>
      <w:numFmt w:val="decimal"/>
      <w:suff w:val="space"/>
      <w:lvlText w:val="%1."/>
      <w:lvlJc w:val="left"/>
    </w:lvl>
  </w:abstractNum>
  <w:abstractNum w:abstractNumId="2">
    <w:nsid w:val="45267B5E"/>
    <w:multiLevelType w:val="multilevel"/>
    <w:tmpl w:val="45267B5E"/>
    <w:lvl w:ilvl="0" w:tentative="0">
      <w:start w:val="24"/>
      <w:numFmt w:val="decimal"/>
      <w:lvlText w:val="%1）"/>
      <w:lvlJc w:val="left"/>
      <w:pPr>
        <w:ind w:left="430" w:hanging="43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hideSpellingError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nforcement="0"/>
  <w:defaultTabStop w:val="0"/>
  <w:displayHorizontalDrawingGridEvery w:val="0"/>
  <w:displayVerticalDrawingGridEvery w:val="2"/>
  <w:characterSpacingControl w:val="compressPunctuation"/>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zNjBkOTgyNWQ1YTMxYzM3MzMwNWFiODNmOWIzYWMifQ=="/>
  </w:docVars>
  <w:rsids>
    <w:rsidRoot w:val="00995AFB"/>
    <w:rsid w:val="0000050F"/>
    <w:rsid w:val="00006E21"/>
    <w:rsid w:val="00007424"/>
    <w:rsid w:val="0000749E"/>
    <w:rsid w:val="00010CEA"/>
    <w:rsid w:val="000129C3"/>
    <w:rsid w:val="00015CA6"/>
    <w:rsid w:val="000165FD"/>
    <w:rsid w:val="000200EB"/>
    <w:rsid w:val="000228B8"/>
    <w:rsid w:val="00024630"/>
    <w:rsid w:val="00032DF1"/>
    <w:rsid w:val="00035A0E"/>
    <w:rsid w:val="00035CAF"/>
    <w:rsid w:val="00035D10"/>
    <w:rsid w:val="00042FEC"/>
    <w:rsid w:val="00045C2D"/>
    <w:rsid w:val="00047326"/>
    <w:rsid w:val="00051AEA"/>
    <w:rsid w:val="00054D01"/>
    <w:rsid w:val="0005538D"/>
    <w:rsid w:val="0005688E"/>
    <w:rsid w:val="0005781E"/>
    <w:rsid w:val="00064961"/>
    <w:rsid w:val="000659C2"/>
    <w:rsid w:val="00071EEB"/>
    <w:rsid w:val="00073509"/>
    <w:rsid w:val="000756AD"/>
    <w:rsid w:val="000760EA"/>
    <w:rsid w:val="000843F2"/>
    <w:rsid w:val="00086F28"/>
    <w:rsid w:val="0009154C"/>
    <w:rsid w:val="000918A6"/>
    <w:rsid w:val="000A0809"/>
    <w:rsid w:val="000A1E12"/>
    <w:rsid w:val="000A674A"/>
    <w:rsid w:val="000B029D"/>
    <w:rsid w:val="000B090C"/>
    <w:rsid w:val="000B3233"/>
    <w:rsid w:val="000B3AC2"/>
    <w:rsid w:val="000B564C"/>
    <w:rsid w:val="000B5ADB"/>
    <w:rsid w:val="000B5C8B"/>
    <w:rsid w:val="000B6A80"/>
    <w:rsid w:val="000C065E"/>
    <w:rsid w:val="000C315B"/>
    <w:rsid w:val="000C4014"/>
    <w:rsid w:val="000C413B"/>
    <w:rsid w:val="000C638C"/>
    <w:rsid w:val="000C6692"/>
    <w:rsid w:val="000C7B5F"/>
    <w:rsid w:val="000D0636"/>
    <w:rsid w:val="000D1346"/>
    <w:rsid w:val="000D2659"/>
    <w:rsid w:val="000D2D2A"/>
    <w:rsid w:val="000D3BD9"/>
    <w:rsid w:val="000D5F0A"/>
    <w:rsid w:val="000E0FE1"/>
    <w:rsid w:val="000E30EF"/>
    <w:rsid w:val="000F04DD"/>
    <w:rsid w:val="000F17C0"/>
    <w:rsid w:val="000F1D74"/>
    <w:rsid w:val="00105D49"/>
    <w:rsid w:val="0012040C"/>
    <w:rsid w:val="00120F29"/>
    <w:rsid w:val="00122108"/>
    <w:rsid w:val="0012742D"/>
    <w:rsid w:val="00127613"/>
    <w:rsid w:val="001305DB"/>
    <w:rsid w:val="00130D5F"/>
    <w:rsid w:val="00132915"/>
    <w:rsid w:val="0013439C"/>
    <w:rsid w:val="00134422"/>
    <w:rsid w:val="001345FD"/>
    <w:rsid w:val="00134B3D"/>
    <w:rsid w:val="00134BFA"/>
    <w:rsid w:val="001356AC"/>
    <w:rsid w:val="00136CFE"/>
    <w:rsid w:val="00144DFD"/>
    <w:rsid w:val="001462C1"/>
    <w:rsid w:val="00146CAF"/>
    <w:rsid w:val="00147481"/>
    <w:rsid w:val="00147BB5"/>
    <w:rsid w:val="00147D8E"/>
    <w:rsid w:val="001507AB"/>
    <w:rsid w:val="00153245"/>
    <w:rsid w:val="0015341F"/>
    <w:rsid w:val="001547BE"/>
    <w:rsid w:val="00154C63"/>
    <w:rsid w:val="00155453"/>
    <w:rsid w:val="0015665E"/>
    <w:rsid w:val="00156EA5"/>
    <w:rsid w:val="00161D74"/>
    <w:rsid w:val="00163485"/>
    <w:rsid w:val="00165019"/>
    <w:rsid w:val="00166A6E"/>
    <w:rsid w:val="00167783"/>
    <w:rsid w:val="00167C35"/>
    <w:rsid w:val="00167E26"/>
    <w:rsid w:val="00170D2B"/>
    <w:rsid w:val="00172843"/>
    <w:rsid w:val="00175A24"/>
    <w:rsid w:val="0017607D"/>
    <w:rsid w:val="0017701B"/>
    <w:rsid w:val="00182890"/>
    <w:rsid w:val="00184724"/>
    <w:rsid w:val="00184B78"/>
    <w:rsid w:val="00185B3B"/>
    <w:rsid w:val="00185F41"/>
    <w:rsid w:val="001863AE"/>
    <w:rsid w:val="0019296B"/>
    <w:rsid w:val="00192C7E"/>
    <w:rsid w:val="00193950"/>
    <w:rsid w:val="00194150"/>
    <w:rsid w:val="001941E3"/>
    <w:rsid w:val="00194BC2"/>
    <w:rsid w:val="001A1AE2"/>
    <w:rsid w:val="001A40C1"/>
    <w:rsid w:val="001A7D26"/>
    <w:rsid w:val="001B1CE7"/>
    <w:rsid w:val="001B27B6"/>
    <w:rsid w:val="001C5253"/>
    <w:rsid w:val="001D2BB8"/>
    <w:rsid w:val="001D38D5"/>
    <w:rsid w:val="001D4532"/>
    <w:rsid w:val="001D6C7A"/>
    <w:rsid w:val="001E0278"/>
    <w:rsid w:val="001E3999"/>
    <w:rsid w:val="001E3E97"/>
    <w:rsid w:val="001E46D7"/>
    <w:rsid w:val="001E4C1F"/>
    <w:rsid w:val="001F19B5"/>
    <w:rsid w:val="001F3476"/>
    <w:rsid w:val="001F353F"/>
    <w:rsid w:val="001F35E0"/>
    <w:rsid w:val="001F3820"/>
    <w:rsid w:val="001F6900"/>
    <w:rsid w:val="001F694C"/>
    <w:rsid w:val="00200B46"/>
    <w:rsid w:val="002044CB"/>
    <w:rsid w:val="00205D0A"/>
    <w:rsid w:val="0021085B"/>
    <w:rsid w:val="00212F48"/>
    <w:rsid w:val="002136CF"/>
    <w:rsid w:val="0021698A"/>
    <w:rsid w:val="002200E2"/>
    <w:rsid w:val="00220FBB"/>
    <w:rsid w:val="002224A6"/>
    <w:rsid w:val="00224864"/>
    <w:rsid w:val="0022495C"/>
    <w:rsid w:val="00225082"/>
    <w:rsid w:val="00233B30"/>
    <w:rsid w:val="00240FE9"/>
    <w:rsid w:val="0024592B"/>
    <w:rsid w:val="002459FE"/>
    <w:rsid w:val="00246410"/>
    <w:rsid w:val="0024798E"/>
    <w:rsid w:val="00251344"/>
    <w:rsid w:val="002521F5"/>
    <w:rsid w:val="00252BE8"/>
    <w:rsid w:val="0025300F"/>
    <w:rsid w:val="002558D2"/>
    <w:rsid w:val="00257D40"/>
    <w:rsid w:val="00260194"/>
    <w:rsid w:val="0026292E"/>
    <w:rsid w:val="00263C73"/>
    <w:rsid w:val="00264498"/>
    <w:rsid w:val="0026470E"/>
    <w:rsid w:val="00264A65"/>
    <w:rsid w:val="00264CEE"/>
    <w:rsid w:val="00266620"/>
    <w:rsid w:val="002673FF"/>
    <w:rsid w:val="00273AE0"/>
    <w:rsid w:val="00277BA6"/>
    <w:rsid w:val="002862AC"/>
    <w:rsid w:val="00290BCC"/>
    <w:rsid w:val="00292434"/>
    <w:rsid w:val="00295082"/>
    <w:rsid w:val="00297188"/>
    <w:rsid w:val="002972ED"/>
    <w:rsid w:val="002A48E6"/>
    <w:rsid w:val="002A52BF"/>
    <w:rsid w:val="002A760F"/>
    <w:rsid w:val="002B165A"/>
    <w:rsid w:val="002B37C6"/>
    <w:rsid w:val="002C0679"/>
    <w:rsid w:val="002C106A"/>
    <w:rsid w:val="002C62A8"/>
    <w:rsid w:val="002C696F"/>
    <w:rsid w:val="002C7C31"/>
    <w:rsid w:val="002D3EB4"/>
    <w:rsid w:val="002D790E"/>
    <w:rsid w:val="002D7D4C"/>
    <w:rsid w:val="002E1683"/>
    <w:rsid w:val="002E2D8C"/>
    <w:rsid w:val="002E4A77"/>
    <w:rsid w:val="002E6BEE"/>
    <w:rsid w:val="002F1D54"/>
    <w:rsid w:val="002F2252"/>
    <w:rsid w:val="002F3EA0"/>
    <w:rsid w:val="00306920"/>
    <w:rsid w:val="00317AFE"/>
    <w:rsid w:val="00322436"/>
    <w:rsid w:val="00323259"/>
    <w:rsid w:val="00323936"/>
    <w:rsid w:val="003279FD"/>
    <w:rsid w:val="00331950"/>
    <w:rsid w:val="003362D9"/>
    <w:rsid w:val="00340C1B"/>
    <w:rsid w:val="00344BC9"/>
    <w:rsid w:val="00352466"/>
    <w:rsid w:val="0035261C"/>
    <w:rsid w:val="00354054"/>
    <w:rsid w:val="003553AF"/>
    <w:rsid w:val="00356B9E"/>
    <w:rsid w:val="00357FBF"/>
    <w:rsid w:val="00360FE4"/>
    <w:rsid w:val="00361908"/>
    <w:rsid w:val="00361EA4"/>
    <w:rsid w:val="0036711B"/>
    <w:rsid w:val="00370594"/>
    <w:rsid w:val="003729A0"/>
    <w:rsid w:val="00372BF3"/>
    <w:rsid w:val="00380238"/>
    <w:rsid w:val="00380BFA"/>
    <w:rsid w:val="003840FA"/>
    <w:rsid w:val="00384AB8"/>
    <w:rsid w:val="00386C17"/>
    <w:rsid w:val="00391195"/>
    <w:rsid w:val="00391915"/>
    <w:rsid w:val="00392F22"/>
    <w:rsid w:val="0039640F"/>
    <w:rsid w:val="003A023E"/>
    <w:rsid w:val="003A17C1"/>
    <w:rsid w:val="003A30EC"/>
    <w:rsid w:val="003A4087"/>
    <w:rsid w:val="003B0426"/>
    <w:rsid w:val="003B29BF"/>
    <w:rsid w:val="003B3E51"/>
    <w:rsid w:val="003B4458"/>
    <w:rsid w:val="003B4D72"/>
    <w:rsid w:val="003B5DFC"/>
    <w:rsid w:val="003B7EC8"/>
    <w:rsid w:val="003C0C02"/>
    <w:rsid w:val="003C1311"/>
    <w:rsid w:val="003C3674"/>
    <w:rsid w:val="003C37EB"/>
    <w:rsid w:val="003C3A59"/>
    <w:rsid w:val="003C41D4"/>
    <w:rsid w:val="003C5F24"/>
    <w:rsid w:val="003D2A80"/>
    <w:rsid w:val="003D420F"/>
    <w:rsid w:val="003D6834"/>
    <w:rsid w:val="003D6BBD"/>
    <w:rsid w:val="003D75BE"/>
    <w:rsid w:val="003E175A"/>
    <w:rsid w:val="003E33A3"/>
    <w:rsid w:val="003E5638"/>
    <w:rsid w:val="003E73AB"/>
    <w:rsid w:val="003F3323"/>
    <w:rsid w:val="003F3CE9"/>
    <w:rsid w:val="003F4C4F"/>
    <w:rsid w:val="0040190B"/>
    <w:rsid w:val="00401EB0"/>
    <w:rsid w:val="00402B2C"/>
    <w:rsid w:val="00404314"/>
    <w:rsid w:val="00410C45"/>
    <w:rsid w:val="00411126"/>
    <w:rsid w:val="004122E9"/>
    <w:rsid w:val="00412DA4"/>
    <w:rsid w:val="004133F5"/>
    <w:rsid w:val="00413D11"/>
    <w:rsid w:val="00417F63"/>
    <w:rsid w:val="00420436"/>
    <w:rsid w:val="004214DE"/>
    <w:rsid w:val="00422840"/>
    <w:rsid w:val="004268BE"/>
    <w:rsid w:val="004275A1"/>
    <w:rsid w:val="00427C06"/>
    <w:rsid w:val="00430548"/>
    <w:rsid w:val="004320EA"/>
    <w:rsid w:val="00434015"/>
    <w:rsid w:val="0043524B"/>
    <w:rsid w:val="00443CE7"/>
    <w:rsid w:val="00443F43"/>
    <w:rsid w:val="00444F10"/>
    <w:rsid w:val="004465EB"/>
    <w:rsid w:val="004478A7"/>
    <w:rsid w:val="00453F23"/>
    <w:rsid w:val="00454EE8"/>
    <w:rsid w:val="00460620"/>
    <w:rsid w:val="004609E3"/>
    <w:rsid w:val="00460E8B"/>
    <w:rsid w:val="00462AC6"/>
    <w:rsid w:val="00464BC5"/>
    <w:rsid w:val="00465A92"/>
    <w:rsid w:val="00471013"/>
    <w:rsid w:val="004719C6"/>
    <w:rsid w:val="00474DFE"/>
    <w:rsid w:val="00475C50"/>
    <w:rsid w:val="00480389"/>
    <w:rsid w:val="00481A23"/>
    <w:rsid w:val="004821B0"/>
    <w:rsid w:val="00484634"/>
    <w:rsid w:val="00485C11"/>
    <w:rsid w:val="00485D7B"/>
    <w:rsid w:val="00486E00"/>
    <w:rsid w:val="00486E6F"/>
    <w:rsid w:val="00487E6F"/>
    <w:rsid w:val="004908C3"/>
    <w:rsid w:val="0049131E"/>
    <w:rsid w:val="00492CDC"/>
    <w:rsid w:val="0049506D"/>
    <w:rsid w:val="00497525"/>
    <w:rsid w:val="004A2503"/>
    <w:rsid w:val="004A27C3"/>
    <w:rsid w:val="004A6BC1"/>
    <w:rsid w:val="004B0B51"/>
    <w:rsid w:val="004B30C4"/>
    <w:rsid w:val="004B35EA"/>
    <w:rsid w:val="004B4E5F"/>
    <w:rsid w:val="004B5257"/>
    <w:rsid w:val="004B58AA"/>
    <w:rsid w:val="004B5FAF"/>
    <w:rsid w:val="004C6EED"/>
    <w:rsid w:val="004C7513"/>
    <w:rsid w:val="004D1396"/>
    <w:rsid w:val="004D2BC3"/>
    <w:rsid w:val="004D2DCC"/>
    <w:rsid w:val="004E1698"/>
    <w:rsid w:val="004E2C3F"/>
    <w:rsid w:val="004E3782"/>
    <w:rsid w:val="004E3C97"/>
    <w:rsid w:val="004E3F50"/>
    <w:rsid w:val="004E46DA"/>
    <w:rsid w:val="004E57AE"/>
    <w:rsid w:val="004E5EF0"/>
    <w:rsid w:val="004E633C"/>
    <w:rsid w:val="004E744A"/>
    <w:rsid w:val="004E7CA7"/>
    <w:rsid w:val="004F039A"/>
    <w:rsid w:val="004F31EC"/>
    <w:rsid w:val="004F5BD2"/>
    <w:rsid w:val="004F749B"/>
    <w:rsid w:val="004F7C85"/>
    <w:rsid w:val="00502B73"/>
    <w:rsid w:val="00506F7F"/>
    <w:rsid w:val="005078D6"/>
    <w:rsid w:val="005079BD"/>
    <w:rsid w:val="005105B3"/>
    <w:rsid w:val="005110ED"/>
    <w:rsid w:val="00513E74"/>
    <w:rsid w:val="00514309"/>
    <w:rsid w:val="00514BDB"/>
    <w:rsid w:val="00514FC6"/>
    <w:rsid w:val="005175C4"/>
    <w:rsid w:val="00520A89"/>
    <w:rsid w:val="005272E7"/>
    <w:rsid w:val="00530B9F"/>
    <w:rsid w:val="00531AB0"/>
    <w:rsid w:val="00531E78"/>
    <w:rsid w:val="0053464D"/>
    <w:rsid w:val="005354BE"/>
    <w:rsid w:val="005365C9"/>
    <w:rsid w:val="00537293"/>
    <w:rsid w:val="0054058A"/>
    <w:rsid w:val="00546325"/>
    <w:rsid w:val="00550011"/>
    <w:rsid w:val="00551D66"/>
    <w:rsid w:val="005524F3"/>
    <w:rsid w:val="00556572"/>
    <w:rsid w:val="0056088D"/>
    <w:rsid w:val="00563FB2"/>
    <w:rsid w:val="00565AE4"/>
    <w:rsid w:val="0056787C"/>
    <w:rsid w:val="00571410"/>
    <w:rsid w:val="00571732"/>
    <w:rsid w:val="00572F62"/>
    <w:rsid w:val="0057321C"/>
    <w:rsid w:val="00576C37"/>
    <w:rsid w:val="005857AC"/>
    <w:rsid w:val="00585A53"/>
    <w:rsid w:val="00585D5A"/>
    <w:rsid w:val="00587061"/>
    <w:rsid w:val="0059246E"/>
    <w:rsid w:val="0059417C"/>
    <w:rsid w:val="00594765"/>
    <w:rsid w:val="00596EA3"/>
    <w:rsid w:val="005A0E29"/>
    <w:rsid w:val="005A12C2"/>
    <w:rsid w:val="005A6ECC"/>
    <w:rsid w:val="005B1683"/>
    <w:rsid w:val="005B1A3F"/>
    <w:rsid w:val="005B207A"/>
    <w:rsid w:val="005B2E52"/>
    <w:rsid w:val="005B3681"/>
    <w:rsid w:val="005B4D5E"/>
    <w:rsid w:val="005B767F"/>
    <w:rsid w:val="005C5E21"/>
    <w:rsid w:val="005D04EC"/>
    <w:rsid w:val="005D16A0"/>
    <w:rsid w:val="005D741C"/>
    <w:rsid w:val="005E572B"/>
    <w:rsid w:val="005E6C5E"/>
    <w:rsid w:val="005F1298"/>
    <w:rsid w:val="005F39EC"/>
    <w:rsid w:val="005F5600"/>
    <w:rsid w:val="005F77B3"/>
    <w:rsid w:val="00602B93"/>
    <w:rsid w:val="00603036"/>
    <w:rsid w:val="0060588C"/>
    <w:rsid w:val="0060612E"/>
    <w:rsid w:val="006104F0"/>
    <w:rsid w:val="00610D5D"/>
    <w:rsid w:val="00612A04"/>
    <w:rsid w:val="006139EB"/>
    <w:rsid w:val="00614FFA"/>
    <w:rsid w:val="0061599C"/>
    <w:rsid w:val="00615D4D"/>
    <w:rsid w:val="00622E3D"/>
    <w:rsid w:val="006241A6"/>
    <w:rsid w:val="00624351"/>
    <w:rsid w:val="0062442E"/>
    <w:rsid w:val="00624996"/>
    <w:rsid w:val="00625995"/>
    <w:rsid w:val="006315EC"/>
    <w:rsid w:val="00633F64"/>
    <w:rsid w:val="00634392"/>
    <w:rsid w:val="0063694D"/>
    <w:rsid w:val="00640575"/>
    <w:rsid w:val="00641E9A"/>
    <w:rsid w:val="00644646"/>
    <w:rsid w:val="006503D4"/>
    <w:rsid w:val="00650920"/>
    <w:rsid w:val="00652EB1"/>
    <w:rsid w:val="00653E0D"/>
    <w:rsid w:val="00656A0B"/>
    <w:rsid w:val="00657131"/>
    <w:rsid w:val="00657AE0"/>
    <w:rsid w:val="00657FC3"/>
    <w:rsid w:val="00657FD3"/>
    <w:rsid w:val="00660392"/>
    <w:rsid w:val="00662374"/>
    <w:rsid w:val="00663C4E"/>
    <w:rsid w:val="00666C0B"/>
    <w:rsid w:val="00666E9B"/>
    <w:rsid w:val="0066749D"/>
    <w:rsid w:val="006675C1"/>
    <w:rsid w:val="00670D8D"/>
    <w:rsid w:val="00672A75"/>
    <w:rsid w:val="00673461"/>
    <w:rsid w:val="00673552"/>
    <w:rsid w:val="00673EB9"/>
    <w:rsid w:val="00675E06"/>
    <w:rsid w:val="006768A7"/>
    <w:rsid w:val="00677E9F"/>
    <w:rsid w:val="00682941"/>
    <w:rsid w:val="006833A5"/>
    <w:rsid w:val="00683E32"/>
    <w:rsid w:val="00684C5A"/>
    <w:rsid w:val="00687361"/>
    <w:rsid w:val="00690B93"/>
    <w:rsid w:val="0069254D"/>
    <w:rsid w:val="00693F89"/>
    <w:rsid w:val="006975E9"/>
    <w:rsid w:val="006978A0"/>
    <w:rsid w:val="006A3200"/>
    <w:rsid w:val="006A59B6"/>
    <w:rsid w:val="006B28DD"/>
    <w:rsid w:val="006B35BA"/>
    <w:rsid w:val="006B5A2F"/>
    <w:rsid w:val="006B6106"/>
    <w:rsid w:val="006B68F6"/>
    <w:rsid w:val="006B7201"/>
    <w:rsid w:val="006C0F4B"/>
    <w:rsid w:val="006C3432"/>
    <w:rsid w:val="006C3F7C"/>
    <w:rsid w:val="006C49DA"/>
    <w:rsid w:val="006C53EE"/>
    <w:rsid w:val="006C6FC2"/>
    <w:rsid w:val="006D012B"/>
    <w:rsid w:val="006D12BB"/>
    <w:rsid w:val="006D3172"/>
    <w:rsid w:val="006D3768"/>
    <w:rsid w:val="006D4883"/>
    <w:rsid w:val="006D6441"/>
    <w:rsid w:val="006D7126"/>
    <w:rsid w:val="006E16B3"/>
    <w:rsid w:val="006E2E53"/>
    <w:rsid w:val="006E45B7"/>
    <w:rsid w:val="006E6357"/>
    <w:rsid w:val="006F03E3"/>
    <w:rsid w:val="006F20C4"/>
    <w:rsid w:val="006F2EB9"/>
    <w:rsid w:val="006F48CE"/>
    <w:rsid w:val="006F7405"/>
    <w:rsid w:val="006F7B8B"/>
    <w:rsid w:val="00701A50"/>
    <w:rsid w:val="0070308D"/>
    <w:rsid w:val="0070332C"/>
    <w:rsid w:val="0070710A"/>
    <w:rsid w:val="0071198A"/>
    <w:rsid w:val="00711E1E"/>
    <w:rsid w:val="00712541"/>
    <w:rsid w:val="00714E86"/>
    <w:rsid w:val="00717E95"/>
    <w:rsid w:val="00726C38"/>
    <w:rsid w:val="00727B4D"/>
    <w:rsid w:val="00727D4D"/>
    <w:rsid w:val="00727E8F"/>
    <w:rsid w:val="00734E16"/>
    <w:rsid w:val="00743227"/>
    <w:rsid w:val="007449DA"/>
    <w:rsid w:val="00744E14"/>
    <w:rsid w:val="007502D9"/>
    <w:rsid w:val="00751B27"/>
    <w:rsid w:val="00752C40"/>
    <w:rsid w:val="0076228F"/>
    <w:rsid w:val="00762840"/>
    <w:rsid w:val="00764BBC"/>
    <w:rsid w:val="00771DA5"/>
    <w:rsid w:val="0077222A"/>
    <w:rsid w:val="0077398F"/>
    <w:rsid w:val="00776BA5"/>
    <w:rsid w:val="00776EA8"/>
    <w:rsid w:val="0078253C"/>
    <w:rsid w:val="00783FFF"/>
    <w:rsid w:val="007862FD"/>
    <w:rsid w:val="00786D0A"/>
    <w:rsid w:val="00786D68"/>
    <w:rsid w:val="007870F7"/>
    <w:rsid w:val="007871B2"/>
    <w:rsid w:val="00790014"/>
    <w:rsid w:val="00791523"/>
    <w:rsid w:val="00791918"/>
    <w:rsid w:val="007944D7"/>
    <w:rsid w:val="00797280"/>
    <w:rsid w:val="007A4631"/>
    <w:rsid w:val="007A4654"/>
    <w:rsid w:val="007A68B5"/>
    <w:rsid w:val="007A7C9B"/>
    <w:rsid w:val="007B02F1"/>
    <w:rsid w:val="007B0650"/>
    <w:rsid w:val="007B0E8A"/>
    <w:rsid w:val="007B29B8"/>
    <w:rsid w:val="007B6F5B"/>
    <w:rsid w:val="007B7556"/>
    <w:rsid w:val="007B7C57"/>
    <w:rsid w:val="007C3E73"/>
    <w:rsid w:val="007C4872"/>
    <w:rsid w:val="007C64E1"/>
    <w:rsid w:val="007C694A"/>
    <w:rsid w:val="007C6D1D"/>
    <w:rsid w:val="007C70DD"/>
    <w:rsid w:val="007C7273"/>
    <w:rsid w:val="007D0ACE"/>
    <w:rsid w:val="007D3F18"/>
    <w:rsid w:val="007D79C6"/>
    <w:rsid w:val="007D7B56"/>
    <w:rsid w:val="007D7BF8"/>
    <w:rsid w:val="007D7FD9"/>
    <w:rsid w:val="007E3AFA"/>
    <w:rsid w:val="007E760B"/>
    <w:rsid w:val="007E76C4"/>
    <w:rsid w:val="007E778E"/>
    <w:rsid w:val="007F0E2A"/>
    <w:rsid w:val="007F1945"/>
    <w:rsid w:val="007F1E7B"/>
    <w:rsid w:val="007F232F"/>
    <w:rsid w:val="007F23E3"/>
    <w:rsid w:val="007F50AC"/>
    <w:rsid w:val="007F6AAE"/>
    <w:rsid w:val="007F6CCB"/>
    <w:rsid w:val="007F6E49"/>
    <w:rsid w:val="0080056A"/>
    <w:rsid w:val="00801588"/>
    <w:rsid w:val="00801F55"/>
    <w:rsid w:val="00802212"/>
    <w:rsid w:val="008058C6"/>
    <w:rsid w:val="008067E8"/>
    <w:rsid w:val="00807852"/>
    <w:rsid w:val="0081161B"/>
    <w:rsid w:val="00813630"/>
    <w:rsid w:val="0081506C"/>
    <w:rsid w:val="00821C47"/>
    <w:rsid w:val="00824591"/>
    <w:rsid w:val="00827670"/>
    <w:rsid w:val="00833D5B"/>
    <w:rsid w:val="00837D8A"/>
    <w:rsid w:val="0084026A"/>
    <w:rsid w:val="00840E68"/>
    <w:rsid w:val="008433BA"/>
    <w:rsid w:val="00847A5D"/>
    <w:rsid w:val="00851212"/>
    <w:rsid w:val="00851E6C"/>
    <w:rsid w:val="00854F51"/>
    <w:rsid w:val="00854FE5"/>
    <w:rsid w:val="00856927"/>
    <w:rsid w:val="008570C1"/>
    <w:rsid w:val="00860D32"/>
    <w:rsid w:val="008613D9"/>
    <w:rsid w:val="0086484C"/>
    <w:rsid w:val="0086596C"/>
    <w:rsid w:val="0086675B"/>
    <w:rsid w:val="0087096B"/>
    <w:rsid w:val="0088011D"/>
    <w:rsid w:val="008803C8"/>
    <w:rsid w:val="00880DFC"/>
    <w:rsid w:val="00881848"/>
    <w:rsid w:val="00883F71"/>
    <w:rsid w:val="008908F1"/>
    <w:rsid w:val="00890E65"/>
    <w:rsid w:val="008916D4"/>
    <w:rsid w:val="008919D8"/>
    <w:rsid w:val="00892226"/>
    <w:rsid w:val="008930C6"/>
    <w:rsid w:val="00895C2E"/>
    <w:rsid w:val="00896BCF"/>
    <w:rsid w:val="008A00FE"/>
    <w:rsid w:val="008A1C34"/>
    <w:rsid w:val="008A5F5D"/>
    <w:rsid w:val="008A67A2"/>
    <w:rsid w:val="008A7D1A"/>
    <w:rsid w:val="008B188D"/>
    <w:rsid w:val="008B28F1"/>
    <w:rsid w:val="008B3715"/>
    <w:rsid w:val="008B3ECE"/>
    <w:rsid w:val="008B609C"/>
    <w:rsid w:val="008C544F"/>
    <w:rsid w:val="008C5547"/>
    <w:rsid w:val="008D0D91"/>
    <w:rsid w:val="008D30A2"/>
    <w:rsid w:val="008D49F6"/>
    <w:rsid w:val="008D4B9B"/>
    <w:rsid w:val="008D52DD"/>
    <w:rsid w:val="008D5331"/>
    <w:rsid w:val="008E3683"/>
    <w:rsid w:val="008E475D"/>
    <w:rsid w:val="008E6196"/>
    <w:rsid w:val="008F008D"/>
    <w:rsid w:val="008F07FD"/>
    <w:rsid w:val="008F57E1"/>
    <w:rsid w:val="008F7326"/>
    <w:rsid w:val="00900114"/>
    <w:rsid w:val="00901FE5"/>
    <w:rsid w:val="00902F34"/>
    <w:rsid w:val="00903048"/>
    <w:rsid w:val="00907BED"/>
    <w:rsid w:val="00910C68"/>
    <w:rsid w:val="009119E6"/>
    <w:rsid w:val="00911ECF"/>
    <w:rsid w:val="00912322"/>
    <w:rsid w:val="00912784"/>
    <w:rsid w:val="00912CAE"/>
    <w:rsid w:val="009160E2"/>
    <w:rsid w:val="00917E21"/>
    <w:rsid w:val="009203D6"/>
    <w:rsid w:val="00921CE4"/>
    <w:rsid w:val="00924C9A"/>
    <w:rsid w:val="009273B1"/>
    <w:rsid w:val="00932B05"/>
    <w:rsid w:val="00934334"/>
    <w:rsid w:val="0093582E"/>
    <w:rsid w:val="009375BD"/>
    <w:rsid w:val="00937C59"/>
    <w:rsid w:val="00940AE9"/>
    <w:rsid w:val="00943C8C"/>
    <w:rsid w:val="00950EF8"/>
    <w:rsid w:val="009524FE"/>
    <w:rsid w:val="00952782"/>
    <w:rsid w:val="009549F0"/>
    <w:rsid w:val="009560EC"/>
    <w:rsid w:val="00956B5F"/>
    <w:rsid w:val="00956E15"/>
    <w:rsid w:val="0096016C"/>
    <w:rsid w:val="0096171B"/>
    <w:rsid w:val="0096210B"/>
    <w:rsid w:val="009651CE"/>
    <w:rsid w:val="00967315"/>
    <w:rsid w:val="00971DC2"/>
    <w:rsid w:val="0097455E"/>
    <w:rsid w:val="00975B00"/>
    <w:rsid w:val="00980F3B"/>
    <w:rsid w:val="00993047"/>
    <w:rsid w:val="00993342"/>
    <w:rsid w:val="009945E3"/>
    <w:rsid w:val="00994AE2"/>
    <w:rsid w:val="00995AFB"/>
    <w:rsid w:val="00996147"/>
    <w:rsid w:val="009974FC"/>
    <w:rsid w:val="009A38B3"/>
    <w:rsid w:val="009A5DC5"/>
    <w:rsid w:val="009B123D"/>
    <w:rsid w:val="009B1368"/>
    <w:rsid w:val="009B6B7D"/>
    <w:rsid w:val="009C3C54"/>
    <w:rsid w:val="009C4120"/>
    <w:rsid w:val="009C7A98"/>
    <w:rsid w:val="009D18F7"/>
    <w:rsid w:val="009E4F7E"/>
    <w:rsid w:val="009E77C9"/>
    <w:rsid w:val="009F17C9"/>
    <w:rsid w:val="009F335D"/>
    <w:rsid w:val="009F372C"/>
    <w:rsid w:val="009F7099"/>
    <w:rsid w:val="009F7628"/>
    <w:rsid w:val="00A00AC7"/>
    <w:rsid w:val="00A0142A"/>
    <w:rsid w:val="00A027DB"/>
    <w:rsid w:val="00A03181"/>
    <w:rsid w:val="00A031CE"/>
    <w:rsid w:val="00A04CD5"/>
    <w:rsid w:val="00A074F8"/>
    <w:rsid w:val="00A11F7C"/>
    <w:rsid w:val="00A14D3F"/>
    <w:rsid w:val="00A17363"/>
    <w:rsid w:val="00A216A1"/>
    <w:rsid w:val="00A229FD"/>
    <w:rsid w:val="00A24485"/>
    <w:rsid w:val="00A2514C"/>
    <w:rsid w:val="00A26AE2"/>
    <w:rsid w:val="00A27562"/>
    <w:rsid w:val="00A3005E"/>
    <w:rsid w:val="00A35BC2"/>
    <w:rsid w:val="00A37015"/>
    <w:rsid w:val="00A456A7"/>
    <w:rsid w:val="00A478A5"/>
    <w:rsid w:val="00A50A46"/>
    <w:rsid w:val="00A519EB"/>
    <w:rsid w:val="00A57B44"/>
    <w:rsid w:val="00A6237A"/>
    <w:rsid w:val="00A641FC"/>
    <w:rsid w:val="00A64FA9"/>
    <w:rsid w:val="00A6637B"/>
    <w:rsid w:val="00A716C0"/>
    <w:rsid w:val="00A71D87"/>
    <w:rsid w:val="00A73A84"/>
    <w:rsid w:val="00A803BF"/>
    <w:rsid w:val="00A81952"/>
    <w:rsid w:val="00A847AA"/>
    <w:rsid w:val="00A84B07"/>
    <w:rsid w:val="00A84C63"/>
    <w:rsid w:val="00A85615"/>
    <w:rsid w:val="00A87EB9"/>
    <w:rsid w:val="00A91CAA"/>
    <w:rsid w:val="00A92F78"/>
    <w:rsid w:val="00A93EAE"/>
    <w:rsid w:val="00A94063"/>
    <w:rsid w:val="00AA0E7E"/>
    <w:rsid w:val="00AA4497"/>
    <w:rsid w:val="00AA78E3"/>
    <w:rsid w:val="00AB39FD"/>
    <w:rsid w:val="00AB3D4C"/>
    <w:rsid w:val="00AB4C6A"/>
    <w:rsid w:val="00AB5329"/>
    <w:rsid w:val="00AB54C7"/>
    <w:rsid w:val="00AC02AB"/>
    <w:rsid w:val="00AC1D35"/>
    <w:rsid w:val="00AC3525"/>
    <w:rsid w:val="00AC78A1"/>
    <w:rsid w:val="00AD1ACC"/>
    <w:rsid w:val="00AD3350"/>
    <w:rsid w:val="00AD37B1"/>
    <w:rsid w:val="00AD3BFF"/>
    <w:rsid w:val="00AD5A04"/>
    <w:rsid w:val="00AE013C"/>
    <w:rsid w:val="00AE0276"/>
    <w:rsid w:val="00AE31AC"/>
    <w:rsid w:val="00AE477A"/>
    <w:rsid w:val="00AE4ADA"/>
    <w:rsid w:val="00AE52AB"/>
    <w:rsid w:val="00AF3C1F"/>
    <w:rsid w:val="00AF47B2"/>
    <w:rsid w:val="00AF572C"/>
    <w:rsid w:val="00B006D7"/>
    <w:rsid w:val="00B0352F"/>
    <w:rsid w:val="00B05991"/>
    <w:rsid w:val="00B05D93"/>
    <w:rsid w:val="00B11EBF"/>
    <w:rsid w:val="00B14C2B"/>
    <w:rsid w:val="00B14E0D"/>
    <w:rsid w:val="00B15B59"/>
    <w:rsid w:val="00B211B4"/>
    <w:rsid w:val="00B218EF"/>
    <w:rsid w:val="00B2532F"/>
    <w:rsid w:val="00B2594B"/>
    <w:rsid w:val="00B26D04"/>
    <w:rsid w:val="00B307D8"/>
    <w:rsid w:val="00B31618"/>
    <w:rsid w:val="00B321F9"/>
    <w:rsid w:val="00B3627D"/>
    <w:rsid w:val="00B36475"/>
    <w:rsid w:val="00B423C9"/>
    <w:rsid w:val="00B4288E"/>
    <w:rsid w:val="00B447F1"/>
    <w:rsid w:val="00B44936"/>
    <w:rsid w:val="00B5012D"/>
    <w:rsid w:val="00B5053D"/>
    <w:rsid w:val="00B53A31"/>
    <w:rsid w:val="00B566AE"/>
    <w:rsid w:val="00B5698E"/>
    <w:rsid w:val="00B60626"/>
    <w:rsid w:val="00B62218"/>
    <w:rsid w:val="00B62DFA"/>
    <w:rsid w:val="00B62FD6"/>
    <w:rsid w:val="00B662B2"/>
    <w:rsid w:val="00B71B20"/>
    <w:rsid w:val="00B74C02"/>
    <w:rsid w:val="00B757C3"/>
    <w:rsid w:val="00B75B73"/>
    <w:rsid w:val="00B761FE"/>
    <w:rsid w:val="00B768B3"/>
    <w:rsid w:val="00B803A7"/>
    <w:rsid w:val="00B8206F"/>
    <w:rsid w:val="00B86631"/>
    <w:rsid w:val="00B90F55"/>
    <w:rsid w:val="00B93833"/>
    <w:rsid w:val="00B96BF2"/>
    <w:rsid w:val="00BA05F4"/>
    <w:rsid w:val="00BA06E5"/>
    <w:rsid w:val="00BA17C9"/>
    <w:rsid w:val="00BA5809"/>
    <w:rsid w:val="00BA62A4"/>
    <w:rsid w:val="00BA7CF3"/>
    <w:rsid w:val="00BA7DB2"/>
    <w:rsid w:val="00BB08AF"/>
    <w:rsid w:val="00BB1250"/>
    <w:rsid w:val="00BB3F8A"/>
    <w:rsid w:val="00BB45B9"/>
    <w:rsid w:val="00BB520B"/>
    <w:rsid w:val="00BB526F"/>
    <w:rsid w:val="00BB541D"/>
    <w:rsid w:val="00BC0548"/>
    <w:rsid w:val="00BC13EA"/>
    <w:rsid w:val="00BC22C6"/>
    <w:rsid w:val="00BC44F2"/>
    <w:rsid w:val="00BC7B11"/>
    <w:rsid w:val="00BD3D56"/>
    <w:rsid w:val="00BD736A"/>
    <w:rsid w:val="00BD7CF7"/>
    <w:rsid w:val="00BE241A"/>
    <w:rsid w:val="00BE6B6F"/>
    <w:rsid w:val="00BF256A"/>
    <w:rsid w:val="00BF65FB"/>
    <w:rsid w:val="00C005A8"/>
    <w:rsid w:val="00C008C1"/>
    <w:rsid w:val="00C00C2F"/>
    <w:rsid w:val="00C00EFC"/>
    <w:rsid w:val="00C06B0F"/>
    <w:rsid w:val="00C06E2D"/>
    <w:rsid w:val="00C070D7"/>
    <w:rsid w:val="00C148FA"/>
    <w:rsid w:val="00C159A8"/>
    <w:rsid w:val="00C17EB3"/>
    <w:rsid w:val="00C231D1"/>
    <w:rsid w:val="00C25393"/>
    <w:rsid w:val="00C26249"/>
    <w:rsid w:val="00C27AE5"/>
    <w:rsid w:val="00C32800"/>
    <w:rsid w:val="00C32B42"/>
    <w:rsid w:val="00C33FEC"/>
    <w:rsid w:val="00C34F05"/>
    <w:rsid w:val="00C36384"/>
    <w:rsid w:val="00C4093B"/>
    <w:rsid w:val="00C53670"/>
    <w:rsid w:val="00C55022"/>
    <w:rsid w:val="00C55CB7"/>
    <w:rsid w:val="00C56A52"/>
    <w:rsid w:val="00C62CD5"/>
    <w:rsid w:val="00C63CB1"/>
    <w:rsid w:val="00C64BC6"/>
    <w:rsid w:val="00C6627E"/>
    <w:rsid w:val="00C676D6"/>
    <w:rsid w:val="00C74575"/>
    <w:rsid w:val="00C81C0F"/>
    <w:rsid w:val="00C82973"/>
    <w:rsid w:val="00C83863"/>
    <w:rsid w:val="00C84092"/>
    <w:rsid w:val="00C8642C"/>
    <w:rsid w:val="00C87714"/>
    <w:rsid w:val="00C87733"/>
    <w:rsid w:val="00C87CE3"/>
    <w:rsid w:val="00C91418"/>
    <w:rsid w:val="00C92420"/>
    <w:rsid w:val="00C92AD5"/>
    <w:rsid w:val="00C937D9"/>
    <w:rsid w:val="00C941BA"/>
    <w:rsid w:val="00C9763D"/>
    <w:rsid w:val="00CA0BD9"/>
    <w:rsid w:val="00CA1478"/>
    <w:rsid w:val="00CA3565"/>
    <w:rsid w:val="00CB0B73"/>
    <w:rsid w:val="00CB15C7"/>
    <w:rsid w:val="00CB22AE"/>
    <w:rsid w:val="00CB24CB"/>
    <w:rsid w:val="00CB5368"/>
    <w:rsid w:val="00CB7383"/>
    <w:rsid w:val="00CC20B1"/>
    <w:rsid w:val="00CC2636"/>
    <w:rsid w:val="00CC32D5"/>
    <w:rsid w:val="00CC54FF"/>
    <w:rsid w:val="00CC652B"/>
    <w:rsid w:val="00CC6ABE"/>
    <w:rsid w:val="00CC7979"/>
    <w:rsid w:val="00CD0E58"/>
    <w:rsid w:val="00CD4876"/>
    <w:rsid w:val="00CD5980"/>
    <w:rsid w:val="00CE2791"/>
    <w:rsid w:val="00CE2EB4"/>
    <w:rsid w:val="00CE486E"/>
    <w:rsid w:val="00CE6244"/>
    <w:rsid w:val="00CF1E80"/>
    <w:rsid w:val="00CF43FF"/>
    <w:rsid w:val="00CF59F1"/>
    <w:rsid w:val="00D0196E"/>
    <w:rsid w:val="00D02BE5"/>
    <w:rsid w:val="00D07781"/>
    <w:rsid w:val="00D10A84"/>
    <w:rsid w:val="00D111CC"/>
    <w:rsid w:val="00D12E5E"/>
    <w:rsid w:val="00D13135"/>
    <w:rsid w:val="00D13C70"/>
    <w:rsid w:val="00D21824"/>
    <w:rsid w:val="00D22912"/>
    <w:rsid w:val="00D2678C"/>
    <w:rsid w:val="00D2711A"/>
    <w:rsid w:val="00D306CF"/>
    <w:rsid w:val="00D30CED"/>
    <w:rsid w:val="00D31F6C"/>
    <w:rsid w:val="00D32E83"/>
    <w:rsid w:val="00D35BC1"/>
    <w:rsid w:val="00D37C19"/>
    <w:rsid w:val="00D40B46"/>
    <w:rsid w:val="00D428A9"/>
    <w:rsid w:val="00D44377"/>
    <w:rsid w:val="00D4676B"/>
    <w:rsid w:val="00D51CF1"/>
    <w:rsid w:val="00D533B5"/>
    <w:rsid w:val="00D540F5"/>
    <w:rsid w:val="00D54C70"/>
    <w:rsid w:val="00D57C80"/>
    <w:rsid w:val="00D64B3D"/>
    <w:rsid w:val="00D65ADA"/>
    <w:rsid w:val="00D65F5F"/>
    <w:rsid w:val="00D6606C"/>
    <w:rsid w:val="00D71A6A"/>
    <w:rsid w:val="00D71FF2"/>
    <w:rsid w:val="00D7300E"/>
    <w:rsid w:val="00D7330F"/>
    <w:rsid w:val="00D7433B"/>
    <w:rsid w:val="00D74F30"/>
    <w:rsid w:val="00D771F7"/>
    <w:rsid w:val="00D80B4D"/>
    <w:rsid w:val="00D82883"/>
    <w:rsid w:val="00D85958"/>
    <w:rsid w:val="00D9093B"/>
    <w:rsid w:val="00D91765"/>
    <w:rsid w:val="00D91B56"/>
    <w:rsid w:val="00D91BD2"/>
    <w:rsid w:val="00D964CE"/>
    <w:rsid w:val="00DA5FB3"/>
    <w:rsid w:val="00DA6BFB"/>
    <w:rsid w:val="00DA76B4"/>
    <w:rsid w:val="00DB2AE0"/>
    <w:rsid w:val="00DB2E0A"/>
    <w:rsid w:val="00DB34DA"/>
    <w:rsid w:val="00DB4D60"/>
    <w:rsid w:val="00DC378E"/>
    <w:rsid w:val="00DC4601"/>
    <w:rsid w:val="00DC4C3D"/>
    <w:rsid w:val="00DC653A"/>
    <w:rsid w:val="00DD2B63"/>
    <w:rsid w:val="00DD2BFF"/>
    <w:rsid w:val="00DD50C9"/>
    <w:rsid w:val="00DE1020"/>
    <w:rsid w:val="00DE597A"/>
    <w:rsid w:val="00DE695A"/>
    <w:rsid w:val="00DE71CA"/>
    <w:rsid w:val="00DE7E6B"/>
    <w:rsid w:val="00DF0E59"/>
    <w:rsid w:val="00DF1524"/>
    <w:rsid w:val="00DF3093"/>
    <w:rsid w:val="00DF5A47"/>
    <w:rsid w:val="00E00325"/>
    <w:rsid w:val="00E01A14"/>
    <w:rsid w:val="00E0355D"/>
    <w:rsid w:val="00E03912"/>
    <w:rsid w:val="00E0396C"/>
    <w:rsid w:val="00E043FC"/>
    <w:rsid w:val="00E0520F"/>
    <w:rsid w:val="00E06118"/>
    <w:rsid w:val="00E120FD"/>
    <w:rsid w:val="00E1590C"/>
    <w:rsid w:val="00E15B61"/>
    <w:rsid w:val="00E15B76"/>
    <w:rsid w:val="00E16611"/>
    <w:rsid w:val="00E166A4"/>
    <w:rsid w:val="00E169F2"/>
    <w:rsid w:val="00E25542"/>
    <w:rsid w:val="00E27459"/>
    <w:rsid w:val="00E32792"/>
    <w:rsid w:val="00E337C4"/>
    <w:rsid w:val="00E37EC2"/>
    <w:rsid w:val="00E401DD"/>
    <w:rsid w:val="00E415C6"/>
    <w:rsid w:val="00E42451"/>
    <w:rsid w:val="00E4406A"/>
    <w:rsid w:val="00E44217"/>
    <w:rsid w:val="00E45550"/>
    <w:rsid w:val="00E45BFC"/>
    <w:rsid w:val="00E5147C"/>
    <w:rsid w:val="00E53987"/>
    <w:rsid w:val="00E54AF0"/>
    <w:rsid w:val="00E575B5"/>
    <w:rsid w:val="00E57797"/>
    <w:rsid w:val="00E63079"/>
    <w:rsid w:val="00E644F1"/>
    <w:rsid w:val="00E6556D"/>
    <w:rsid w:val="00E66C18"/>
    <w:rsid w:val="00E676C3"/>
    <w:rsid w:val="00E70918"/>
    <w:rsid w:val="00E71C84"/>
    <w:rsid w:val="00E72446"/>
    <w:rsid w:val="00E73D50"/>
    <w:rsid w:val="00E74208"/>
    <w:rsid w:val="00E748C4"/>
    <w:rsid w:val="00E750F5"/>
    <w:rsid w:val="00E830A6"/>
    <w:rsid w:val="00E869A0"/>
    <w:rsid w:val="00E87AE0"/>
    <w:rsid w:val="00E9437A"/>
    <w:rsid w:val="00E94707"/>
    <w:rsid w:val="00E94C00"/>
    <w:rsid w:val="00E955DB"/>
    <w:rsid w:val="00E968F3"/>
    <w:rsid w:val="00E9797C"/>
    <w:rsid w:val="00EA3495"/>
    <w:rsid w:val="00EA349F"/>
    <w:rsid w:val="00EA5E59"/>
    <w:rsid w:val="00EB53BC"/>
    <w:rsid w:val="00EB7982"/>
    <w:rsid w:val="00EC1227"/>
    <w:rsid w:val="00EC3D1E"/>
    <w:rsid w:val="00EC492E"/>
    <w:rsid w:val="00ED1503"/>
    <w:rsid w:val="00ED3514"/>
    <w:rsid w:val="00ED4109"/>
    <w:rsid w:val="00ED4322"/>
    <w:rsid w:val="00ED6530"/>
    <w:rsid w:val="00ED7B5A"/>
    <w:rsid w:val="00EE0360"/>
    <w:rsid w:val="00EE2607"/>
    <w:rsid w:val="00EE3607"/>
    <w:rsid w:val="00EE5BF3"/>
    <w:rsid w:val="00EF171C"/>
    <w:rsid w:val="00EF1CAA"/>
    <w:rsid w:val="00EF1E6E"/>
    <w:rsid w:val="00EF34F6"/>
    <w:rsid w:val="00EF3C4C"/>
    <w:rsid w:val="00EF7EC6"/>
    <w:rsid w:val="00F00AFB"/>
    <w:rsid w:val="00F05BCF"/>
    <w:rsid w:val="00F06F2A"/>
    <w:rsid w:val="00F07A19"/>
    <w:rsid w:val="00F07BCE"/>
    <w:rsid w:val="00F17CBF"/>
    <w:rsid w:val="00F20611"/>
    <w:rsid w:val="00F21830"/>
    <w:rsid w:val="00F30AD6"/>
    <w:rsid w:val="00F34F7C"/>
    <w:rsid w:val="00F35057"/>
    <w:rsid w:val="00F378BD"/>
    <w:rsid w:val="00F429F4"/>
    <w:rsid w:val="00F43260"/>
    <w:rsid w:val="00F43DEB"/>
    <w:rsid w:val="00F46883"/>
    <w:rsid w:val="00F546D3"/>
    <w:rsid w:val="00F61EE6"/>
    <w:rsid w:val="00F61EEB"/>
    <w:rsid w:val="00F65906"/>
    <w:rsid w:val="00F70D89"/>
    <w:rsid w:val="00F70EE3"/>
    <w:rsid w:val="00F71A6B"/>
    <w:rsid w:val="00F72C33"/>
    <w:rsid w:val="00F73492"/>
    <w:rsid w:val="00F73C48"/>
    <w:rsid w:val="00F74CF3"/>
    <w:rsid w:val="00F777CF"/>
    <w:rsid w:val="00F77C63"/>
    <w:rsid w:val="00F83254"/>
    <w:rsid w:val="00F84B3C"/>
    <w:rsid w:val="00F85186"/>
    <w:rsid w:val="00F85465"/>
    <w:rsid w:val="00F90214"/>
    <w:rsid w:val="00F90298"/>
    <w:rsid w:val="00F91E58"/>
    <w:rsid w:val="00F92949"/>
    <w:rsid w:val="00F9358F"/>
    <w:rsid w:val="00F93ADD"/>
    <w:rsid w:val="00F964A2"/>
    <w:rsid w:val="00F96907"/>
    <w:rsid w:val="00F96C3D"/>
    <w:rsid w:val="00FA064C"/>
    <w:rsid w:val="00FA15B1"/>
    <w:rsid w:val="00FA7C47"/>
    <w:rsid w:val="00FB09BF"/>
    <w:rsid w:val="00FB1077"/>
    <w:rsid w:val="00FB1B82"/>
    <w:rsid w:val="00FB3530"/>
    <w:rsid w:val="00FB6415"/>
    <w:rsid w:val="00FB670E"/>
    <w:rsid w:val="00FB68B2"/>
    <w:rsid w:val="00FC5486"/>
    <w:rsid w:val="00FC764F"/>
    <w:rsid w:val="00FD3040"/>
    <w:rsid w:val="00FD4BDE"/>
    <w:rsid w:val="00FE0528"/>
    <w:rsid w:val="00FE3084"/>
    <w:rsid w:val="00FE3D0B"/>
    <w:rsid w:val="00FE3FAF"/>
    <w:rsid w:val="00FE4E9D"/>
    <w:rsid w:val="00FF0AC8"/>
    <w:rsid w:val="00FF2AAF"/>
    <w:rsid w:val="00FF4DA0"/>
    <w:rsid w:val="028945B9"/>
    <w:rsid w:val="029D52AD"/>
    <w:rsid w:val="0450685F"/>
    <w:rsid w:val="065F7326"/>
    <w:rsid w:val="06E94BF3"/>
    <w:rsid w:val="0BBA6DAD"/>
    <w:rsid w:val="0BD3A427"/>
    <w:rsid w:val="0C827333"/>
    <w:rsid w:val="0D38D08A"/>
    <w:rsid w:val="0E7D4B47"/>
    <w:rsid w:val="0FEA3940"/>
    <w:rsid w:val="106D637D"/>
    <w:rsid w:val="1409136D"/>
    <w:rsid w:val="15E44E4D"/>
    <w:rsid w:val="1A052C99"/>
    <w:rsid w:val="1A6362AB"/>
    <w:rsid w:val="1F3BCE92"/>
    <w:rsid w:val="214967B1"/>
    <w:rsid w:val="25956469"/>
    <w:rsid w:val="265E5F7A"/>
    <w:rsid w:val="2AA92448"/>
    <w:rsid w:val="2C6B6F60"/>
    <w:rsid w:val="2C7C6B57"/>
    <w:rsid w:val="2C883C04"/>
    <w:rsid w:val="2D576DDD"/>
    <w:rsid w:val="2FECFDF2"/>
    <w:rsid w:val="30F450AD"/>
    <w:rsid w:val="37EE70B0"/>
    <w:rsid w:val="39F17B0F"/>
    <w:rsid w:val="3B984E86"/>
    <w:rsid w:val="3BCC4692"/>
    <w:rsid w:val="3CBD245C"/>
    <w:rsid w:val="3FD63B70"/>
    <w:rsid w:val="4211227D"/>
    <w:rsid w:val="46506987"/>
    <w:rsid w:val="47EB3668"/>
    <w:rsid w:val="492434DC"/>
    <w:rsid w:val="4A7F474C"/>
    <w:rsid w:val="4B101D4D"/>
    <w:rsid w:val="4D3A322A"/>
    <w:rsid w:val="4E9C6293"/>
    <w:rsid w:val="524D2C0D"/>
    <w:rsid w:val="52EE75E9"/>
    <w:rsid w:val="52FC5A1C"/>
    <w:rsid w:val="5394300C"/>
    <w:rsid w:val="53AB0B98"/>
    <w:rsid w:val="5725475C"/>
    <w:rsid w:val="578F9937"/>
    <w:rsid w:val="5B5E086D"/>
    <w:rsid w:val="5D21778E"/>
    <w:rsid w:val="5D4B0BE0"/>
    <w:rsid w:val="5F3E5ED6"/>
    <w:rsid w:val="61194E40"/>
    <w:rsid w:val="628030DA"/>
    <w:rsid w:val="650D376B"/>
    <w:rsid w:val="65B85280"/>
    <w:rsid w:val="65DA031D"/>
    <w:rsid w:val="663D0C55"/>
    <w:rsid w:val="67042EBE"/>
    <w:rsid w:val="6AB3701A"/>
    <w:rsid w:val="6B77DB4C"/>
    <w:rsid w:val="6BD93E8F"/>
    <w:rsid w:val="6FCB88C9"/>
    <w:rsid w:val="6FF75EFD"/>
    <w:rsid w:val="70785D38"/>
    <w:rsid w:val="75300C11"/>
    <w:rsid w:val="753F3834"/>
    <w:rsid w:val="757A12F6"/>
    <w:rsid w:val="75DF4015"/>
    <w:rsid w:val="762002A6"/>
    <w:rsid w:val="777A05E8"/>
    <w:rsid w:val="77F3734F"/>
    <w:rsid w:val="7ABE3C3F"/>
    <w:rsid w:val="7BFF48EB"/>
    <w:rsid w:val="7DBEB404"/>
    <w:rsid w:val="7DC038B1"/>
    <w:rsid w:val="7DF8A6FA"/>
    <w:rsid w:val="7DFEA9AC"/>
    <w:rsid w:val="7EF26B26"/>
    <w:rsid w:val="7EFBF66F"/>
    <w:rsid w:val="7F3EAB1D"/>
    <w:rsid w:val="7F7ED0FB"/>
    <w:rsid w:val="7FD1E018"/>
    <w:rsid w:val="7FE6A430"/>
    <w:rsid w:val="7FFBAB84"/>
    <w:rsid w:val="86FFF870"/>
    <w:rsid w:val="9CD3AEC0"/>
    <w:rsid w:val="AFF76F62"/>
    <w:rsid w:val="B7ECB93A"/>
    <w:rsid w:val="B7FF9FA7"/>
    <w:rsid w:val="B974D3CB"/>
    <w:rsid w:val="BFBF61B5"/>
    <w:rsid w:val="CDAA646F"/>
    <w:rsid w:val="CF7EB3CD"/>
    <w:rsid w:val="D3AF2DCF"/>
    <w:rsid w:val="D5C7C02D"/>
    <w:rsid w:val="DF3E3086"/>
    <w:rsid w:val="DFEF203A"/>
    <w:rsid w:val="E3FFC407"/>
    <w:rsid w:val="E9DAEB7A"/>
    <w:rsid w:val="F697BB4C"/>
    <w:rsid w:val="F73F65FC"/>
    <w:rsid w:val="F9F78FC1"/>
    <w:rsid w:val="F9FF84C2"/>
    <w:rsid w:val="F9FFBF70"/>
    <w:rsid w:val="FBAF06DA"/>
    <w:rsid w:val="FF1B1DA3"/>
    <w:rsid w:val="FF6D8744"/>
    <w:rsid w:val="FF7B3208"/>
    <w:rsid w:val="FF7FE07C"/>
    <w:rsid w:val="FFF73183"/>
    <w:rsid w:val="FFFE2AAF"/>
  </w:rsids>
  <m:mathPr>
    <m:mathFont m:val="Cambria Math"/>
    <m:brkBin m:val="before"/>
    <m:brkBinSub m:val="--"/>
    <m:smallFrac m:val="1"/>
    <m:dispDef/>
    <m:lMargin m:val="1440"/>
    <m:rMargin m:val="144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9" w:name="heading 4"/>
    <w:lsdException w:qFormat="1" w:uiPriority="9" w:name="heading 5"/>
    <w:lsdException w:qFormat="1" w:uiPriority="9" w:name="heading 6"/>
    <w:lsdException w:qFormat="1" w:unhideWhenUsed="0" w:uiPriority="13" w:semiHidden="0" w:name="heading 7"/>
    <w:lsdException w:qFormat="1" w:unhideWhenUsed="0" w:uiPriority="14" w:semiHidden="0" w:name="heading 8"/>
    <w:lsdException w:qFormat="1" w:unhideWhenUsed="0"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1" w:semiHidden="0" w:name="toc 4"/>
    <w:lsdException w:qFormat="1" w:uiPriority="32" w:semiHidden="0" w:name="toc 5"/>
    <w:lsdException w:qFormat="1" w:uiPriority="0" w:semiHidden="0" w:name="toc 6"/>
    <w:lsdException w:qFormat="1" w:uiPriority="34" w:semiHidden="0" w:name="toc 7"/>
    <w:lsdException w:qFormat="1" w:uiPriority="35" w:semiHidden="0" w:name="toc 8"/>
    <w:lsdException w:qFormat="1" w:uiPriority="36" w:semiHidden="0" w:name="toc 9"/>
    <w:lsdException w:qFormat="1" w:unhideWhenUsed="0" w:uiPriority="0" w:semiHidden="0"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0" w:semiHidden="0" w:name="Strong"/>
    <w:lsdException w:qFormat="1" w:unhideWhenUsed="0" w:uiPriority="18"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1" w:semiHidden="0" w:name="Quote"/>
    <w:lsdException w:qFormat="1" w:unhideWhenUsed="0" w:uiPriority="22"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ascii="Calibri" w:hAnsi="Calibri" w:eastAsia="宋体" w:cs="Times New Roman"/>
      <w:sz w:val="21"/>
      <w:szCs w:val="21"/>
      <w:lang w:val="en-US" w:eastAsia="zh-CN" w:bidi="ar-SA"/>
    </w:rPr>
  </w:style>
  <w:style w:type="paragraph" w:styleId="2">
    <w:name w:val="heading 1"/>
    <w:basedOn w:val="1"/>
    <w:next w:val="1"/>
    <w:link w:val="76"/>
    <w:qFormat/>
    <w:uiPriority w:val="0"/>
    <w:pPr>
      <w:keepNext/>
      <w:keepLines/>
      <w:outlineLvl w:val="0"/>
    </w:pPr>
    <w:rPr>
      <w:b/>
      <w:sz w:val="44"/>
      <w:szCs w:val="44"/>
    </w:rPr>
  </w:style>
  <w:style w:type="paragraph" w:styleId="3">
    <w:name w:val="heading 2"/>
    <w:next w:val="1"/>
    <w:unhideWhenUsed/>
    <w:qFormat/>
    <w:uiPriority w:val="0"/>
    <w:pPr>
      <w:jc w:val="both"/>
      <w:outlineLvl w:val="1"/>
    </w:pPr>
    <w:rPr>
      <w:rFonts w:ascii="Calibri" w:hAnsi="Calibri" w:eastAsia="宋体" w:cs="Times New Roman"/>
      <w:sz w:val="21"/>
      <w:szCs w:val="21"/>
      <w:lang w:val="en-US" w:eastAsia="zh-CN" w:bidi="ar-SA"/>
    </w:rPr>
  </w:style>
  <w:style w:type="paragraph" w:styleId="4">
    <w:name w:val="heading 3"/>
    <w:basedOn w:val="1"/>
    <w:next w:val="1"/>
    <w:link w:val="101"/>
    <w:unhideWhenUsed/>
    <w:qFormat/>
    <w:uiPriority w:val="0"/>
    <w:pPr>
      <w:keepNext/>
      <w:keepLines/>
      <w:outlineLvl w:val="2"/>
    </w:pPr>
    <w:rPr>
      <w:rFonts w:ascii="Times New Roman" w:hAnsi="Times New Roman" w:eastAsia="Times New Roman"/>
      <w:b/>
      <w:sz w:val="30"/>
      <w:szCs w:val="30"/>
    </w:rPr>
  </w:style>
  <w:style w:type="paragraph" w:styleId="5">
    <w:name w:val="heading 4"/>
    <w:next w:val="1"/>
    <w:semiHidden/>
    <w:unhideWhenUsed/>
    <w:qFormat/>
    <w:uiPriority w:val="9"/>
    <w:pPr>
      <w:ind w:left="1200" w:hanging="400"/>
      <w:jc w:val="both"/>
      <w:outlineLvl w:val="3"/>
    </w:pPr>
    <w:rPr>
      <w:rFonts w:ascii="Calibri" w:hAnsi="Calibri" w:eastAsia="宋体" w:cs="Times New Roman"/>
      <w:b/>
      <w:sz w:val="21"/>
      <w:szCs w:val="21"/>
      <w:lang w:val="en-US" w:eastAsia="zh-CN" w:bidi="ar-SA"/>
    </w:rPr>
  </w:style>
  <w:style w:type="paragraph" w:styleId="6">
    <w:name w:val="heading 5"/>
    <w:next w:val="1"/>
    <w:semiHidden/>
    <w:unhideWhenUsed/>
    <w:qFormat/>
    <w:uiPriority w:val="9"/>
    <w:pPr>
      <w:ind w:left="1400" w:hanging="400"/>
      <w:jc w:val="both"/>
      <w:outlineLvl w:val="4"/>
    </w:pPr>
    <w:rPr>
      <w:rFonts w:ascii="Calibri" w:hAnsi="Calibri" w:eastAsia="宋体" w:cs="Times New Roman"/>
      <w:sz w:val="21"/>
      <w:szCs w:val="21"/>
      <w:lang w:val="en-US" w:eastAsia="zh-CN" w:bidi="ar-SA"/>
    </w:rPr>
  </w:style>
  <w:style w:type="paragraph" w:styleId="7">
    <w:name w:val="heading 6"/>
    <w:next w:val="1"/>
    <w:semiHidden/>
    <w:unhideWhenUsed/>
    <w:qFormat/>
    <w:uiPriority w:val="9"/>
    <w:pPr>
      <w:ind w:left="1600" w:hanging="400"/>
      <w:jc w:val="both"/>
      <w:outlineLvl w:val="5"/>
    </w:pPr>
    <w:rPr>
      <w:rFonts w:ascii="Calibri" w:hAnsi="Calibri" w:eastAsia="宋体" w:cs="Times New Roman"/>
      <w:b/>
      <w:sz w:val="21"/>
      <w:szCs w:val="21"/>
      <w:lang w:val="en-US" w:eastAsia="zh-CN" w:bidi="ar-SA"/>
    </w:rPr>
  </w:style>
  <w:style w:type="paragraph" w:styleId="8">
    <w:name w:val="heading 7"/>
    <w:next w:val="1"/>
    <w:qFormat/>
    <w:uiPriority w:val="13"/>
    <w:pPr>
      <w:ind w:left="1800" w:hanging="400"/>
      <w:jc w:val="both"/>
      <w:outlineLvl w:val="6"/>
    </w:pPr>
    <w:rPr>
      <w:rFonts w:ascii="Calibri" w:hAnsi="Calibri" w:eastAsia="宋体" w:cs="Times New Roman"/>
      <w:sz w:val="21"/>
      <w:szCs w:val="21"/>
      <w:lang w:val="en-US" w:eastAsia="zh-CN" w:bidi="ar-SA"/>
    </w:rPr>
  </w:style>
  <w:style w:type="paragraph" w:styleId="9">
    <w:name w:val="heading 8"/>
    <w:next w:val="1"/>
    <w:qFormat/>
    <w:uiPriority w:val="14"/>
    <w:pPr>
      <w:ind w:left="2000" w:hanging="400"/>
      <w:jc w:val="both"/>
      <w:outlineLvl w:val="7"/>
    </w:pPr>
    <w:rPr>
      <w:rFonts w:ascii="Calibri" w:hAnsi="Calibri" w:eastAsia="宋体" w:cs="Times New Roman"/>
      <w:sz w:val="21"/>
      <w:szCs w:val="21"/>
      <w:lang w:val="en-US" w:eastAsia="zh-CN" w:bidi="ar-SA"/>
    </w:rPr>
  </w:style>
  <w:style w:type="paragraph" w:styleId="10">
    <w:name w:val="heading 9"/>
    <w:next w:val="1"/>
    <w:link w:val="113"/>
    <w:qFormat/>
    <w:uiPriority w:val="9"/>
    <w:pPr>
      <w:ind w:left="2200" w:hanging="400"/>
      <w:jc w:val="both"/>
      <w:outlineLvl w:val="8"/>
    </w:pPr>
    <w:rPr>
      <w:rFonts w:ascii="Calibri" w:hAnsi="Calibri" w:eastAsia="宋体" w:cs="Times New Roman"/>
      <w:sz w:val="21"/>
      <w:szCs w:val="21"/>
      <w:lang w:val="en-US" w:eastAsia="zh-CN" w:bidi="ar-SA"/>
    </w:rPr>
  </w:style>
  <w:style w:type="character" w:default="1" w:styleId="39">
    <w:name w:val="Default Paragraph Font"/>
    <w:semiHidden/>
    <w:unhideWhenUsed/>
    <w:qFormat/>
    <w:uiPriority w:val="1"/>
  </w:style>
  <w:style w:type="table" w:default="1" w:styleId="37">
    <w:name w:val="Normal Table"/>
    <w:semiHidden/>
    <w:unhideWhenUsed/>
    <w:qFormat/>
    <w:uiPriority w:val="99"/>
    <w:tblPr>
      <w:tblCellMar>
        <w:top w:w="0" w:type="dxa"/>
        <w:left w:w="108" w:type="dxa"/>
        <w:bottom w:w="0" w:type="dxa"/>
        <w:right w:w="108" w:type="dxa"/>
      </w:tblCellMar>
    </w:tblPr>
  </w:style>
  <w:style w:type="paragraph" w:styleId="11">
    <w:name w:val="toc 7"/>
    <w:next w:val="1"/>
    <w:unhideWhenUsed/>
    <w:qFormat/>
    <w:uiPriority w:val="34"/>
    <w:pPr>
      <w:ind w:left="1260"/>
    </w:pPr>
    <w:rPr>
      <w:rFonts w:eastAsia="宋体" w:cs="Times New Roman" w:asciiTheme="minorHAnsi" w:hAnsiTheme="minorHAnsi"/>
      <w:sz w:val="18"/>
      <w:szCs w:val="18"/>
      <w:lang w:val="en-US" w:eastAsia="zh-CN" w:bidi="ar-SA"/>
    </w:rPr>
  </w:style>
  <w:style w:type="paragraph" w:styleId="12">
    <w:name w:val="Normal Indent"/>
    <w:basedOn w:val="1"/>
    <w:qFormat/>
    <w:uiPriority w:val="0"/>
    <w:pPr>
      <w:ind w:firstLine="420"/>
    </w:pPr>
  </w:style>
  <w:style w:type="paragraph" w:styleId="13">
    <w:name w:val="Document Map"/>
    <w:basedOn w:val="1"/>
    <w:link w:val="88"/>
    <w:qFormat/>
    <w:uiPriority w:val="0"/>
    <w:pPr>
      <w:widowControl w:val="0"/>
      <w:shd w:val="clear" w:color="auto" w:fill="000080"/>
    </w:pPr>
    <w:rPr>
      <w:rFonts w:ascii="Times New Roman" w:hAnsi="Times New Roman"/>
      <w:kern w:val="2"/>
      <w:szCs w:val="20"/>
    </w:rPr>
  </w:style>
  <w:style w:type="paragraph" w:styleId="14">
    <w:name w:val="annotation text"/>
    <w:basedOn w:val="1"/>
    <w:link w:val="72"/>
    <w:unhideWhenUsed/>
    <w:qFormat/>
    <w:uiPriority w:val="99"/>
  </w:style>
  <w:style w:type="paragraph" w:styleId="15">
    <w:name w:val="Body Text"/>
    <w:basedOn w:val="1"/>
    <w:link w:val="86"/>
    <w:unhideWhenUsed/>
    <w:qFormat/>
    <w:uiPriority w:val="0"/>
    <w:pPr>
      <w:spacing w:after="120"/>
    </w:pPr>
  </w:style>
  <w:style w:type="paragraph" w:styleId="16">
    <w:name w:val="Body Text Indent"/>
    <w:basedOn w:val="1"/>
    <w:link w:val="70"/>
    <w:unhideWhenUsed/>
    <w:qFormat/>
    <w:uiPriority w:val="0"/>
    <w:pPr>
      <w:ind w:left="420"/>
    </w:pPr>
  </w:style>
  <w:style w:type="paragraph" w:styleId="17">
    <w:name w:val="toc 5"/>
    <w:next w:val="1"/>
    <w:unhideWhenUsed/>
    <w:qFormat/>
    <w:uiPriority w:val="32"/>
    <w:pPr>
      <w:ind w:left="840"/>
    </w:pPr>
    <w:rPr>
      <w:rFonts w:eastAsia="宋体" w:cs="Times New Roman" w:asciiTheme="minorHAnsi" w:hAnsiTheme="minorHAnsi"/>
      <w:sz w:val="18"/>
      <w:szCs w:val="18"/>
      <w:lang w:val="en-US" w:eastAsia="zh-CN" w:bidi="ar-SA"/>
    </w:rPr>
  </w:style>
  <w:style w:type="paragraph" w:styleId="18">
    <w:name w:val="toc 3"/>
    <w:next w:val="1"/>
    <w:unhideWhenUsed/>
    <w:qFormat/>
    <w:uiPriority w:val="39"/>
    <w:pPr>
      <w:ind w:left="420"/>
    </w:pPr>
    <w:rPr>
      <w:rFonts w:eastAsia="宋体" w:cs="Times New Roman" w:asciiTheme="minorHAnsi" w:hAnsiTheme="minorHAnsi"/>
      <w:i/>
      <w:iCs/>
      <w:lang w:val="en-US" w:eastAsia="zh-CN" w:bidi="ar-SA"/>
    </w:rPr>
  </w:style>
  <w:style w:type="paragraph" w:styleId="19">
    <w:name w:val="Plain Text"/>
    <w:basedOn w:val="1"/>
    <w:link w:val="89"/>
    <w:qFormat/>
    <w:uiPriority w:val="0"/>
    <w:pPr>
      <w:widowControl w:val="0"/>
    </w:pPr>
    <w:rPr>
      <w:rFonts w:ascii="宋体" w:hAnsi="Courier New" w:cs="Courier New"/>
      <w:kern w:val="2"/>
    </w:rPr>
  </w:style>
  <w:style w:type="paragraph" w:styleId="20">
    <w:name w:val="toc 8"/>
    <w:next w:val="1"/>
    <w:unhideWhenUsed/>
    <w:qFormat/>
    <w:uiPriority w:val="35"/>
    <w:pPr>
      <w:ind w:left="1470"/>
    </w:pPr>
    <w:rPr>
      <w:rFonts w:eastAsia="宋体" w:cs="Times New Roman" w:asciiTheme="minorHAnsi" w:hAnsiTheme="minorHAnsi"/>
      <w:sz w:val="18"/>
      <w:szCs w:val="18"/>
      <w:lang w:val="en-US" w:eastAsia="zh-CN" w:bidi="ar-SA"/>
    </w:rPr>
  </w:style>
  <w:style w:type="paragraph" w:styleId="21">
    <w:name w:val="Date"/>
    <w:basedOn w:val="1"/>
    <w:next w:val="1"/>
    <w:link w:val="90"/>
    <w:qFormat/>
    <w:uiPriority w:val="0"/>
    <w:pPr>
      <w:widowControl w:val="0"/>
      <w:ind w:left="100" w:leftChars="2500"/>
    </w:pPr>
    <w:rPr>
      <w:rFonts w:ascii="Times New Roman" w:hAnsi="Times New Roman"/>
      <w:kern w:val="2"/>
      <w:szCs w:val="20"/>
    </w:rPr>
  </w:style>
  <w:style w:type="paragraph" w:styleId="22">
    <w:name w:val="Body Text Indent 2"/>
    <w:basedOn w:val="1"/>
    <w:link w:val="91"/>
    <w:qFormat/>
    <w:uiPriority w:val="0"/>
    <w:pPr>
      <w:widowControl w:val="0"/>
      <w:spacing w:after="120" w:line="480" w:lineRule="auto"/>
      <w:ind w:left="420" w:leftChars="200"/>
    </w:pPr>
    <w:rPr>
      <w:rFonts w:ascii="Times New Roman" w:hAnsi="Times New Roman"/>
      <w:kern w:val="2"/>
      <w:szCs w:val="20"/>
    </w:rPr>
  </w:style>
  <w:style w:type="paragraph" w:styleId="23">
    <w:name w:val="Balloon Text"/>
    <w:basedOn w:val="1"/>
    <w:link w:val="68"/>
    <w:qFormat/>
    <w:uiPriority w:val="0"/>
    <w:rPr>
      <w:sz w:val="18"/>
      <w:szCs w:val="18"/>
    </w:rPr>
  </w:style>
  <w:style w:type="paragraph" w:styleId="24">
    <w:name w:val="footer"/>
    <w:basedOn w:val="1"/>
    <w:link w:val="74"/>
    <w:qFormat/>
    <w:uiPriority w:val="99"/>
    <w:pPr>
      <w:tabs>
        <w:tab w:val="center" w:pos="4153"/>
        <w:tab w:val="right" w:pos="8306"/>
      </w:tabs>
    </w:pPr>
    <w:rPr>
      <w:sz w:val="18"/>
      <w:szCs w:val="18"/>
    </w:rPr>
  </w:style>
  <w:style w:type="paragraph" w:styleId="25">
    <w:name w:val="header"/>
    <w:basedOn w:val="1"/>
    <w:link w:val="64"/>
    <w:qFormat/>
    <w:uiPriority w:val="99"/>
    <w:pPr>
      <w:tabs>
        <w:tab w:val="center" w:pos="4153"/>
        <w:tab w:val="right" w:pos="8306"/>
      </w:tabs>
      <w:jc w:val="center"/>
    </w:pPr>
    <w:rPr>
      <w:sz w:val="18"/>
      <w:szCs w:val="18"/>
    </w:rPr>
  </w:style>
  <w:style w:type="paragraph" w:styleId="26">
    <w:name w:val="toc 1"/>
    <w:basedOn w:val="1"/>
    <w:next w:val="1"/>
    <w:qFormat/>
    <w:uiPriority w:val="39"/>
    <w:pPr>
      <w:spacing w:before="120" w:after="120"/>
      <w:jc w:val="left"/>
    </w:pPr>
    <w:rPr>
      <w:rFonts w:asciiTheme="minorHAnsi" w:hAnsiTheme="minorHAnsi"/>
      <w:b/>
      <w:bCs/>
      <w:caps/>
      <w:sz w:val="20"/>
      <w:szCs w:val="20"/>
    </w:rPr>
  </w:style>
  <w:style w:type="paragraph" w:styleId="27">
    <w:name w:val="toc 4"/>
    <w:next w:val="1"/>
    <w:unhideWhenUsed/>
    <w:qFormat/>
    <w:uiPriority w:val="31"/>
    <w:pPr>
      <w:ind w:left="630"/>
    </w:pPr>
    <w:rPr>
      <w:rFonts w:eastAsia="宋体" w:cs="Times New Roman" w:asciiTheme="minorHAnsi" w:hAnsiTheme="minorHAnsi"/>
      <w:sz w:val="18"/>
      <w:szCs w:val="18"/>
      <w:lang w:val="en-US" w:eastAsia="zh-CN" w:bidi="ar-SA"/>
    </w:rPr>
  </w:style>
  <w:style w:type="paragraph" w:styleId="28">
    <w:name w:val="Subtitle"/>
    <w:qFormat/>
    <w:uiPriority w:val="11"/>
    <w:pPr>
      <w:jc w:val="center"/>
    </w:pPr>
    <w:rPr>
      <w:rFonts w:ascii="Calibri" w:hAnsi="Calibri" w:eastAsia="宋体" w:cs="Times New Roman"/>
      <w:sz w:val="24"/>
      <w:szCs w:val="24"/>
      <w:lang w:val="en-US" w:eastAsia="zh-CN" w:bidi="ar-SA"/>
    </w:rPr>
  </w:style>
  <w:style w:type="paragraph" w:styleId="29">
    <w:name w:val="toc 6"/>
    <w:next w:val="1"/>
    <w:unhideWhenUsed/>
    <w:qFormat/>
    <w:uiPriority w:val="0"/>
    <w:pPr>
      <w:ind w:left="1050"/>
    </w:pPr>
    <w:rPr>
      <w:rFonts w:eastAsia="宋体" w:cs="Times New Roman" w:asciiTheme="minorHAnsi" w:hAnsiTheme="minorHAnsi"/>
      <w:sz w:val="18"/>
      <w:szCs w:val="18"/>
      <w:lang w:val="en-US" w:eastAsia="zh-CN" w:bidi="ar-SA"/>
    </w:rPr>
  </w:style>
  <w:style w:type="paragraph" w:styleId="30">
    <w:name w:val="toc 2"/>
    <w:basedOn w:val="1"/>
    <w:next w:val="1"/>
    <w:qFormat/>
    <w:uiPriority w:val="39"/>
    <w:pPr>
      <w:ind w:left="210"/>
      <w:jc w:val="left"/>
    </w:pPr>
    <w:rPr>
      <w:rFonts w:asciiTheme="minorHAnsi" w:hAnsiTheme="minorHAnsi"/>
      <w:smallCaps/>
      <w:sz w:val="20"/>
      <w:szCs w:val="20"/>
    </w:rPr>
  </w:style>
  <w:style w:type="paragraph" w:styleId="31">
    <w:name w:val="toc 9"/>
    <w:next w:val="1"/>
    <w:unhideWhenUsed/>
    <w:qFormat/>
    <w:uiPriority w:val="36"/>
    <w:pPr>
      <w:ind w:left="1680"/>
    </w:pPr>
    <w:rPr>
      <w:rFonts w:eastAsia="宋体" w:cs="Times New Roman" w:asciiTheme="minorHAnsi" w:hAnsiTheme="minorHAnsi"/>
      <w:sz w:val="18"/>
      <w:szCs w:val="18"/>
      <w:lang w:val="en-US" w:eastAsia="zh-CN" w:bidi="ar-SA"/>
    </w:rPr>
  </w:style>
  <w:style w:type="paragraph" w:styleId="32">
    <w:name w:val="Body Text 2"/>
    <w:basedOn w:val="1"/>
    <w:qFormat/>
    <w:uiPriority w:val="0"/>
    <w:rPr>
      <w:rFonts w:ascii="Times New Roman" w:hAnsi="Times New Roman" w:eastAsia="Times New Roman"/>
      <w:sz w:val="20"/>
      <w:szCs w:val="20"/>
    </w:rPr>
  </w:style>
  <w:style w:type="paragraph" w:styleId="33">
    <w:name w:val="Normal (Web)"/>
    <w:basedOn w:val="1"/>
    <w:qFormat/>
    <w:uiPriority w:val="0"/>
    <w:pPr>
      <w:spacing w:before="100" w:beforeAutospacing="1" w:after="100" w:afterAutospacing="1"/>
      <w:jc w:val="left"/>
    </w:pPr>
    <w:rPr>
      <w:rFonts w:ascii="宋体" w:hAnsi="宋体" w:cs="宋体"/>
      <w:sz w:val="24"/>
      <w:szCs w:val="24"/>
    </w:rPr>
  </w:style>
  <w:style w:type="paragraph" w:styleId="34">
    <w:name w:val="Title"/>
    <w:basedOn w:val="1"/>
    <w:next w:val="1"/>
    <w:link w:val="71"/>
    <w:qFormat/>
    <w:uiPriority w:val="10"/>
    <w:pPr>
      <w:jc w:val="center"/>
    </w:pPr>
    <w:rPr>
      <w:rFonts w:ascii="Calibri Light" w:hAnsi="Calibri Light"/>
      <w:b/>
      <w:sz w:val="32"/>
      <w:szCs w:val="32"/>
    </w:rPr>
  </w:style>
  <w:style w:type="paragraph" w:styleId="35">
    <w:name w:val="annotation subject"/>
    <w:basedOn w:val="14"/>
    <w:next w:val="14"/>
    <w:link w:val="73"/>
    <w:unhideWhenUsed/>
    <w:qFormat/>
    <w:uiPriority w:val="0"/>
    <w:rPr>
      <w:b/>
      <w:sz w:val="20"/>
      <w:szCs w:val="20"/>
    </w:rPr>
  </w:style>
  <w:style w:type="paragraph" w:styleId="36">
    <w:name w:val="Body Text First Indent"/>
    <w:basedOn w:val="15"/>
    <w:link w:val="87"/>
    <w:qFormat/>
    <w:uiPriority w:val="0"/>
    <w:pPr>
      <w:widowControl w:val="0"/>
      <w:ind w:firstLine="420" w:firstLineChars="100"/>
    </w:pPr>
    <w:rPr>
      <w:rFonts w:ascii="Times New Roman" w:hAnsi="Times New Roman"/>
      <w:kern w:val="2"/>
      <w:szCs w:val="20"/>
    </w:rPr>
  </w:style>
  <w:style w:type="table" w:styleId="38">
    <w:name w:val="Table Grid"/>
    <w:basedOn w:val="3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0">
    <w:name w:val="Strong"/>
    <w:qFormat/>
    <w:uiPriority w:val="20"/>
    <w:rPr>
      <w:b/>
      <w:w w:val="100"/>
      <w:sz w:val="21"/>
      <w:szCs w:val="21"/>
      <w:shd w:val="clear" w:color="auto" w:fill="auto"/>
    </w:rPr>
  </w:style>
  <w:style w:type="character" w:styleId="41">
    <w:name w:val="page number"/>
    <w:basedOn w:val="39"/>
    <w:qFormat/>
    <w:uiPriority w:val="0"/>
  </w:style>
  <w:style w:type="character" w:styleId="42">
    <w:name w:val="FollowedHyperlink"/>
    <w:basedOn w:val="39"/>
    <w:semiHidden/>
    <w:unhideWhenUsed/>
    <w:qFormat/>
    <w:uiPriority w:val="99"/>
    <w:rPr>
      <w:color w:val="954F72" w:themeColor="followedHyperlink"/>
      <w:u w:val="single"/>
      <w14:textFill>
        <w14:solidFill>
          <w14:schemeClr w14:val="folHlink"/>
        </w14:solidFill>
      </w14:textFill>
    </w:rPr>
  </w:style>
  <w:style w:type="character" w:styleId="43">
    <w:name w:val="Emphasis"/>
    <w:qFormat/>
    <w:uiPriority w:val="18"/>
    <w:rPr>
      <w:i/>
      <w:w w:val="100"/>
      <w:sz w:val="21"/>
      <w:szCs w:val="21"/>
      <w:shd w:val="clear" w:color="auto" w:fill="auto"/>
    </w:rPr>
  </w:style>
  <w:style w:type="character" w:styleId="44">
    <w:name w:val="Hyperlink"/>
    <w:qFormat/>
    <w:uiPriority w:val="99"/>
    <w:rPr>
      <w:color w:val="0000FF"/>
      <w:w w:val="100"/>
      <w:sz w:val="20"/>
      <w:szCs w:val="20"/>
      <w:u w:val="single"/>
      <w:shd w:val="clear" w:color="auto" w:fill="auto"/>
    </w:rPr>
  </w:style>
  <w:style w:type="character" w:styleId="45">
    <w:name w:val="annotation reference"/>
    <w:basedOn w:val="39"/>
    <w:semiHidden/>
    <w:unhideWhenUsed/>
    <w:qFormat/>
    <w:uiPriority w:val="99"/>
    <w:rPr>
      <w:w w:val="100"/>
      <w:sz w:val="21"/>
      <w:szCs w:val="21"/>
      <w:shd w:val="clear" w:color="auto" w:fill="auto"/>
    </w:rPr>
  </w:style>
  <w:style w:type="paragraph" w:styleId="46">
    <w:name w:val="No Spacing"/>
    <w:qFormat/>
    <w:uiPriority w:val="5"/>
    <w:pPr>
      <w:jc w:val="both"/>
    </w:pPr>
    <w:rPr>
      <w:rFonts w:ascii="Calibri" w:hAnsi="Calibri" w:eastAsia="宋体" w:cs="Times New Roman"/>
      <w:sz w:val="21"/>
      <w:szCs w:val="21"/>
      <w:lang w:val="en-US" w:eastAsia="zh-CN" w:bidi="ar-SA"/>
    </w:rPr>
  </w:style>
  <w:style w:type="character" w:customStyle="1" w:styleId="47">
    <w:name w:val="不明显强调1"/>
    <w:qFormat/>
    <w:uiPriority w:val="17"/>
    <w:rPr>
      <w:i/>
      <w:color w:val="404040"/>
      <w:w w:val="100"/>
      <w:sz w:val="21"/>
      <w:szCs w:val="21"/>
      <w:shd w:val="clear" w:color="auto" w:fill="auto"/>
    </w:rPr>
  </w:style>
  <w:style w:type="character" w:customStyle="1" w:styleId="48">
    <w:name w:val="明显强调1"/>
    <w:qFormat/>
    <w:uiPriority w:val="19"/>
    <w:rPr>
      <w:i/>
      <w:color w:val="5B9BD5"/>
      <w:w w:val="100"/>
      <w:sz w:val="21"/>
      <w:szCs w:val="21"/>
      <w:shd w:val="clear" w:color="auto" w:fill="auto"/>
    </w:rPr>
  </w:style>
  <w:style w:type="paragraph" w:styleId="49">
    <w:name w:val="Quote"/>
    <w:qFormat/>
    <w:uiPriority w:val="21"/>
    <w:pPr>
      <w:ind w:left="864" w:right="864"/>
      <w:jc w:val="center"/>
    </w:pPr>
    <w:rPr>
      <w:rFonts w:ascii="Calibri" w:hAnsi="Calibri" w:eastAsia="宋体" w:cs="Times New Roman"/>
      <w:i/>
      <w:color w:val="404040"/>
      <w:sz w:val="21"/>
      <w:szCs w:val="21"/>
      <w:lang w:val="en-US" w:eastAsia="zh-CN" w:bidi="ar-SA"/>
    </w:rPr>
  </w:style>
  <w:style w:type="paragraph" w:styleId="50">
    <w:name w:val="Intense Quote"/>
    <w:qFormat/>
    <w:uiPriority w:val="22"/>
    <w:pPr>
      <w:ind w:left="950" w:right="950"/>
      <w:jc w:val="center"/>
    </w:pPr>
    <w:rPr>
      <w:rFonts w:ascii="Calibri" w:hAnsi="Calibri" w:eastAsia="宋体" w:cs="Times New Roman"/>
      <w:i/>
      <w:color w:val="5B9BD5"/>
      <w:sz w:val="21"/>
      <w:szCs w:val="21"/>
      <w:lang w:val="en-US" w:eastAsia="zh-CN" w:bidi="ar-SA"/>
    </w:rPr>
  </w:style>
  <w:style w:type="character" w:customStyle="1" w:styleId="51">
    <w:name w:val="不明显参考1"/>
    <w:qFormat/>
    <w:uiPriority w:val="23"/>
    <w:rPr>
      <w:smallCaps/>
      <w:color w:val="5A5A5A"/>
      <w:w w:val="100"/>
      <w:sz w:val="21"/>
      <w:szCs w:val="21"/>
      <w:shd w:val="clear" w:color="auto" w:fill="auto"/>
    </w:rPr>
  </w:style>
  <w:style w:type="character" w:customStyle="1" w:styleId="52">
    <w:name w:val="明显参考1"/>
    <w:qFormat/>
    <w:uiPriority w:val="24"/>
    <w:rPr>
      <w:b/>
      <w:smallCaps/>
      <w:color w:val="5B9BD5"/>
      <w:w w:val="100"/>
      <w:sz w:val="21"/>
      <w:szCs w:val="21"/>
      <w:shd w:val="clear" w:color="auto" w:fill="auto"/>
    </w:rPr>
  </w:style>
  <w:style w:type="character" w:customStyle="1" w:styleId="53">
    <w:name w:val="书籍标题1"/>
    <w:qFormat/>
    <w:uiPriority w:val="25"/>
    <w:rPr>
      <w:b/>
      <w:i/>
      <w:w w:val="100"/>
      <w:sz w:val="21"/>
      <w:szCs w:val="21"/>
      <w:shd w:val="clear" w:color="auto" w:fill="auto"/>
    </w:rPr>
  </w:style>
  <w:style w:type="paragraph" w:styleId="54">
    <w:name w:val="List Paragraph"/>
    <w:basedOn w:val="1"/>
    <w:qFormat/>
    <w:uiPriority w:val="34"/>
    <w:pPr>
      <w:adjustRightInd w:val="0"/>
      <w:snapToGrid w:val="0"/>
      <w:jc w:val="left"/>
    </w:pPr>
  </w:style>
  <w:style w:type="paragraph" w:customStyle="1" w:styleId="55">
    <w:name w:val="TOC 标题1"/>
    <w:unhideWhenUsed/>
    <w:qFormat/>
    <w:uiPriority w:val="27"/>
    <w:rPr>
      <w:rFonts w:ascii="Calibri" w:hAnsi="Calibri" w:eastAsia="宋体" w:cs="Times New Roman"/>
      <w:color w:val="2E74B5"/>
      <w:sz w:val="32"/>
      <w:szCs w:val="32"/>
      <w:lang w:val="en-US" w:eastAsia="zh-CN" w:bidi="ar-SA"/>
    </w:rPr>
  </w:style>
  <w:style w:type="paragraph" w:customStyle="1" w:styleId="56">
    <w:name w:val="列出段落4"/>
    <w:basedOn w:val="1"/>
    <w:qFormat/>
    <w:uiPriority w:val="0"/>
    <w:pPr>
      <w:ind w:firstLine="420"/>
    </w:pPr>
    <w:rPr>
      <w:rFonts w:eastAsia="Calibri"/>
      <w:sz w:val="20"/>
      <w:szCs w:val="20"/>
    </w:rPr>
  </w:style>
  <w:style w:type="paragraph" w:customStyle="1" w:styleId="57">
    <w:name w:val="纯文本4"/>
    <w:basedOn w:val="1"/>
    <w:qFormat/>
    <w:uiPriority w:val="0"/>
    <w:pPr>
      <w:textAlignment w:val="baseline"/>
    </w:pPr>
    <w:rPr>
      <w:rFonts w:ascii="宋体" w:hAnsi="宋体" w:eastAsia="Times New Roman"/>
      <w:sz w:val="20"/>
      <w:szCs w:val="20"/>
    </w:rPr>
  </w:style>
  <w:style w:type="paragraph" w:customStyle="1" w:styleId="58">
    <w:name w:val="Default"/>
    <w:qFormat/>
    <w:uiPriority w:val="0"/>
    <w:pPr>
      <w:autoSpaceDE w:val="0"/>
      <w:autoSpaceDN w:val="0"/>
    </w:pPr>
    <w:rPr>
      <w:rFonts w:ascii="仿宋_GB2312" w:hAnsi="仿宋_GB2312" w:eastAsia="仿宋_GB2312" w:cs="Times New Roman"/>
      <w:color w:val="000000"/>
      <w:sz w:val="24"/>
      <w:szCs w:val="24"/>
      <w:lang w:val="en-US" w:eastAsia="zh-CN" w:bidi="ar-SA"/>
    </w:rPr>
  </w:style>
  <w:style w:type="paragraph" w:customStyle="1" w:styleId="59">
    <w:name w:val="列出段落1"/>
    <w:basedOn w:val="1"/>
    <w:qFormat/>
    <w:uiPriority w:val="0"/>
    <w:pPr>
      <w:ind w:firstLine="420"/>
    </w:pPr>
    <w:rPr>
      <w:rFonts w:eastAsia="Calibri"/>
      <w:sz w:val="20"/>
      <w:szCs w:val="20"/>
    </w:rPr>
  </w:style>
  <w:style w:type="paragraph" w:customStyle="1" w:styleId="60">
    <w:name w:val="List Paragraph1"/>
    <w:basedOn w:val="1"/>
    <w:qFormat/>
    <w:uiPriority w:val="0"/>
    <w:pPr>
      <w:ind w:firstLine="420"/>
    </w:pPr>
    <w:rPr>
      <w:rFonts w:eastAsia="Calibri"/>
      <w:sz w:val="20"/>
      <w:szCs w:val="20"/>
    </w:rPr>
  </w:style>
  <w:style w:type="paragraph" w:customStyle="1" w:styleId="61">
    <w:name w:val="列出段落2"/>
    <w:basedOn w:val="1"/>
    <w:qFormat/>
    <w:uiPriority w:val="0"/>
    <w:pPr>
      <w:ind w:firstLine="420"/>
    </w:pPr>
    <w:rPr>
      <w:rFonts w:eastAsia="Calibri"/>
      <w:sz w:val="20"/>
      <w:szCs w:val="20"/>
    </w:rPr>
  </w:style>
  <w:style w:type="paragraph" w:customStyle="1" w:styleId="62">
    <w:name w:val="列出段落3"/>
    <w:basedOn w:val="1"/>
    <w:qFormat/>
    <w:uiPriority w:val="0"/>
    <w:pPr>
      <w:ind w:firstLine="420"/>
    </w:pPr>
    <w:rPr>
      <w:rFonts w:eastAsia="Calibri"/>
      <w:sz w:val="20"/>
      <w:szCs w:val="20"/>
    </w:rPr>
  </w:style>
  <w:style w:type="paragraph" w:customStyle="1" w:styleId="63">
    <w:name w:val="纯文本1"/>
    <w:basedOn w:val="1"/>
    <w:qFormat/>
    <w:uiPriority w:val="0"/>
    <w:pPr>
      <w:textAlignment w:val="baseline"/>
    </w:pPr>
    <w:rPr>
      <w:rFonts w:ascii="宋体" w:hAnsi="宋体" w:eastAsia="Courier New"/>
      <w:sz w:val="20"/>
      <w:szCs w:val="20"/>
    </w:rPr>
  </w:style>
  <w:style w:type="character" w:customStyle="1" w:styleId="64">
    <w:name w:val="页眉 字符"/>
    <w:link w:val="25"/>
    <w:qFormat/>
    <w:uiPriority w:val="99"/>
    <w:rPr>
      <w:rFonts w:ascii="Calibri" w:hAnsi="Calibri" w:eastAsia="宋体"/>
      <w:w w:val="100"/>
      <w:sz w:val="18"/>
      <w:szCs w:val="18"/>
      <w:shd w:val="clear" w:color="auto" w:fill="auto"/>
    </w:rPr>
  </w:style>
  <w:style w:type="paragraph" w:customStyle="1" w:styleId="65">
    <w:name w:val="样式1"/>
    <w:qFormat/>
    <w:uiPriority w:val="0"/>
    <w:pPr>
      <w:ind w:firstLine="602"/>
      <w:jc w:val="both"/>
    </w:pPr>
    <w:rPr>
      <w:rFonts w:ascii="仿宋" w:hAnsi="仿宋" w:eastAsia="Times New Roman" w:cs="Times New Roman"/>
      <w:sz w:val="30"/>
      <w:szCs w:val="30"/>
      <w:lang w:val="en-US" w:eastAsia="zh-CN" w:bidi="ar-SA"/>
    </w:rPr>
  </w:style>
  <w:style w:type="paragraph" w:customStyle="1" w:styleId="66">
    <w:name w:val="列表段落2"/>
    <w:basedOn w:val="1"/>
    <w:qFormat/>
    <w:uiPriority w:val="99"/>
    <w:pPr>
      <w:ind w:firstLine="420"/>
    </w:pPr>
    <w:rPr>
      <w:rFonts w:eastAsia="Calibri"/>
      <w:sz w:val="20"/>
      <w:szCs w:val="20"/>
    </w:rPr>
  </w:style>
  <w:style w:type="paragraph" w:customStyle="1" w:styleId="67">
    <w:name w:val="列出段落5"/>
    <w:basedOn w:val="1"/>
    <w:qFormat/>
    <w:uiPriority w:val="0"/>
    <w:pPr>
      <w:ind w:firstLine="420"/>
    </w:pPr>
    <w:rPr>
      <w:rFonts w:eastAsia="Calibri"/>
      <w:sz w:val="20"/>
      <w:szCs w:val="20"/>
    </w:rPr>
  </w:style>
  <w:style w:type="character" w:customStyle="1" w:styleId="68">
    <w:name w:val="批注框文本 字符"/>
    <w:basedOn w:val="39"/>
    <w:link w:val="23"/>
    <w:qFormat/>
    <w:uiPriority w:val="0"/>
    <w:rPr>
      <w:w w:val="100"/>
      <w:sz w:val="18"/>
      <w:szCs w:val="18"/>
      <w:shd w:val="clear" w:color="auto" w:fill="auto"/>
    </w:rPr>
  </w:style>
  <w:style w:type="paragraph" w:customStyle="1" w:styleId="69">
    <w:name w:val="修订1"/>
    <w:semiHidden/>
    <w:qFormat/>
    <w:uiPriority w:val="0"/>
    <w:rPr>
      <w:rFonts w:ascii="Calibri" w:hAnsi="Calibri" w:eastAsia="宋体" w:cs="Times New Roman"/>
      <w:sz w:val="21"/>
      <w:szCs w:val="21"/>
      <w:lang w:val="en-US" w:eastAsia="zh-CN" w:bidi="ar-SA"/>
    </w:rPr>
  </w:style>
  <w:style w:type="character" w:customStyle="1" w:styleId="70">
    <w:name w:val="正文文本缩进 字符"/>
    <w:basedOn w:val="39"/>
    <w:link w:val="16"/>
    <w:qFormat/>
    <w:uiPriority w:val="0"/>
    <w:rPr>
      <w:w w:val="100"/>
      <w:sz w:val="21"/>
      <w:szCs w:val="21"/>
      <w:shd w:val="clear" w:color="auto" w:fill="auto"/>
    </w:rPr>
  </w:style>
  <w:style w:type="character" w:customStyle="1" w:styleId="71">
    <w:name w:val="标题 字符"/>
    <w:basedOn w:val="39"/>
    <w:link w:val="34"/>
    <w:qFormat/>
    <w:uiPriority w:val="0"/>
    <w:rPr>
      <w:rFonts w:ascii="Calibri Light" w:hAnsi="Calibri Light" w:eastAsia="宋体"/>
      <w:b/>
      <w:w w:val="100"/>
      <w:sz w:val="32"/>
      <w:szCs w:val="32"/>
      <w:shd w:val="clear" w:color="auto" w:fill="auto"/>
    </w:rPr>
  </w:style>
  <w:style w:type="character" w:customStyle="1" w:styleId="72">
    <w:name w:val="批注文字 字符"/>
    <w:basedOn w:val="39"/>
    <w:link w:val="14"/>
    <w:qFormat/>
    <w:uiPriority w:val="99"/>
    <w:rPr>
      <w:w w:val="100"/>
      <w:sz w:val="21"/>
      <w:szCs w:val="21"/>
      <w:shd w:val="clear" w:color="auto" w:fill="auto"/>
    </w:rPr>
  </w:style>
  <w:style w:type="character" w:customStyle="1" w:styleId="73">
    <w:name w:val="批注主题 字符"/>
    <w:basedOn w:val="72"/>
    <w:link w:val="35"/>
    <w:qFormat/>
    <w:uiPriority w:val="0"/>
    <w:rPr>
      <w:b/>
      <w:w w:val="100"/>
      <w:sz w:val="21"/>
      <w:szCs w:val="21"/>
      <w:shd w:val="clear" w:color="auto" w:fill="auto"/>
    </w:rPr>
  </w:style>
  <w:style w:type="character" w:customStyle="1" w:styleId="74">
    <w:name w:val="页脚 字符"/>
    <w:basedOn w:val="39"/>
    <w:link w:val="24"/>
    <w:qFormat/>
    <w:uiPriority w:val="99"/>
    <w:rPr>
      <w:w w:val="100"/>
      <w:sz w:val="18"/>
      <w:szCs w:val="18"/>
      <w:shd w:val="clear" w:color="auto" w:fill="auto"/>
    </w:rPr>
  </w:style>
  <w:style w:type="character" w:customStyle="1" w:styleId="75">
    <w:name w:val="标题 1 Char"/>
    <w:basedOn w:val="39"/>
    <w:qFormat/>
    <w:uiPriority w:val="0"/>
    <w:rPr>
      <w:b/>
      <w:w w:val="100"/>
      <w:sz w:val="44"/>
      <w:szCs w:val="44"/>
      <w:shd w:val="clear" w:color="auto" w:fill="auto"/>
    </w:rPr>
  </w:style>
  <w:style w:type="character" w:customStyle="1" w:styleId="76">
    <w:name w:val="标题 1 字符"/>
    <w:link w:val="2"/>
    <w:qFormat/>
    <w:uiPriority w:val="0"/>
    <w:rPr>
      <w:b/>
      <w:w w:val="100"/>
      <w:sz w:val="44"/>
      <w:szCs w:val="44"/>
      <w:shd w:val="clear" w:color="auto" w:fill="auto"/>
    </w:rPr>
  </w:style>
  <w:style w:type="paragraph" w:customStyle="1" w:styleId="77">
    <w:name w:val="修订2"/>
    <w:hidden/>
    <w:semiHidden/>
    <w:qFormat/>
    <w:uiPriority w:val="99"/>
    <w:rPr>
      <w:rFonts w:ascii="Calibri" w:hAnsi="Calibri" w:eastAsia="宋体" w:cs="Times New Roman"/>
      <w:sz w:val="21"/>
      <w:szCs w:val="21"/>
      <w:lang w:val="en-US" w:eastAsia="zh-CN" w:bidi="ar-SA"/>
    </w:rPr>
  </w:style>
  <w:style w:type="character" w:customStyle="1" w:styleId="78">
    <w:name w:val="List Paragraph 字符"/>
    <w:link w:val="79"/>
    <w:qFormat/>
    <w:uiPriority w:val="0"/>
    <w:rPr>
      <w:rFonts w:cs="Calibri"/>
      <w:kern w:val="2"/>
      <w:sz w:val="21"/>
      <w:szCs w:val="21"/>
    </w:rPr>
  </w:style>
  <w:style w:type="paragraph" w:customStyle="1" w:styleId="79">
    <w:name w:val="List Paragraph2"/>
    <w:basedOn w:val="1"/>
    <w:link w:val="78"/>
    <w:qFormat/>
    <w:uiPriority w:val="0"/>
    <w:pPr>
      <w:widowControl w:val="0"/>
      <w:ind w:firstLine="420" w:firstLineChars="200"/>
    </w:pPr>
    <w:rPr>
      <w:rFonts w:cs="Calibri"/>
      <w:kern w:val="2"/>
    </w:rPr>
  </w:style>
  <w:style w:type="paragraph" w:customStyle="1" w:styleId="80">
    <w:name w:val="修订3"/>
    <w:hidden/>
    <w:unhideWhenUsed/>
    <w:qFormat/>
    <w:uiPriority w:val="99"/>
    <w:rPr>
      <w:rFonts w:ascii="Calibri" w:hAnsi="Calibri" w:eastAsia="宋体" w:cs="Times New Roman"/>
      <w:sz w:val="21"/>
      <w:szCs w:val="21"/>
      <w:lang w:val="en-US" w:eastAsia="zh-CN" w:bidi="ar-SA"/>
    </w:rPr>
  </w:style>
  <w:style w:type="paragraph" w:customStyle="1" w:styleId="81">
    <w:name w:val="修订4"/>
    <w:hidden/>
    <w:unhideWhenUsed/>
    <w:qFormat/>
    <w:uiPriority w:val="99"/>
    <w:rPr>
      <w:rFonts w:ascii="Calibri" w:hAnsi="Calibri" w:eastAsia="宋体" w:cs="Times New Roman"/>
      <w:sz w:val="21"/>
      <w:szCs w:val="21"/>
      <w:lang w:val="en-US" w:eastAsia="zh-CN" w:bidi="ar-SA"/>
    </w:rPr>
  </w:style>
  <w:style w:type="paragraph" w:customStyle="1" w:styleId="82">
    <w:name w:val="修订5"/>
    <w:hidden/>
    <w:unhideWhenUsed/>
    <w:qFormat/>
    <w:uiPriority w:val="99"/>
    <w:rPr>
      <w:rFonts w:ascii="Calibri" w:hAnsi="Calibri" w:eastAsia="宋体" w:cs="Times New Roman"/>
      <w:sz w:val="21"/>
      <w:szCs w:val="21"/>
      <w:lang w:val="en-US" w:eastAsia="zh-CN" w:bidi="ar-SA"/>
    </w:rPr>
  </w:style>
  <w:style w:type="paragraph" w:customStyle="1" w:styleId="83">
    <w:name w:val="修订6"/>
    <w:hidden/>
    <w:unhideWhenUsed/>
    <w:qFormat/>
    <w:uiPriority w:val="99"/>
    <w:rPr>
      <w:rFonts w:ascii="Calibri" w:hAnsi="Calibri" w:eastAsia="宋体" w:cs="Times New Roman"/>
      <w:sz w:val="21"/>
      <w:szCs w:val="21"/>
      <w:lang w:val="en-US" w:eastAsia="zh-CN" w:bidi="ar-SA"/>
    </w:rPr>
  </w:style>
  <w:style w:type="paragraph" w:customStyle="1" w:styleId="84">
    <w:name w:val="修订7"/>
    <w:hidden/>
    <w:unhideWhenUsed/>
    <w:qFormat/>
    <w:uiPriority w:val="99"/>
    <w:rPr>
      <w:rFonts w:ascii="Calibri" w:hAnsi="Calibri" w:eastAsia="宋体" w:cs="Times New Roman"/>
      <w:sz w:val="21"/>
      <w:szCs w:val="21"/>
      <w:lang w:val="en-US" w:eastAsia="zh-CN" w:bidi="ar-SA"/>
    </w:rPr>
  </w:style>
  <w:style w:type="paragraph" w:customStyle="1" w:styleId="85">
    <w:name w:val="修订8"/>
    <w:hidden/>
    <w:unhideWhenUsed/>
    <w:qFormat/>
    <w:uiPriority w:val="99"/>
    <w:rPr>
      <w:rFonts w:ascii="Calibri" w:hAnsi="Calibri" w:eastAsia="宋体" w:cs="Times New Roman"/>
      <w:sz w:val="21"/>
      <w:szCs w:val="21"/>
      <w:lang w:val="en-US" w:eastAsia="zh-CN" w:bidi="ar-SA"/>
    </w:rPr>
  </w:style>
  <w:style w:type="character" w:customStyle="1" w:styleId="86">
    <w:name w:val="正文文本 字符"/>
    <w:basedOn w:val="39"/>
    <w:link w:val="15"/>
    <w:qFormat/>
    <w:uiPriority w:val="0"/>
    <w:rPr>
      <w:rFonts w:ascii="Calibri" w:hAnsi="Calibri"/>
      <w:sz w:val="21"/>
      <w:szCs w:val="21"/>
    </w:rPr>
  </w:style>
  <w:style w:type="character" w:customStyle="1" w:styleId="87">
    <w:name w:val="正文首行缩进 字符"/>
    <w:basedOn w:val="86"/>
    <w:link w:val="36"/>
    <w:qFormat/>
    <w:uiPriority w:val="0"/>
    <w:rPr>
      <w:rFonts w:ascii="Calibri" w:hAnsi="Calibri"/>
      <w:kern w:val="2"/>
      <w:sz w:val="21"/>
      <w:szCs w:val="21"/>
    </w:rPr>
  </w:style>
  <w:style w:type="character" w:customStyle="1" w:styleId="88">
    <w:name w:val="文档结构图 字符"/>
    <w:basedOn w:val="39"/>
    <w:link w:val="13"/>
    <w:qFormat/>
    <w:uiPriority w:val="0"/>
    <w:rPr>
      <w:kern w:val="2"/>
      <w:sz w:val="21"/>
      <w:shd w:val="clear" w:color="auto" w:fill="000080"/>
    </w:rPr>
  </w:style>
  <w:style w:type="character" w:customStyle="1" w:styleId="89">
    <w:name w:val="纯文本 字符"/>
    <w:basedOn w:val="39"/>
    <w:link w:val="19"/>
    <w:qFormat/>
    <w:uiPriority w:val="0"/>
    <w:rPr>
      <w:rFonts w:ascii="宋体" w:hAnsi="Courier New" w:cs="Courier New"/>
      <w:kern w:val="2"/>
      <w:sz w:val="21"/>
      <w:szCs w:val="21"/>
    </w:rPr>
  </w:style>
  <w:style w:type="character" w:customStyle="1" w:styleId="90">
    <w:name w:val="日期 字符"/>
    <w:basedOn w:val="39"/>
    <w:link w:val="21"/>
    <w:qFormat/>
    <w:uiPriority w:val="0"/>
    <w:rPr>
      <w:kern w:val="2"/>
      <w:sz w:val="21"/>
    </w:rPr>
  </w:style>
  <w:style w:type="character" w:customStyle="1" w:styleId="91">
    <w:name w:val="正文文本缩进 2 字符"/>
    <w:basedOn w:val="39"/>
    <w:link w:val="22"/>
    <w:qFormat/>
    <w:uiPriority w:val="0"/>
    <w:rPr>
      <w:kern w:val="2"/>
      <w:sz w:val="21"/>
    </w:rPr>
  </w:style>
  <w:style w:type="paragraph" w:customStyle="1" w:styleId="92">
    <w:name w:val="Char2 Char Char Char"/>
    <w:basedOn w:val="1"/>
    <w:qFormat/>
    <w:uiPriority w:val="0"/>
    <w:pPr>
      <w:spacing w:after="160" w:line="240" w:lineRule="exact"/>
      <w:jc w:val="left"/>
    </w:pPr>
    <w:rPr>
      <w:rFonts w:ascii="Verdana" w:hAnsi="Verdana"/>
      <w:sz w:val="20"/>
      <w:szCs w:val="20"/>
      <w:lang w:eastAsia="en-US"/>
    </w:rPr>
  </w:style>
  <w:style w:type="paragraph" w:customStyle="1" w:styleId="93">
    <w:name w:val="样式 标题 1 +"/>
    <w:basedOn w:val="2"/>
    <w:qFormat/>
    <w:uiPriority w:val="0"/>
    <w:pPr>
      <w:widowControl w:val="0"/>
      <w:spacing w:line="440" w:lineRule="exact"/>
      <w:ind w:firstLine="420" w:firstLineChars="200"/>
    </w:pPr>
    <w:rPr>
      <w:rFonts w:ascii="Times New Roman" w:hAnsi="Times New Roman" w:eastAsia="黑体"/>
      <w:b w:val="0"/>
      <w:bCs/>
      <w:sz w:val="21"/>
    </w:rPr>
  </w:style>
  <w:style w:type="paragraph" w:customStyle="1" w:styleId="94">
    <w:name w:val="Char"/>
    <w:basedOn w:val="1"/>
    <w:qFormat/>
    <w:uiPriority w:val="0"/>
    <w:pPr>
      <w:spacing w:after="160" w:line="240" w:lineRule="exact"/>
      <w:jc w:val="left"/>
    </w:pPr>
    <w:rPr>
      <w:rFonts w:ascii="Verdana" w:hAnsi="Verdana"/>
      <w:sz w:val="20"/>
      <w:szCs w:val="20"/>
      <w:lang w:eastAsia="en-US"/>
    </w:rPr>
  </w:style>
  <w:style w:type="paragraph" w:customStyle="1" w:styleId="95">
    <w:name w:val="Char Char Char Char"/>
    <w:basedOn w:val="1"/>
    <w:qFormat/>
    <w:uiPriority w:val="0"/>
    <w:pPr>
      <w:spacing w:after="160" w:line="240" w:lineRule="exact"/>
      <w:jc w:val="left"/>
    </w:pPr>
    <w:rPr>
      <w:rFonts w:ascii="Verdana" w:hAnsi="Verdana"/>
      <w:sz w:val="20"/>
      <w:szCs w:val="20"/>
      <w:lang w:eastAsia="en-US"/>
    </w:rPr>
  </w:style>
  <w:style w:type="paragraph" w:customStyle="1" w:styleId="96">
    <w:name w:val="默认段落字体 Para Char Char Char Char Char Char Char"/>
    <w:basedOn w:val="1"/>
    <w:qFormat/>
    <w:uiPriority w:val="0"/>
    <w:pPr>
      <w:widowControl w:val="0"/>
    </w:pPr>
    <w:rPr>
      <w:rFonts w:ascii="Tahoma" w:hAnsi="Tahoma"/>
      <w:kern w:val="2"/>
      <w:sz w:val="24"/>
      <w:szCs w:val="20"/>
    </w:rPr>
  </w:style>
  <w:style w:type="paragraph" w:customStyle="1" w:styleId="97">
    <w:name w:val="样式 标题 2 +"/>
    <w:basedOn w:val="3"/>
    <w:qFormat/>
    <w:uiPriority w:val="0"/>
    <w:pPr>
      <w:keepNext/>
      <w:keepLines/>
      <w:widowControl w:val="0"/>
      <w:spacing w:line="440" w:lineRule="exact"/>
      <w:ind w:firstLine="422" w:firstLineChars="200"/>
    </w:pPr>
    <w:rPr>
      <w:rFonts w:ascii="宋体" w:hAnsi="宋体"/>
      <w:b/>
      <w:kern w:val="2"/>
      <w:szCs w:val="20"/>
    </w:rPr>
  </w:style>
  <w:style w:type="paragraph" w:customStyle="1" w:styleId="98">
    <w:name w:val="表文"/>
    <w:basedOn w:val="1"/>
    <w:qFormat/>
    <w:uiPriority w:val="0"/>
    <w:pPr>
      <w:widowControl w:val="0"/>
      <w:topLinePunct/>
    </w:pPr>
    <w:rPr>
      <w:rFonts w:ascii="Times New Roman" w:hAnsi="Times New Roman"/>
      <w:sz w:val="18"/>
      <w:szCs w:val="18"/>
    </w:rPr>
  </w:style>
  <w:style w:type="paragraph" w:customStyle="1" w:styleId="99">
    <w:name w:val="正文（生产细则）"/>
    <w:basedOn w:val="1"/>
    <w:qFormat/>
    <w:uiPriority w:val="99"/>
    <w:pPr>
      <w:widowControl w:val="0"/>
      <w:adjustRightInd w:val="0"/>
      <w:snapToGrid w:val="0"/>
      <w:spacing w:line="300" w:lineRule="auto"/>
      <w:ind w:firstLine="200" w:firstLineChars="200"/>
    </w:pPr>
    <w:rPr>
      <w:rFonts w:ascii="Times New Roman" w:hAnsi="Times New Roman" w:eastAsia="仿宋_GB2312"/>
      <w:color w:val="000000"/>
      <w:kern w:val="2"/>
      <w:sz w:val="24"/>
      <w:szCs w:val="24"/>
    </w:rPr>
  </w:style>
  <w:style w:type="character" w:customStyle="1" w:styleId="100">
    <w:name w:val="clabel1"/>
    <w:qFormat/>
    <w:uiPriority w:val="0"/>
    <w:rPr>
      <w:color w:val="FF0000"/>
    </w:rPr>
  </w:style>
  <w:style w:type="character" w:customStyle="1" w:styleId="101">
    <w:name w:val="标题 3 字符"/>
    <w:link w:val="4"/>
    <w:qFormat/>
    <w:locked/>
    <w:uiPriority w:val="0"/>
    <w:rPr>
      <w:rFonts w:eastAsia="Times New Roman"/>
      <w:b/>
      <w:sz w:val="30"/>
      <w:szCs w:val="30"/>
    </w:rPr>
  </w:style>
  <w:style w:type="paragraph" w:customStyle="1" w:styleId="102">
    <w:name w:val="Plain Text1"/>
    <w:basedOn w:val="1"/>
    <w:qFormat/>
    <w:uiPriority w:val="0"/>
    <w:pPr>
      <w:widowControl w:val="0"/>
      <w:adjustRightInd w:val="0"/>
    </w:pPr>
    <w:rPr>
      <w:rFonts w:ascii="宋体" w:hAnsi="Courier New"/>
      <w:kern w:val="2"/>
      <w:szCs w:val="20"/>
    </w:rPr>
  </w:style>
  <w:style w:type="paragraph" w:customStyle="1" w:styleId="103">
    <w:name w:val="段"/>
    <w:qFormat/>
    <w:uiPriority w:val="0"/>
    <w:pPr>
      <w:autoSpaceDE w:val="0"/>
      <w:autoSpaceDN w:val="0"/>
      <w:jc w:val="center"/>
    </w:pPr>
    <w:rPr>
      <w:rFonts w:ascii="宋体" w:hAnsi="Times New Roman" w:eastAsia="宋体" w:cs="Times New Roman"/>
      <w:sz w:val="21"/>
      <w:lang w:val="en-US" w:eastAsia="zh-CN" w:bidi="ar-SA"/>
    </w:rPr>
  </w:style>
  <w:style w:type="paragraph" w:customStyle="1" w:styleId="104">
    <w:name w:val="三级条标题"/>
    <w:basedOn w:val="1"/>
    <w:next w:val="1"/>
    <w:link w:val="105"/>
    <w:qFormat/>
    <w:uiPriority w:val="0"/>
    <w:pPr>
      <w:ind w:left="945"/>
      <w:jc w:val="left"/>
      <w:outlineLvl w:val="4"/>
    </w:pPr>
    <w:rPr>
      <w:rFonts w:ascii="Times New Roman" w:hAnsi="Times New Roman" w:eastAsia="黑体"/>
      <w:szCs w:val="20"/>
    </w:rPr>
  </w:style>
  <w:style w:type="character" w:customStyle="1" w:styleId="105">
    <w:name w:val="三级条标题 Char"/>
    <w:link w:val="104"/>
    <w:qFormat/>
    <w:uiPriority w:val="0"/>
    <w:rPr>
      <w:rFonts w:eastAsia="黑体"/>
      <w:sz w:val="21"/>
    </w:rPr>
  </w:style>
  <w:style w:type="paragraph" w:customStyle="1" w:styleId="106">
    <w:name w:val="ordinary-output target-output clearfix"/>
    <w:basedOn w:val="1"/>
    <w:qFormat/>
    <w:uiPriority w:val="0"/>
    <w:pPr>
      <w:spacing w:before="100" w:beforeAutospacing="1" w:after="100" w:afterAutospacing="1"/>
      <w:jc w:val="left"/>
    </w:pPr>
    <w:rPr>
      <w:rFonts w:ascii="宋体" w:hAnsi="宋体" w:cs="宋体"/>
      <w:sz w:val="24"/>
      <w:szCs w:val="24"/>
    </w:rPr>
  </w:style>
  <w:style w:type="character" w:customStyle="1" w:styleId="107">
    <w:name w:val="high-light-bg4"/>
    <w:basedOn w:val="39"/>
    <w:qFormat/>
    <w:uiPriority w:val="0"/>
  </w:style>
  <w:style w:type="character" w:customStyle="1" w:styleId="108">
    <w:name w:val="页脚 字符1"/>
    <w:qFormat/>
    <w:uiPriority w:val="0"/>
    <w:rPr>
      <w:kern w:val="2"/>
      <w:sz w:val="18"/>
    </w:rPr>
  </w:style>
  <w:style w:type="paragraph" w:customStyle="1" w:styleId="109">
    <w:name w:val="纯文本11"/>
    <w:basedOn w:val="1"/>
    <w:qFormat/>
    <w:uiPriority w:val="0"/>
    <w:pPr>
      <w:widowControl w:val="0"/>
      <w:adjustRightInd w:val="0"/>
      <w:textAlignment w:val="baseline"/>
    </w:pPr>
    <w:rPr>
      <w:rFonts w:ascii="宋体" w:hAnsi="Courier New"/>
      <w:kern w:val="2"/>
      <w:szCs w:val="20"/>
    </w:rPr>
  </w:style>
  <w:style w:type="paragraph" w:customStyle="1" w:styleId="110">
    <w:name w:val="样式 标题 3 + 首行缩进:  0 字符"/>
    <w:basedOn w:val="4"/>
    <w:qFormat/>
    <w:uiPriority w:val="0"/>
    <w:pPr>
      <w:widowControl w:val="0"/>
      <w:adjustRightInd w:val="0"/>
      <w:spacing w:line="440" w:lineRule="exact"/>
      <w:jc w:val="center"/>
    </w:pPr>
    <w:rPr>
      <w:rFonts w:eastAsia="宋体" w:cs="宋体"/>
      <w:b w:val="0"/>
      <w:kern w:val="2"/>
      <w:sz w:val="28"/>
      <w:szCs w:val="20"/>
    </w:rPr>
  </w:style>
  <w:style w:type="paragraph" w:customStyle="1" w:styleId="111">
    <w:name w:val="肥料正文"/>
    <w:basedOn w:val="1"/>
    <w:qFormat/>
    <w:uiPriority w:val="0"/>
    <w:pPr>
      <w:widowControl w:val="0"/>
      <w:adjustRightInd w:val="0"/>
      <w:snapToGrid w:val="0"/>
      <w:spacing w:line="316" w:lineRule="auto"/>
      <w:ind w:firstLine="200" w:firstLineChars="200"/>
    </w:pPr>
    <w:rPr>
      <w:rFonts w:ascii="Times New Roman" w:hAnsi="Times New Roman" w:eastAsia="汉鼎简书宋二"/>
      <w:spacing w:val="2"/>
      <w:sz w:val="22"/>
      <w:szCs w:val="24"/>
    </w:rPr>
  </w:style>
  <w:style w:type="paragraph" w:customStyle="1" w:styleId="112">
    <w:name w:val="列出段落11"/>
    <w:basedOn w:val="1"/>
    <w:qFormat/>
    <w:uiPriority w:val="0"/>
    <w:pPr>
      <w:widowControl w:val="0"/>
      <w:ind w:firstLine="420" w:firstLineChars="200"/>
    </w:pPr>
    <w:rPr>
      <w:rFonts w:cs="Calibri"/>
      <w:kern w:val="2"/>
    </w:rPr>
  </w:style>
  <w:style w:type="character" w:customStyle="1" w:styleId="113">
    <w:name w:val="标题 9 字符"/>
    <w:basedOn w:val="39"/>
    <w:link w:val="10"/>
    <w:qFormat/>
    <w:uiPriority w:val="9"/>
    <w:rPr>
      <w:rFonts w:ascii="Calibri" w:hAnsi="Calibri"/>
      <w:sz w:val="21"/>
      <w:szCs w:val="21"/>
    </w:rPr>
  </w:style>
  <w:style w:type="character" w:customStyle="1" w:styleId="114">
    <w:name w:val="纯文本 字符2"/>
    <w:qFormat/>
    <w:uiPriority w:val="0"/>
    <w:rPr>
      <w:rFonts w:ascii="宋体" w:hAnsi="Courier New"/>
    </w:rPr>
  </w:style>
  <w:style w:type="paragraph" w:customStyle="1" w:styleId="115">
    <w:name w:val="列表段落3"/>
    <w:basedOn w:val="1"/>
    <w:qFormat/>
    <w:uiPriority w:val="0"/>
    <w:pPr>
      <w:widowControl w:val="0"/>
      <w:ind w:firstLine="420" w:firstLineChars="200"/>
    </w:pPr>
    <w:rPr>
      <w:rFonts w:cs="Calibri"/>
      <w:kern w:val="2"/>
    </w:rPr>
  </w:style>
  <w:style w:type="character" w:customStyle="1" w:styleId="116">
    <w:name w:val="标题 3 字符1"/>
    <w:basedOn w:val="39"/>
    <w:qFormat/>
    <w:uiPriority w:val="0"/>
    <w:rPr>
      <w:rFonts w:ascii="Times New Roman" w:hAnsi="Times New Roman" w:eastAsia="宋体" w:cs="Times New Roman"/>
      <w:b/>
      <w:bCs/>
      <w:sz w:val="30"/>
      <w:szCs w:val="32"/>
    </w:rPr>
  </w:style>
  <w:style w:type="character" w:customStyle="1" w:styleId="117">
    <w:name w:val="页脚 字符2"/>
    <w:qFormat/>
    <w:uiPriority w:val="99"/>
    <w:rPr>
      <w:sz w:val="18"/>
    </w:rPr>
  </w:style>
  <w:style w:type="character" w:customStyle="1" w:styleId="118">
    <w:name w:val="页眉 字符2"/>
    <w:qFormat/>
    <w:uiPriority w:val="99"/>
    <w:rPr>
      <w:sz w:val="18"/>
      <w:szCs w:val="18"/>
    </w:rPr>
  </w:style>
  <w:style w:type="paragraph" w:customStyle="1" w:styleId="119">
    <w:name w:val="TOC 标题2"/>
    <w:basedOn w:val="2"/>
    <w:next w:val="1"/>
    <w:unhideWhenUsed/>
    <w:qFormat/>
    <w:uiPriority w:val="39"/>
    <w:pPr>
      <w:spacing w:before="240" w:line="259" w:lineRule="auto"/>
      <w:jc w:val="left"/>
      <w:outlineLvl w:val="9"/>
    </w:pPr>
    <w:rPr>
      <w:rFonts w:asciiTheme="majorHAnsi" w:hAnsiTheme="majorHAnsi" w:eastAsiaTheme="majorEastAsia" w:cstheme="majorBidi"/>
      <w:b w:val="0"/>
      <w:color w:val="2E75B6" w:themeColor="accent1" w:themeShade="BF"/>
      <w:sz w:val="32"/>
      <w:szCs w:val="32"/>
    </w:rPr>
  </w:style>
  <w:style w:type="paragraph" w:customStyle="1" w:styleId="120">
    <w:name w:val="修订9"/>
    <w:hidden/>
    <w:unhideWhenUsed/>
    <w:qFormat/>
    <w:uiPriority w:val="99"/>
    <w:rPr>
      <w:rFonts w:ascii="Calibri" w:hAnsi="Calibri" w:eastAsia="宋体" w:cs="Times New Roman"/>
      <w:sz w:val="21"/>
      <w:szCs w:val="21"/>
      <w:lang w:val="en-US" w:eastAsia="zh-CN" w:bidi="ar-SA"/>
    </w:rPr>
  </w:style>
  <w:style w:type="paragraph" w:customStyle="1" w:styleId="121">
    <w:name w:val="修订10"/>
    <w:hidden/>
    <w:unhideWhenUsed/>
    <w:qFormat/>
    <w:uiPriority w:val="99"/>
    <w:rPr>
      <w:rFonts w:ascii="Calibri" w:hAnsi="Calibri" w:eastAsia="宋体" w:cs="Times New Roman"/>
      <w:sz w:val="21"/>
      <w:szCs w:val="21"/>
      <w:lang w:val="en-US" w:eastAsia="zh-CN" w:bidi="ar-SA"/>
    </w:rPr>
  </w:style>
  <w:style w:type="paragraph" w:customStyle="1" w:styleId="122">
    <w:name w:val="修订11"/>
    <w:hidden/>
    <w:semiHidden/>
    <w:qFormat/>
    <w:uiPriority w:val="99"/>
    <w:rPr>
      <w:rFonts w:ascii="Calibri" w:hAnsi="Calibri" w:eastAsia="宋体" w:cs="Times New Roman"/>
      <w:sz w:val="21"/>
      <w:szCs w:val="21"/>
      <w:lang w:val="en-US" w:eastAsia="zh-CN" w:bidi="ar-SA"/>
    </w:rPr>
  </w:style>
  <w:style w:type="paragraph" w:customStyle="1" w:styleId="123">
    <w:name w:val="修订12"/>
    <w:hidden/>
    <w:unhideWhenUsed/>
    <w:qFormat/>
    <w:uiPriority w:val="99"/>
    <w:rPr>
      <w:rFonts w:ascii="Calibri" w:hAnsi="Calibri" w:eastAsia="宋体" w:cs="Times New Roman"/>
      <w:sz w:val="21"/>
      <w:szCs w:val="21"/>
      <w:lang w:val="en-US" w:eastAsia="zh-CN" w:bidi="ar-SA"/>
    </w:rPr>
  </w:style>
  <w:style w:type="paragraph" w:customStyle="1" w:styleId="124">
    <w:name w:val="修订13"/>
    <w:hidden/>
    <w:unhideWhenUsed/>
    <w:qFormat/>
    <w:uiPriority w:val="99"/>
    <w:rPr>
      <w:rFonts w:ascii="Calibri" w:hAnsi="Calibri" w:eastAsia="宋体" w:cs="Times New Roman"/>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2.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60</Pages>
  <Words>8759</Words>
  <Characters>11737</Characters>
  <Lines>325</Lines>
  <Paragraphs>91</Paragraphs>
  <TotalTime>5</TotalTime>
  <ScaleCrop>false</ScaleCrop>
  <LinksUpToDate>false</LinksUpToDate>
  <CharactersWithSpaces>12281</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2024-12-31T18:23:00Z</dcterms:created>
  <dc:creator>柠檬树</dc:creator>
  <cp:lastModifiedBy>greatwall</cp:lastModifiedBy>
  <cp:lastPrinted>2024-06-25T10:28:00Z</cp:lastPrinted>
  <dcterms:modified xsi:type="dcterms:W3CDTF">2025-06-26T14:15:18Z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DFEE903FD83349C3AEBB21D7F83E4DFC_13</vt:lpwstr>
  </property>
  <property fmtid="{D5CDD505-2E9C-101B-9397-08002B2CF9AE}" pid="4" name="KSOTemplateDocerSaveRecord">
    <vt:lpwstr>eyJoZGlkIjoiOGRlZjdjNmZhZDljOTY1NWVhMzk5MjJiMGU4MjkzZjgiLCJ1c2VySWQiOiI1MDQ3MzU4NDEifQ==</vt:lpwstr>
  </property>
</Properties>
</file>