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C833">
      <w:pPr>
        <w:spacing w:line="440" w:lineRule="exact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Fonts w:ascii="黑体" w:hAnsi="黑体" w:eastAsia="黑体"/>
          <w:b/>
          <w:sz w:val="36"/>
          <w:szCs w:val="32"/>
        </w:rPr>
        <w:t>经营者集中简易案件公示表</w:t>
      </w:r>
    </w:p>
    <w:p w14:paraId="30DD8089">
      <w:pPr>
        <w:snapToGrid w:val="0"/>
        <w:spacing w:after="156" w:afterLines="50"/>
        <w:jc w:val="center"/>
        <w:rPr>
          <w:rFonts w:ascii="Times New Roman Italic" w:hAnsi="Times New Roman Italic" w:cs="Times New Roman Italic"/>
          <w:bCs/>
          <w:i/>
          <w:iCs/>
          <w:sz w:val="24"/>
          <w:szCs w:val="24"/>
          <w:highlight w:val="yellow"/>
        </w:rPr>
      </w:pPr>
    </w:p>
    <w:tbl>
      <w:tblPr>
        <w:tblStyle w:val="13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6379"/>
      </w:tblGrid>
      <w:tr w14:paraId="3E7F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02" w:type="dxa"/>
            <w:shd w:val="clear" w:color="auto" w:fill="D9D9D9"/>
          </w:tcPr>
          <w:p w14:paraId="6F52D1D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案件名称</w:t>
            </w:r>
          </w:p>
        </w:tc>
        <w:tc>
          <w:tcPr>
            <w:tcW w:w="7938" w:type="dxa"/>
            <w:gridSpan w:val="2"/>
            <w:vAlign w:val="center"/>
          </w:tcPr>
          <w:p w14:paraId="57499FAA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铂煜有限公司收购壹账通金融科技有限公司股权案</w:t>
            </w:r>
          </w:p>
        </w:tc>
      </w:tr>
      <w:tr w14:paraId="526C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8" w:hRule="atLeast"/>
        </w:trPr>
        <w:tc>
          <w:tcPr>
            <w:tcW w:w="1702" w:type="dxa"/>
            <w:shd w:val="clear" w:color="auto" w:fill="D9D9D9"/>
          </w:tcPr>
          <w:p w14:paraId="2EE8A25B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交易概况（限200字内）</w:t>
            </w:r>
          </w:p>
        </w:tc>
        <w:tc>
          <w:tcPr>
            <w:tcW w:w="7938" w:type="dxa"/>
            <w:gridSpan w:val="2"/>
          </w:tcPr>
          <w:p w14:paraId="42C09031">
            <w:pPr>
              <w:widowControl/>
              <w:snapToGrid w:val="0"/>
              <w:rPr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5月15日，</w:t>
            </w:r>
            <w:bookmarkStart w:id="0" w:name="_Hlk194070964"/>
            <w:r>
              <w:rPr>
                <w:rFonts w:hint="eastAsia"/>
                <w:kern w:val="0"/>
                <w:sz w:val="24"/>
                <w:szCs w:val="24"/>
              </w:rPr>
              <w:t>铂煜有限公司（“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铂煜</w:t>
            </w:r>
            <w:r>
              <w:rPr>
                <w:rFonts w:hint="eastAsia"/>
                <w:kern w:val="0"/>
                <w:sz w:val="24"/>
                <w:szCs w:val="24"/>
              </w:rPr>
              <w:t>”）</w:t>
            </w:r>
            <w:bookmarkEnd w:id="0"/>
            <w:r>
              <w:rPr>
                <w:rFonts w:hint="eastAsia"/>
                <w:kern w:val="0"/>
                <w:sz w:val="24"/>
                <w:szCs w:val="24"/>
              </w:rPr>
              <w:t>与</w:t>
            </w:r>
            <w:bookmarkStart w:id="1" w:name="_Hlk194070986"/>
            <w:r>
              <w:rPr>
                <w:rFonts w:hint="eastAsia"/>
                <w:kern w:val="0"/>
                <w:sz w:val="24"/>
                <w:szCs w:val="24"/>
              </w:rPr>
              <w:t>壹账通金融科技有限公司（“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壹账通</w:t>
            </w:r>
            <w:r>
              <w:rPr>
                <w:rFonts w:hint="eastAsia"/>
                <w:kern w:val="0"/>
                <w:sz w:val="24"/>
                <w:szCs w:val="24"/>
              </w:rPr>
              <w:t>”）</w:t>
            </w:r>
            <w:bookmarkEnd w:id="1"/>
            <w:r>
              <w:rPr>
                <w:rFonts w:hint="eastAsia"/>
                <w:kern w:val="0"/>
                <w:sz w:val="24"/>
                <w:szCs w:val="24"/>
              </w:rPr>
              <w:t>发布联合公告，铂煜拟以私有化方式收购铂煜尚未拥有的壹账通全部已发行的股份。壹账通主要从事面向金融机构的信息科技服务。本次交易前，铂煜及其关联方合计持有壹账通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32.12%的股份</w:t>
            </w:r>
            <w:r>
              <w:rPr>
                <w:rFonts w:hint="eastAsia"/>
                <w:kern w:val="0"/>
                <w:sz w:val="24"/>
                <w:szCs w:val="24"/>
              </w:rPr>
              <w:t>及其代表的表决权，融焻有限公司（“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融焻</w:t>
            </w:r>
            <w:r>
              <w:rPr>
                <w:rFonts w:hint="eastAsia"/>
                <w:kern w:val="0"/>
                <w:sz w:val="24"/>
                <w:szCs w:val="24"/>
              </w:rPr>
              <w:t>”）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及其一致行动人合计持有32.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91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%股份及其代表的表决</w:t>
            </w:r>
            <w:r>
              <w:rPr>
                <w:rFonts w:hint="eastAsia"/>
                <w:kern w:val="0"/>
                <w:sz w:val="24"/>
                <w:szCs w:val="24"/>
              </w:rPr>
              <w:t>权，铂煜和融焻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共同控制</w:t>
            </w:r>
            <w:r>
              <w:rPr>
                <w:rFonts w:hint="eastAsia"/>
                <w:kern w:val="0"/>
                <w:sz w:val="24"/>
                <w:szCs w:val="24"/>
              </w:rPr>
              <w:t>壹账通。本次交易后，铂煜将持有壹账通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100%的</w:t>
            </w:r>
            <w:r>
              <w:rPr>
                <w:rFonts w:hint="eastAsia"/>
                <w:kern w:val="0"/>
                <w:sz w:val="24"/>
                <w:szCs w:val="24"/>
              </w:rPr>
              <w:t>股份，单独控制壹账通。</w:t>
            </w:r>
          </w:p>
        </w:tc>
      </w:tr>
      <w:tr w14:paraId="0BA0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02" w:type="dxa"/>
            <w:vMerge w:val="restart"/>
            <w:shd w:val="clear" w:color="auto" w:fill="D9D9D9"/>
          </w:tcPr>
          <w:p w14:paraId="02FE257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参与集中的经营者简介</w:t>
            </w:r>
          </w:p>
        </w:tc>
        <w:tc>
          <w:tcPr>
            <w:tcW w:w="1559" w:type="dxa"/>
          </w:tcPr>
          <w:p w14:paraId="583CCD90">
            <w:pPr>
              <w:pStyle w:val="30"/>
              <w:numPr>
                <w:ilvl w:val="0"/>
                <w:numId w:val="2"/>
              </w:numPr>
              <w:snapToGrid w:val="0"/>
              <w:ind w:firstLineChars="0"/>
              <w:rPr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铂煜</w:t>
            </w:r>
          </w:p>
        </w:tc>
        <w:tc>
          <w:tcPr>
            <w:tcW w:w="6379" w:type="dxa"/>
          </w:tcPr>
          <w:p w14:paraId="11B738E1">
            <w:pPr>
              <w:snapToGrid w:val="0"/>
              <w:jc w:val="left"/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铂煜于2017年10月27日成立于英属维尔京群岛，主要从事投资控股业务</w:t>
            </w:r>
            <w:r>
              <w:rPr>
                <w:rFonts w:ascii="Arial" w:hAnsi="Arial" w:eastAsia="宋体" w:cs="Arial"/>
                <w:bCs/>
                <w:kern w:val="0"/>
                <w:sz w:val="24"/>
                <w:szCs w:val="24"/>
              </w:rPr>
              <w:t>。</w:t>
            </w:r>
          </w:p>
          <w:p w14:paraId="59323E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宋体" w:cs="Arial"/>
                <w:bCs/>
                <w:kern w:val="0"/>
                <w:sz w:val="24"/>
                <w:szCs w:val="24"/>
              </w:rPr>
              <w:t>铂煜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的最终控制人为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中国平安保险（集团）股份有限公司（“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</w:rPr>
              <w:t>平安集团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”）</w:t>
            </w:r>
            <w:r>
              <w:rPr>
                <w:rFonts w:ascii="Arial" w:hAnsi="Arial" w:eastAsia="宋体" w:cs="Arial"/>
                <w:bCs/>
                <w:kern w:val="0"/>
                <w:sz w:val="24"/>
                <w:szCs w:val="24"/>
                <w:lang w:val="en-GB"/>
              </w:rPr>
              <w:t>，主要</w:t>
            </w: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  <w:lang w:val="en-GB"/>
              </w:rPr>
              <w:t>业务</w:t>
            </w:r>
            <w:bookmarkStart w:id="2" w:name="_Hlk194071017"/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  <w:lang w:val="en-GB"/>
              </w:rPr>
              <w:t>包括寿险及健康险、财产保险、银行、资产管理、科技服务</w:t>
            </w:r>
            <w:bookmarkEnd w:id="2"/>
            <w:r>
              <w:rPr>
                <w:rFonts w:ascii="Arial" w:hAnsi="Arial" w:eastAsia="宋体" w:cs="Arial"/>
                <w:bCs/>
                <w:kern w:val="0"/>
                <w:sz w:val="24"/>
                <w:szCs w:val="24"/>
                <w:lang w:val="en-GB"/>
              </w:rPr>
              <w:t>。</w:t>
            </w:r>
          </w:p>
        </w:tc>
      </w:tr>
      <w:tr w14:paraId="59A7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702" w:type="dxa"/>
            <w:vMerge w:val="continue"/>
            <w:shd w:val="clear" w:color="auto" w:fill="D9D9D9"/>
          </w:tcPr>
          <w:p w14:paraId="2AF60A34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F233A0">
            <w:pPr>
              <w:pStyle w:val="30"/>
              <w:numPr>
                <w:ilvl w:val="0"/>
                <w:numId w:val="2"/>
              </w:numPr>
              <w:snapToGrid w:val="0"/>
              <w:ind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壹账通</w:t>
            </w:r>
          </w:p>
        </w:tc>
        <w:tc>
          <w:tcPr>
            <w:tcW w:w="6379" w:type="dxa"/>
            <w:shd w:val="clear" w:color="auto" w:fill="auto"/>
          </w:tcPr>
          <w:p w14:paraId="193868B0">
            <w:pPr>
              <w:widowControl/>
              <w:snapToGrid w:val="0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壹账通于2017年10月</w:t>
            </w:r>
            <w:bookmarkStart w:id="3" w:name="_GoBack"/>
            <w:bookmarkEnd w:id="3"/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30日成立于开曼群岛，为纽约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证券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交易所和香港联合交易所上市公司，主要从事面向金融机构的信息科技服务。</w:t>
            </w:r>
          </w:p>
          <w:p w14:paraId="55B34695">
            <w:pPr>
              <w:widowControl/>
              <w:snapToGrid w:val="0"/>
              <w:rPr>
                <w:rFonts w:eastAsia="楷体_GB2312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壹账通的最终控制人为平安集团与融焻。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平安集团主要业务如上所述，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融焻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系一家持股平台。</w:t>
            </w:r>
          </w:p>
        </w:tc>
      </w:tr>
      <w:tr w14:paraId="470D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shd w:val="clear" w:color="auto" w:fill="D9D9D9"/>
          </w:tcPr>
          <w:p w14:paraId="26009C39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938" w:type="dxa"/>
            <w:gridSpan w:val="2"/>
          </w:tcPr>
          <w:p w14:paraId="0075ECE2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00FE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1、在同一相关市场，参与集中的经营者所占的市场份额之和小于15%。</w:t>
            </w:r>
          </w:p>
        </w:tc>
      </w:tr>
      <w:tr w14:paraId="2787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</w:tcPr>
          <w:p w14:paraId="664602D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6E7D949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00FE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2、在上下游市场，参与集中的经营者所占的市场份额均小于25%。</w:t>
            </w:r>
          </w:p>
        </w:tc>
      </w:tr>
      <w:tr w14:paraId="69B5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</w:tcPr>
          <w:p w14:paraId="13E8F86C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B8F0B6B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3、不在同一相关市场也不存在上下游关系的参与集中的经营者，在与交易有关的每个市场所占的市场份额均小于25%。</w:t>
            </w:r>
          </w:p>
        </w:tc>
      </w:tr>
      <w:tr w14:paraId="6D10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</w:tcPr>
          <w:p w14:paraId="03500178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F550E3E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>4、参与集中的经营者在中国境外设立合营企业，合营企业不在中国境内从事经济活动。</w:t>
            </w:r>
          </w:p>
        </w:tc>
      </w:tr>
      <w:tr w14:paraId="368A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</w:tcPr>
          <w:p w14:paraId="22EC66D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2321634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5、参与集中的经营者收购境外企业股权或资产的，该境外企业不在中国境内从事经济活动。</w:t>
            </w:r>
          </w:p>
        </w:tc>
      </w:tr>
      <w:tr w14:paraId="3FAD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</w:tcPr>
          <w:p w14:paraId="0091861A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9D230F7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6、由两个以上的经营者共同控制的合营企业，通过集中被其中一个或一个以上经营者控制。</w:t>
            </w:r>
          </w:p>
        </w:tc>
      </w:tr>
      <w:tr w14:paraId="712B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2" w:type="dxa"/>
            <w:shd w:val="clear" w:color="auto" w:fill="D9D9D9"/>
          </w:tcPr>
          <w:p w14:paraId="79C751A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2"/>
          </w:tcPr>
          <w:p w14:paraId="697A74AA">
            <w:pPr>
              <w:pStyle w:val="30"/>
              <w:widowControl/>
              <w:snapToGrid w:val="0"/>
              <w:ind w:firstLine="0" w:firstLineChars="0"/>
              <w:rPr>
                <w:rFonts w:eastAsia="宋体"/>
                <w:bCs/>
                <w:sz w:val="24"/>
                <w:szCs w:val="24"/>
              </w:rPr>
            </w:pPr>
          </w:p>
          <w:tbl>
            <w:tblPr>
              <w:tblStyle w:val="13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6"/>
              <w:gridCol w:w="1842"/>
              <w:gridCol w:w="1984"/>
              <w:gridCol w:w="2580"/>
            </w:tblGrid>
            <w:tr w14:paraId="43A45D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  <w:tblHeader/>
              </w:trPr>
              <w:tc>
                <w:tcPr>
                  <w:tcW w:w="847" w:type="pct"/>
                  <w:shd w:val="pct10" w:color="auto" w:fill="FFFFFF"/>
                </w:tcPr>
                <w:p w14:paraId="60EAD88B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center"/>
                    <w:rPr>
                      <w:rFonts w:ascii="Arial" w:hAnsi="Arial" w:eastAsia="宋体" w:cs="Arial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 w:val="24"/>
                      <w:szCs w:val="24"/>
                    </w:rPr>
                    <w:t>市场关系</w:t>
                  </w:r>
                </w:p>
              </w:tc>
              <w:tc>
                <w:tcPr>
                  <w:tcW w:w="1194" w:type="pct"/>
                  <w:shd w:val="pct10" w:color="auto" w:fill="FFFFFF"/>
                  <w:vAlign w:val="center"/>
                </w:tcPr>
                <w:p w14:paraId="1D93FD0D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/>
                      <w:sz w:val="24"/>
                      <w:szCs w:val="24"/>
                    </w:rPr>
                    <w:t>相关商品市场</w:t>
                  </w:r>
                </w:p>
              </w:tc>
              <w:tc>
                <w:tcPr>
                  <w:tcW w:w="1286" w:type="pct"/>
                  <w:shd w:val="pct10" w:color="auto" w:fill="FFFFFF"/>
                  <w:vAlign w:val="center"/>
                </w:tcPr>
                <w:p w14:paraId="515F9E2F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1672" w:type="pct"/>
                  <w:shd w:val="pct10" w:color="auto" w:fill="FFFFFF"/>
                  <w:vAlign w:val="center"/>
                </w:tcPr>
                <w:p w14:paraId="5C444F55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/>
                      <w:sz w:val="24"/>
                      <w:szCs w:val="24"/>
                    </w:rPr>
                    <w:t>市场份额</w:t>
                  </w:r>
                </w:p>
              </w:tc>
            </w:tr>
            <w:tr w14:paraId="6985C2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847" w:type="pct"/>
                  <w:vMerge w:val="restart"/>
                  <w:shd w:val="clear" w:color="auto" w:fill="auto"/>
                </w:tcPr>
                <w:p w14:paraId="7314C9AE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横向重叠</w:t>
                  </w:r>
                </w:p>
              </w:tc>
              <w:tc>
                <w:tcPr>
                  <w:tcW w:w="1194" w:type="pct"/>
                  <w:shd w:val="clear" w:color="auto" w:fill="auto"/>
                </w:tcPr>
                <w:p w14:paraId="7F8A139D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面向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商业银行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的信息科技服务市场</w:t>
                  </w:r>
                </w:p>
              </w:tc>
              <w:tc>
                <w:tcPr>
                  <w:tcW w:w="1286" w:type="pct"/>
                  <w:shd w:val="clear" w:color="auto" w:fill="auto"/>
                </w:tcPr>
                <w:p w14:paraId="6F1F7487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中国境内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14:paraId="683DE1DD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2024年：</w:t>
                  </w:r>
                </w:p>
                <w:p w14:paraId="6D8FE5E5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铂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煜：0-5%；</w:t>
                  </w:r>
                </w:p>
                <w:p w14:paraId="57CC02FE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壹账通：0-5%；</w:t>
                  </w:r>
                </w:p>
                <w:p w14:paraId="24C6610C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双方合计：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0-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5%</w:t>
                  </w:r>
                </w:p>
              </w:tc>
            </w:tr>
            <w:tr w14:paraId="031CCD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847" w:type="pct"/>
                  <w:vMerge w:val="continue"/>
                  <w:shd w:val="clear" w:color="auto" w:fill="auto"/>
                </w:tcPr>
                <w:p w14:paraId="18A0B7E2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</w:tcPr>
                <w:p w14:paraId="68BB0DB3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面向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保险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  <w:lang w:val="en-US" w:eastAsia="zh-CN"/>
                    </w:rPr>
                    <w:t>公司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的信息科技服务市场</w:t>
                  </w:r>
                </w:p>
              </w:tc>
              <w:tc>
                <w:tcPr>
                  <w:tcW w:w="1286" w:type="pct"/>
                  <w:shd w:val="clear" w:color="auto" w:fill="auto"/>
                </w:tcPr>
                <w:p w14:paraId="6B09797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中国境内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14:paraId="17CDB051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2024年：</w:t>
                  </w:r>
                </w:p>
                <w:p w14:paraId="48F1C7BA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铂煜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：0-5%；</w:t>
                  </w:r>
                </w:p>
                <w:p w14:paraId="7E87FC2A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壹账通：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-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%；</w:t>
                  </w:r>
                </w:p>
                <w:p w14:paraId="6586E56F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双方合计：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5-10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%</w:t>
                  </w:r>
                </w:p>
              </w:tc>
            </w:tr>
            <w:tr w14:paraId="0BFB5C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847" w:type="pct"/>
                  <w:vMerge w:val="continue"/>
                  <w:shd w:val="clear" w:color="auto" w:fill="auto"/>
                </w:tcPr>
                <w:p w14:paraId="7A0BED75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</w:tcPr>
                <w:p w14:paraId="36A18EC0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面向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证券公司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的信息科技服务市场</w:t>
                  </w:r>
                </w:p>
              </w:tc>
              <w:tc>
                <w:tcPr>
                  <w:tcW w:w="1286" w:type="pct"/>
                  <w:shd w:val="clear" w:color="auto" w:fill="auto"/>
                </w:tcPr>
                <w:p w14:paraId="6EEE2F4B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中国境内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14:paraId="29C9270B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4年：</w:t>
                  </w:r>
                </w:p>
                <w:p w14:paraId="24EB9508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铂煜：0-5%；</w:t>
                  </w:r>
                </w:p>
                <w:p w14:paraId="7CC12B0B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壹账通：0-5%；</w:t>
                  </w:r>
                </w:p>
                <w:p w14:paraId="42993E64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双方合计：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0-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  <w:highlight w:val="none"/>
                    </w:rPr>
                    <w:t>5%</w:t>
                  </w:r>
                </w:p>
              </w:tc>
            </w:tr>
            <w:tr w14:paraId="30FE4C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847" w:type="pct"/>
                  <w:vMerge w:val="restart"/>
                  <w:shd w:val="clear" w:color="auto" w:fill="auto"/>
                </w:tcPr>
                <w:p w14:paraId="3DB1BF32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rPr>
                      <w:rFonts w:eastAsia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bCs/>
                      <w:sz w:val="24"/>
                      <w:szCs w:val="24"/>
                    </w:rPr>
                    <w:t>纵向关联</w:t>
                  </w:r>
                </w:p>
              </w:tc>
              <w:tc>
                <w:tcPr>
                  <w:tcW w:w="1194" w:type="pct"/>
                  <w:shd w:val="clear" w:color="auto" w:fill="auto"/>
                </w:tcPr>
                <w:p w14:paraId="7CE130CF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上游：公有云</w:t>
                  </w: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服务市场</w:t>
                  </w:r>
                </w:p>
                <w:p w14:paraId="6700AFE9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</w:t>
                  </w: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面向商业银行的信息科技</w:t>
                  </w:r>
                  <w:r>
                    <w:rPr>
                      <w:rFonts w:ascii="Arial" w:hAnsi="Arial" w:eastAsia="宋体" w:cs="Arial"/>
                      <w:kern w:val="0"/>
                      <w:sz w:val="24"/>
                      <w:szCs w:val="24"/>
                    </w:rPr>
                    <w:t>服务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市场</w:t>
                  </w:r>
                  <w:r>
                    <w:rPr>
                      <w:rFonts w:hint="eastAsia" w:ascii="Arial" w:hAnsi="Arial" w:eastAsia="宋体" w:cs="Arial"/>
                      <w:sz w:val="24"/>
                      <w:szCs w:val="24"/>
                    </w:rPr>
                    <w:t>、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面向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保险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  <w:lang w:val="en-US" w:eastAsia="zh-CN"/>
                    </w:rPr>
                    <w:t>公司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的信息科技服务市场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和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面向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证券公司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的信息科技服务市场</w:t>
                  </w:r>
                </w:p>
              </w:tc>
              <w:tc>
                <w:tcPr>
                  <w:tcW w:w="1286" w:type="pct"/>
                  <w:shd w:val="clear" w:color="auto" w:fill="auto"/>
                </w:tcPr>
                <w:p w14:paraId="1E8FD3C1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上游：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中国境内</w:t>
                  </w:r>
                </w:p>
                <w:p w14:paraId="0EBB647D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0697A2D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下游：中国境内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14:paraId="27647ECF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2024年：</w:t>
                  </w:r>
                </w:p>
                <w:p w14:paraId="55619574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上游：铂煜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：0-5%</w:t>
                  </w:r>
                </w:p>
                <w:p w14:paraId="0980E5D8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下游：壹账通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如上所述</w:t>
                  </w:r>
                </w:p>
              </w:tc>
            </w:tr>
            <w:tr w14:paraId="76F95B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847" w:type="pct"/>
                  <w:vMerge w:val="continue"/>
                  <w:shd w:val="clear" w:color="auto" w:fill="auto"/>
                </w:tcPr>
                <w:p w14:paraId="1D32A74C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</w:tcPr>
                <w:p w14:paraId="13928827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上游：面向商业银行的信息科技</w:t>
                  </w:r>
                  <w:r>
                    <w:rPr>
                      <w:rFonts w:ascii="Arial" w:hAnsi="Arial" w:eastAsia="宋体" w:cs="Arial"/>
                      <w:kern w:val="0"/>
                      <w:sz w:val="24"/>
                      <w:szCs w:val="24"/>
                    </w:rPr>
                    <w:t>服务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市场</w:t>
                  </w:r>
                </w:p>
                <w:p w14:paraId="777DFE21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下游：商业银行综合服务市场</w:t>
                  </w:r>
                </w:p>
              </w:tc>
              <w:tc>
                <w:tcPr>
                  <w:tcW w:w="1286" w:type="pct"/>
                  <w:shd w:val="clear" w:color="auto" w:fill="auto"/>
                </w:tcPr>
                <w:p w14:paraId="378B4082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上游：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中国境内</w:t>
                  </w:r>
                </w:p>
                <w:p w14:paraId="152E6A6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58464C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369344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下游：中国境内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14:paraId="70F06CC4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2024年：</w:t>
                  </w:r>
                </w:p>
                <w:p w14:paraId="6CBC81F3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上游：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壹账通：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如上所述</w:t>
                  </w:r>
                </w:p>
                <w:p w14:paraId="16D23700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下游：铂煜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：0-5%</w:t>
                  </w:r>
                </w:p>
                <w:p w14:paraId="1994A7E2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1F946C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847" w:type="pct"/>
                  <w:vMerge w:val="continue"/>
                  <w:shd w:val="clear" w:color="auto" w:fill="auto"/>
                </w:tcPr>
                <w:p w14:paraId="73F998C1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</w:tcPr>
                <w:p w14:paraId="57333649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上游：面向保险</w:t>
                  </w: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  <w:lang w:val="en-US" w:eastAsia="zh-CN"/>
                    </w:rPr>
                    <w:t>公司</w:t>
                  </w: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的信息科技</w:t>
                  </w:r>
                  <w:r>
                    <w:rPr>
                      <w:rFonts w:ascii="Arial" w:hAnsi="Arial" w:eastAsia="宋体" w:cs="Arial"/>
                      <w:kern w:val="0"/>
                      <w:sz w:val="24"/>
                      <w:szCs w:val="24"/>
                    </w:rPr>
                    <w:t>服务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市场</w:t>
                  </w:r>
                </w:p>
                <w:p w14:paraId="62B66236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下游：人身保险服务市场</w:t>
                  </w:r>
                </w:p>
              </w:tc>
              <w:tc>
                <w:tcPr>
                  <w:tcW w:w="1286" w:type="pct"/>
                  <w:shd w:val="clear" w:color="auto" w:fill="auto"/>
                </w:tcPr>
                <w:p w14:paraId="09E2ADB4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上游：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中国境内</w:t>
                  </w:r>
                </w:p>
                <w:p w14:paraId="5E590E61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CEB81CB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2E7E13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下游：中国境内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14:paraId="3FD3B5F1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2024年：</w:t>
                  </w:r>
                </w:p>
                <w:p w14:paraId="0AA774C6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上游：壹账通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如上所述</w:t>
                  </w:r>
                </w:p>
                <w:p w14:paraId="5537898C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下游：铂煜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10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15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%</w:t>
                  </w:r>
                </w:p>
                <w:p w14:paraId="4EA4B3D9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71A2BB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847" w:type="pct"/>
                  <w:vMerge w:val="continue"/>
                  <w:shd w:val="clear" w:color="auto" w:fill="auto"/>
                </w:tcPr>
                <w:p w14:paraId="6A9B167D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</w:tcPr>
                <w:p w14:paraId="1C15BD43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上游：面向保险</w:t>
                  </w: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  <w:lang w:val="en-US" w:eastAsia="zh-CN"/>
                    </w:rPr>
                    <w:t>公司</w:t>
                  </w: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的信息科技</w:t>
                  </w:r>
                  <w:r>
                    <w:rPr>
                      <w:rFonts w:ascii="Arial" w:hAnsi="Arial" w:eastAsia="宋体" w:cs="Arial"/>
                      <w:kern w:val="0"/>
                      <w:sz w:val="24"/>
                      <w:szCs w:val="24"/>
                    </w:rPr>
                    <w:t>服务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市场</w:t>
                  </w:r>
                </w:p>
                <w:p w14:paraId="090A6ADE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下游：财产保险服务市场</w:t>
                  </w:r>
                </w:p>
              </w:tc>
              <w:tc>
                <w:tcPr>
                  <w:tcW w:w="1286" w:type="pct"/>
                  <w:shd w:val="clear" w:color="auto" w:fill="auto"/>
                </w:tcPr>
                <w:p w14:paraId="6FB26A9D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上游：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中国境内</w:t>
                  </w:r>
                </w:p>
                <w:p w14:paraId="214C615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762BD1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AB0EA12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下游：中国境内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14:paraId="4C89E996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2024年：</w:t>
                  </w:r>
                </w:p>
                <w:p w14:paraId="601070B4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上游：壹账通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如上所述</w:t>
                  </w:r>
                </w:p>
                <w:p w14:paraId="71C0A41F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下游：铂煜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25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%</w:t>
                  </w:r>
                </w:p>
                <w:p w14:paraId="06652756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14:paraId="3241C0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847" w:type="pct"/>
                  <w:vMerge w:val="continue"/>
                  <w:shd w:val="clear" w:color="auto" w:fill="auto"/>
                </w:tcPr>
                <w:p w14:paraId="2B85D403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</w:tcPr>
                <w:p w14:paraId="5A5BD04E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上游：面向证券公司的信息科技</w:t>
                  </w:r>
                  <w:r>
                    <w:rPr>
                      <w:rFonts w:ascii="Arial" w:hAnsi="Arial" w:eastAsia="宋体" w:cs="Arial"/>
                      <w:kern w:val="0"/>
                      <w:sz w:val="24"/>
                      <w:szCs w:val="24"/>
                    </w:rPr>
                    <w:t>服务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市场</w:t>
                  </w:r>
                </w:p>
                <w:p w14:paraId="482350EE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下游：证券服务市场</w:t>
                  </w:r>
                </w:p>
              </w:tc>
              <w:tc>
                <w:tcPr>
                  <w:tcW w:w="1286" w:type="pct"/>
                  <w:shd w:val="clear" w:color="auto" w:fill="auto"/>
                </w:tcPr>
                <w:p w14:paraId="0322B662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上游：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中国境内</w:t>
                  </w:r>
                </w:p>
                <w:p w14:paraId="65BB8D5D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72B18BA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E48C23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下游：中国境内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14:paraId="43803A8B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2024年：</w:t>
                  </w:r>
                </w:p>
                <w:p w14:paraId="2952B10D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上游：壹账通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如上所述</w:t>
                  </w:r>
                </w:p>
                <w:p w14:paraId="645F0F4B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下游：铂煜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0-5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%</w:t>
                  </w:r>
                </w:p>
                <w:p w14:paraId="13E0CDBE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36EDB3D">
            <w:pPr>
              <w:pStyle w:val="30"/>
              <w:widowControl/>
              <w:snapToGrid w:val="0"/>
              <w:ind w:firstLine="0" w:firstLineChars="0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14:paraId="3AE4F764">
      <w:pPr>
        <w:snapToGrid w:val="0"/>
        <w:spacing w:after="156" w:afterLines="50"/>
        <w:rPr>
          <w:sz w:val="24"/>
          <w:szCs w:val="24"/>
        </w:rPr>
      </w:pPr>
    </w:p>
    <w:sectPr>
      <w:footerReference r:id="rId5" w:type="first"/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7730">
    <w:pPr>
      <w:pStyle w:val="28"/>
    </w:pPr>
    <w:r>
      <w:t>[BRUSSELS 621754_4]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121A6">
    <w:pPr>
      <w:pStyle w:val="28"/>
    </w:pPr>
    <w:r>
      <w:t>[BRUSSELS 621754_4]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D0EE">
    <w:pPr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E751E"/>
    <w:multiLevelType w:val="multilevel"/>
    <w:tmpl w:val="06FE751E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33A4B6A"/>
    <w:multiLevelType w:val="multilevel"/>
    <w:tmpl w:val="433A4B6A"/>
    <w:lvl w:ilvl="0" w:tentative="0">
      <w:start w:val="1"/>
      <w:numFmt w:val="decimal"/>
      <w:pStyle w:val="33"/>
      <w:lvlText w:val="%1."/>
      <w:lvlJc w:val="left"/>
      <w:pPr>
        <w:ind w:left="720" w:hanging="720"/>
      </w:pPr>
      <w:rPr>
        <w:rFonts w:hint="default"/>
        <w:color w:val="000000"/>
      </w:rPr>
    </w:lvl>
    <w:lvl w:ilvl="1" w:tentative="0">
      <w:start w:val="1"/>
      <w:numFmt w:val="lowerLetter"/>
      <w:pStyle w:val="34"/>
      <w:lvlText w:val="(%2)"/>
      <w:lvlJc w:val="left"/>
      <w:pPr>
        <w:ind w:left="1440" w:hanging="720"/>
      </w:pPr>
      <w:rPr>
        <w:rFonts w:hint="default"/>
        <w:color w:val="000000"/>
      </w:rPr>
    </w:lvl>
    <w:lvl w:ilvl="2" w:tentative="0">
      <w:start w:val="1"/>
      <w:numFmt w:val="lowerRoman"/>
      <w:pStyle w:val="35"/>
      <w:lvlText w:val="(%3)"/>
      <w:lvlJc w:val="left"/>
      <w:pPr>
        <w:ind w:left="2160" w:hanging="720"/>
      </w:pPr>
      <w:rPr>
        <w:rFonts w:hint="default"/>
        <w:color w:val="000000"/>
      </w:rPr>
    </w:lvl>
    <w:lvl w:ilvl="3" w:tentative="0">
      <w:start w:val="1"/>
      <w:numFmt w:val="decimal"/>
      <w:pStyle w:val="36"/>
      <w:lvlText w:val="(%4)"/>
      <w:lvlJc w:val="left"/>
      <w:pPr>
        <w:ind w:left="2880" w:hanging="720"/>
      </w:pPr>
      <w:rPr>
        <w:rFonts w:hint="default"/>
        <w:color w:val="000000"/>
      </w:rPr>
    </w:lvl>
    <w:lvl w:ilvl="4" w:tentative="0">
      <w:start w:val="1"/>
      <w:numFmt w:val="lowerLetter"/>
      <w:pStyle w:val="37"/>
      <w:lvlText w:val="(%5)"/>
      <w:lvlJc w:val="left"/>
      <w:pPr>
        <w:ind w:left="3600" w:hanging="720"/>
      </w:pPr>
      <w:rPr>
        <w:rFonts w:hint="default"/>
        <w:color w:val="000000"/>
      </w:rPr>
    </w:lvl>
    <w:lvl w:ilvl="5" w:tentative="0">
      <w:start w:val="1"/>
      <w:numFmt w:val="none"/>
      <w:lvlText w:val=""/>
      <w:lvlJc w:val="left"/>
      <w:pPr>
        <w:tabs>
          <w:tab w:val="left" w:pos="5040"/>
        </w:tabs>
        <w:ind w:left="4320" w:hanging="720"/>
      </w:pPr>
      <w:rPr>
        <w:rFonts w:hint="default"/>
      </w:rPr>
    </w:lvl>
    <w:lvl w:ilvl="6" w:tentative="0">
      <w:start w:val="1"/>
      <w:numFmt w:val="none"/>
      <w:lvlText w:val=""/>
      <w:lvlJc w:val="left"/>
      <w:pPr>
        <w:tabs>
          <w:tab w:val="left" w:pos="5760"/>
        </w:tabs>
        <w:ind w:left="5040" w:hanging="72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6480"/>
        </w:tabs>
        <w:ind w:left="5760" w:hanging="72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720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hideSpellingErrors/>
  <w:hideGrammaticalErrors/>
  <w:documentProtection w:enforcement="0"/>
  <w:styleLockQFSet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eckedForWebBugs" w:val="True"/>
    <w:docVar w:name="commondata" w:val="eyJoZGlkIjoiNWUzYzcxMTc1MjU4MTQzNWM4OTE0MmQ1NGJmNTFiOWYifQ=="/>
    <w:docVar w:name="KEOutsideDoc" w:val="True"/>
    <w:docVar w:name="trailer" w:val="none"/>
    <w:docVar w:name="TrailerFullName" w:val="C:\Users\JCruise\AppData\Roaming\iManage\Work\Recent\072692-0001 (Ocean Network Express_ Project Atlas)\Anchor - China_-_Publicity_Form-20221209(137921514.1).docx"/>
    <w:docVar w:name="TrlrDateFlag" w:val="0"/>
    <w:docVar w:name="TrlrDocTitleFlag" w:val="1"/>
    <w:docVar w:name="TrlrDOSFlag" w:val="0"/>
    <w:docVar w:name="TrlrDOSPathFlag" w:val="0"/>
    <w:docVar w:name="TrlrDraftFlag" w:val="0"/>
    <w:docVar w:name="TrlrMatter" w:val="072692-0001"/>
    <w:docVar w:name="TrlrMatterFlag" w:val="0"/>
    <w:docVar w:name="TrlrRedlineFlag" w:val="0"/>
    <w:docVar w:name="TrlrTimeFlag" w:val="1"/>
    <w:docVar w:name="TrlrTypeFlag" w:val="2"/>
  </w:docVars>
  <w:rsids>
    <w:rsidRoot w:val="00D6778B"/>
    <w:rsid w:val="0000664F"/>
    <w:rsid w:val="00006FA8"/>
    <w:rsid w:val="00007061"/>
    <w:rsid w:val="000071E6"/>
    <w:rsid w:val="0001661E"/>
    <w:rsid w:val="0002176F"/>
    <w:rsid w:val="00027452"/>
    <w:rsid w:val="0003146A"/>
    <w:rsid w:val="00031AD2"/>
    <w:rsid w:val="0003348A"/>
    <w:rsid w:val="00033705"/>
    <w:rsid w:val="00034C61"/>
    <w:rsid w:val="000352B4"/>
    <w:rsid w:val="00035415"/>
    <w:rsid w:val="0003662F"/>
    <w:rsid w:val="0003729D"/>
    <w:rsid w:val="00037744"/>
    <w:rsid w:val="00040F7C"/>
    <w:rsid w:val="00045438"/>
    <w:rsid w:val="00051CA8"/>
    <w:rsid w:val="0005313E"/>
    <w:rsid w:val="0005462A"/>
    <w:rsid w:val="00054F5E"/>
    <w:rsid w:val="00065F6D"/>
    <w:rsid w:val="0007081E"/>
    <w:rsid w:val="000736DA"/>
    <w:rsid w:val="00075F4A"/>
    <w:rsid w:val="00076269"/>
    <w:rsid w:val="0008075E"/>
    <w:rsid w:val="000A2524"/>
    <w:rsid w:val="000B0F04"/>
    <w:rsid w:val="000B2B5A"/>
    <w:rsid w:val="000B397A"/>
    <w:rsid w:val="000B5361"/>
    <w:rsid w:val="000B56A5"/>
    <w:rsid w:val="000B5CAD"/>
    <w:rsid w:val="000C3DDD"/>
    <w:rsid w:val="000C558B"/>
    <w:rsid w:val="000C6F71"/>
    <w:rsid w:val="000D4257"/>
    <w:rsid w:val="000D629D"/>
    <w:rsid w:val="000D6FDA"/>
    <w:rsid w:val="000E0EB7"/>
    <w:rsid w:val="000F08C2"/>
    <w:rsid w:val="000F5443"/>
    <w:rsid w:val="000F54B0"/>
    <w:rsid w:val="000F5F81"/>
    <w:rsid w:val="000F7A1E"/>
    <w:rsid w:val="00100320"/>
    <w:rsid w:val="0010444C"/>
    <w:rsid w:val="001065A5"/>
    <w:rsid w:val="00113061"/>
    <w:rsid w:val="00116F89"/>
    <w:rsid w:val="001207B1"/>
    <w:rsid w:val="00123BAA"/>
    <w:rsid w:val="001313ED"/>
    <w:rsid w:val="00133C44"/>
    <w:rsid w:val="00134C12"/>
    <w:rsid w:val="001360E4"/>
    <w:rsid w:val="00136958"/>
    <w:rsid w:val="0014065D"/>
    <w:rsid w:val="00146BB1"/>
    <w:rsid w:val="001539E1"/>
    <w:rsid w:val="0016168E"/>
    <w:rsid w:val="0016524A"/>
    <w:rsid w:val="00166447"/>
    <w:rsid w:val="00172E35"/>
    <w:rsid w:val="00175F77"/>
    <w:rsid w:val="00190FE8"/>
    <w:rsid w:val="0019134E"/>
    <w:rsid w:val="00193719"/>
    <w:rsid w:val="001A160E"/>
    <w:rsid w:val="001A583B"/>
    <w:rsid w:val="001B2498"/>
    <w:rsid w:val="001B61B7"/>
    <w:rsid w:val="001C1E58"/>
    <w:rsid w:val="001C7EE1"/>
    <w:rsid w:val="001D3CF7"/>
    <w:rsid w:val="001D642B"/>
    <w:rsid w:val="001E1FA5"/>
    <w:rsid w:val="001E5A09"/>
    <w:rsid w:val="001E7969"/>
    <w:rsid w:val="001F7167"/>
    <w:rsid w:val="001F79D5"/>
    <w:rsid w:val="00201644"/>
    <w:rsid w:val="00202D30"/>
    <w:rsid w:val="0020694E"/>
    <w:rsid w:val="0022562B"/>
    <w:rsid w:val="002376FE"/>
    <w:rsid w:val="00237C97"/>
    <w:rsid w:val="0024374F"/>
    <w:rsid w:val="00243DBF"/>
    <w:rsid w:val="002454FD"/>
    <w:rsid w:val="00252E05"/>
    <w:rsid w:val="00253018"/>
    <w:rsid w:val="00256985"/>
    <w:rsid w:val="00260D95"/>
    <w:rsid w:val="00263084"/>
    <w:rsid w:val="00264D4C"/>
    <w:rsid w:val="00265374"/>
    <w:rsid w:val="0026779A"/>
    <w:rsid w:val="00273C83"/>
    <w:rsid w:val="00274F84"/>
    <w:rsid w:val="00280BEB"/>
    <w:rsid w:val="00293C4E"/>
    <w:rsid w:val="00296075"/>
    <w:rsid w:val="002A46D8"/>
    <w:rsid w:val="002B3DEA"/>
    <w:rsid w:val="002D7EDC"/>
    <w:rsid w:val="002E6412"/>
    <w:rsid w:val="002E7848"/>
    <w:rsid w:val="002E7D7B"/>
    <w:rsid w:val="002F30CC"/>
    <w:rsid w:val="00303A7E"/>
    <w:rsid w:val="003046BB"/>
    <w:rsid w:val="00307DBC"/>
    <w:rsid w:val="00313079"/>
    <w:rsid w:val="00315FD7"/>
    <w:rsid w:val="00316239"/>
    <w:rsid w:val="00322077"/>
    <w:rsid w:val="00333829"/>
    <w:rsid w:val="00334E0E"/>
    <w:rsid w:val="00340AA4"/>
    <w:rsid w:val="00341335"/>
    <w:rsid w:val="00343E84"/>
    <w:rsid w:val="00345CD9"/>
    <w:rsid w:val="00363036"/>
    <w:rsid w:val="0036459D"/>
    <w:rsid w:val="0036692F"/>
    <w:rsid w:val="00372D4A"/>
    <w:rsid w:val="003767FB"/>
    <w:rsid w:val="00376BDB"/>
    <w:rsid w:val="00377A03"/>
    <w:rsid w:val="00383407"/>
    <w:rsid w:val="00383739"/>
    <w:rsid w:val="00383CA2"/>
    <w:rsid w:val="00391607"/>
    <w:rsid w:val="003A08F2"/>
    <w:rsid w:val="003B2B65"/>
    <w:rsid w:val="003C37CF"/>
    <w:rsid w:val="003C4D41"/>
    <w:rsid w:val="003D401C"/>
    <w:rsid w:val="003E1925"/>
    <w:rsid w:val="003F0D44"/>
    <w:rsid w:val="003F3687"/>
    <w:rsid w:val="00400A16"/>
    <w:rsid w:val="00404771"/>
    <w:rsid w:val="00406A61"/>
    <w:rsid w:val="0041322C"/>
    <w:rsid w:val="0041528E"/>
    <w:rsid w:val="00417C26"/>
    <w:rsid w:val="00420CCF"/>
    <w:rsid w:val="00427493"/>
    <w:rsid w:val="00432128"/>
    <w:rsid w:val="00432DE4"/>
    <w:rsid w:val="00447839"/>
    <w:rsid w:val="00462954"/>
    <w:rsid w:val="00463747"/>
    <w:rsid w:val="00463AE6"/>
    <w:rsid w:val="004664FC"/>
    <w:rsid w:val="00477BD8"/>
    <w:rsid w:val="00480185"/>
    <w:rsid w:val="00482EF2"/>
    <w:rsid w:val="00484A33"/>
    <w:rsid w:val="004911D6"/>
    <w:rsid w:val="004935F2"/>
    <w:rsid w:val="00493B33"/>
    <w:rsid w:val="00494442"/>
    <w:rsid w:val="00495F7F"/>
    <w:rsid w:val="00496020"/>
    <w:rsid w:val="004A4D20"/>
    <w:rsid w:val="004A61BA"/>
    <w:rsid w:val="004A6BF8"/>
    <w:rsid w:val="004B109C"/>
    <w:rsid w:val="004B66CE"/>
    <w:rsid w:val="004C6F12"/>
    <w:rsid w:val="004E5A7E"/>
    <w:rsid w:val="004E5D73"/>
    <w:rsid w:val="004E6244"/>
    <w:rsid w:val="004F7CC5"/>
    <w:rsid w:val="005059EC"/>
    <w:rsid w:val="00511338"/>
    <w:rsid w:val="00514940"/>
    <w:rsid w:val="00516C47"/>
    <w:rsid w:val="00526246"/>
    <w:rsid w:val="00541C4D"/>
    <w:rsid w:val="005427E4"/>
    <w:rsid w:val="00542FFB"/>
    <w:rsid w:val="005510E6"/>
    <w:rsid w:val="005512F7"/>
    <w:rsid w:val="0055627A"/>
    <w:rsid w:val="005622DD"/>
    <w:rsid w:val="00564803"/>
    <w:rsid w:val="00564B0D"/>
    <w:rsid w:val="00567E13"/>
    <w:rsid w:val="00574D06"/>
    <w:rsid w:val="00574FDE"/>
    <w:rsid w:val="0058378C"/>
    <w:rsid w:val="005843DE"/>
    <w:rsid w:val="005A72A6"/>
    <w:rsid w:val="005A795B"/>
    <w:rsid w:val="005B09DC"/>
    <w:rsid w:val="005B51D4"/>
    <w:rsid w:val="005B5ACB"/>
    <w:rsid w:val="005C54E0"/>
    <w:rsid w:val="005C764B"/>
    <w:rsid w:val="005D0857"/>
    <w:rsid w:val="005D234D"/>
    <w:rsid w:val="005D7E52"/>
    <w:rsid w:val="005E0636"/>
    <w:rsid w:val="006024A8"/>
    <w:rsid w:val="00603699"/>
    <w:rsid w:val="00605C22"/>
    <w:rsid w:val="00613B34"/>
    <w:rsid w:val="0061504A"/>
    <w:rsid w:val="00631D25"/>
    <w:rsid w:val="00632B1C"/>
    <w:rsid w:val="00643A9D"/>
    <w:rsid w:val="006522C2"/>
    <w:rsid w:val="006570D5"/>
    <w:rsid w:val="00657171"/>
    <w:rsid w:val="006646A3"/>
    <w:rsid w:val="00666F26"/>
    <w:rsid w:val="00673ED0"/>
    <w:rsid w:val="006822CC"/>
    <w:rsid w:val="00686416"/>
    <w:rsid w:val="0069068B"/>
    <w:rsid w:val="00696858"/>
    <w:rsid w:val="006A6DE6"/>
    <w:rsid w:val="006A7448"/>
    <w:rsid w:val="006A74F7"/>
    <w:rsid w:val="006C05C6"/>
    <w:rsid w:val="006C4813"/>
    <w:rsid w:val="006C4EE1"/>
    <w:rsid w:val="006C669D"/>
    <w:rsid w:val="006D47C3"/>
    <w:rsid w:val="006E62BA"/>
    <w:rsid w:val="006F5BDA"/>
    <w:rsid w:val="006F7968"/>
    <w:rsid w:val="0070257C"/>
    <w:rsid w:val="007058C8"/>
    <w:rsid w:val="00705DEB"/>
    <w:rsid w:val="00710ECA"/>
    <w:rsid w:val="00720A5B"/>
    <w:rsid w:val="007252B9"/>
    <w:rsid w:val="00725847"/>
    <w:rsid w:val="00726ED9"/>
    <w:rsid w:val="007314C8"/>
    <w:rsid w:val="00731D87"/>
    <w:rsid w:val="00733A21"/>
    <w:rsid w:val="00734AA4"/>
    <w:rsid w:val="00735ACE"/>
    <w:rsid w:val="0074536F"/>
    <w:rsid w:val="00746D18"/>
    <w:rsid w:val="00751074"/>
    <w:rsid w:val="00755D25"/>
    <w:rsid w:val="00756298"/>
    <w:rsid w:val="00760995"/>
    <w:rsid w:val="00760DC7"/>
    <w:rsid w:val="00762BDC"/>
    <w:rsid w:val="00766671"/>
    <w:rsid w:val="00766D72"/>
    <w:rsid w:val="00776AB4"/>
    <w:rsid w:val="0077797F"/>
    <w:rsid w:val="00783464"/>
    <w:rsid w:val="0078577D"/>
    <w:rsid w:val="00792186"/>
    <w:rsid w:val="007930C1"/>
    <w:rsid w:val="0079716C"/>
    <w:rsid w:val="007A12D9"/>
    <w:rsid w:val="007A14C3"/>
    <w:rsid w:val="007A4C50"/>
    <w:rsid w:val="007C161C"/>
    <w:rsid w:val="007C40DF"/>
    <w:rsid w:val="007D095C"/>
    <w:rsid w:val="007D4DC9"/>
    <w:rsid w:val="007D740B"/>
    <w:rsid w:val="007E4321"/>
    <w:rsid w:val="007E44E4"/>
    <w:rsid w:val="007E4AF3"/>
    <w:rsid w:val="007E4BB2"/>
    <w:rsid w:val="007E7AE3"/>
    <w:rsid w:val="008039A5"/>
    <w:rsid w:val="00806668"/>
    <w:rsid w:val="008068B9"/>
    <w:rsid w:val="00822654"/>
    <w:rsid w:val="00822840"/>
    <w:rsid w:val="0083410B"/>
    <w:rsid w:val="0084203B"/>
    <w:rsid w:val="008426B8"/>
    <w:rsid w:val="00843D54"/>
    <w:rsid w:val="0084644E"/>
    <w:rsid w:val="0085083A"/>
    <w:rsid w:val="0085282F"/>
    <w:rsid w:val="008536CE"/>
    <w:rsid w:val="00863853"/>
    <w:rsid w:val="008676B9"/>
    <w:rsid w:val="008778CB"/>
    <w:rsid w:val="008805C7"/>
    <w:rsid w:val="00886715"/>
    <w:rsid w:val="00893065"/>
    <w:rsid w:val="008937CF"/>
    <w:rsid w:val="00896F4D"/>
    <w:rsid w:val="008A1842"/>
    <w:rsid w:val="008C4F97"/>
    <w:rsid w:val="008D2F26"/>
    <w:rsid w:val="008E2E40"/>
    <w:rsid w:val="008E4126"/>
    <w:rsid w:val="008E4622"/>
    <w:rsid w:val="008E72E4"/>
    <w:rsid w:val="008F7425"/>
    <w:rsid w:val="009015F0"/>
    <w:rsid w:val="009022A3"/>
    <w:rsid w:val="0091347A"/>
    <w:rsid w:val="00914758"/>
    <w:rsid w:val="00915C67"/>
    <w:rsid w:val="0091662A"/>
    <w:rsid w:val="00917E78"/>
    <w:rsid w:val="00920035"/>
    <w:rsid w:val="009333A0"/>
    <w:rsid w:val="00943310"/>
    <w:rsid w:val="00943A7A"/>
    <w:rsid w:val="009565D1"/>
    <w:rsid w:val="009637D8"/>
    <w:rsid w:val="00966C1F"/>
    <w:rsid w:val="009700C9"/>
    <w:rsid w:val="00971BB3"/>
    <w:rsid w:val="00981610"/>
    <w:rsid w:val="00984798"/>
    <w:rsid w:val="00994434"/>
    <w:rsid w:val="00995CD3"/>
    <w:rsid w:val="009974FC"/>
    <w:rsid w:val="009A587F"/>
    <w:rsid w:val="009A5900"/>
    <w:rsid w:val="009D1F68"/>
    <w:rsid w:val="009D46AD"/>
    <w:rsid w:val="00A0152E"/>
    <w:rsid w:val="00A02A51"/>
    <w:rsid w:val="00A12516"/>
    <w:rsid w:val="00A24132"/>
    <w:rsid w:val="00A27B67"/>
    <w:rsid w:val="00A32747"/>
    <w:rsid w:val="00A3378D"/>
    <w:rsid w:val="00A3788A"/>
    <w:rsid w:val="00A50875"/>
    <w:rsid w:val="00A51731"/>
    <w:rsid w:val="00A5421C"/>
    <w:rsid w:val="00A62E25"/>
    <w:rsid w:val="00A647A5"/>
    <w:rsid w:val="00A66FA6"/>
    <w:rsid w:val="00A81DBB"/>
    <w:rsid w:val="00A82893"/>
    <w:rsid w:val="00A87EBB"/>
    <w:rsid w:val="00A96035"/>
    <w:rsid w:val="00AA13BC"/>
    <w:rsid w:val="00AA4EDD"/>
    <w:rsid w:val="00AB324A"/>
    <w:rsid w:val="00AC1A0A"/>
    <w:rsid w:val="00AC374A"/>
    <w:rsid w:val="00AC4072"/>
    <w:rsid w:val="00AD08B0"/>
    <w:rsid w:val="00AD0DA9"/>
    <w:rsid w:val="00AD4F07"/>
    <w:rsid w:val="00AE2EB1"/>
    <w:rsid w:val="00AE4C46"/>
    <w:rsid w:val="00AE5E58"/>
    <w:rsid w:val="00AE75B7"/>
    <w:rsid w:val="00AF095C"/>
    <w:rsid w:val="00AF16AC"/>
    <w:rsid w:val="00AF5060"/>
    <w:rsid w:val="00AF659E"/>
    <w:rsid w:val="00B05FED"/>
    <w:rsid w:val="00B06DF7"/>
    <w:rsid w:val="00B07DCE"/>
    <w:rsid w:val="00B10EC0"/>
    <w:rsid w:val="00B115A9"/>
    <w:rsid w:val="00B138F0"/>
    <w:rsid w:val="00B27091"/>
    <w:rsid w:val="00B31EA7"/>
    <w:rsid w:val="00B32099"/>
    <w:rsid w:val="00B33031"/>
    <w:rsid w:val="00B36128"/>
    <w:rsid w:val="00B53B7B"/>
    <w:rsid w:val="00B60750"/>
    <w:rsid w:val="00B6083C"/>
    <w:rsid w:val="00B631A7"/>
    <w:rsid w:val="00B66DC3"/>
    <w:rsid w:val="00B906E6"/>
    <w:rsid w:val="00B929F7"/>
    <w:rsid w:val="00B93943"/>
    <w:rsid w:val="00B97B7C"/>
    <w:rsid w:val="00BA29DC"/>
    <w:rsid w:val="00BA54C0"/>
    <w:rsid w:val="00BA5E3A"/>
    <w:rsid w:val="00BA6716"/>
    <w:rsid w:val="00BA6B56"/>
    <w:rsid w:val="00BB1FE8"/>
    <w:rsid w:val="00BB37FB"/>
    <w:rsid w:val="00BE14C3"/>
    <w:rsid w:val="00BE2B36"/>
    <w:rsid w:val="00BE37B4"/>
    <w:rsid w:val="00BF48D8"/>
    <w:rsid w:val="00BF5662"/>
    <w:rsid w:val="00BF6FB3"/>
    <w:rsid w:val="00C03D5E"/>
    <w:rsid w:val="00C155EF"/>
    <w:rsid w:val="00C1621F"/>
    <w:rsid w:val="00C20BCD"/>
    <w:rsid w:val="00C247FA"/>
    <w:rsid w:val="00C251B9"/>
    <w:rsid w:val="00C30B98"/>
    <w:rsid w:val="00C31EE9"/>
    <w:rsid w:val="00C3362C"/>
    <w:rsid w:val="00C35FB0"/>
    <w:rsid w:val="00C36F15"/>
    <w:rsid w:val="00C45530"/>
    <w:rsid w:val="00C50171"/>
    <w:rsid w:val="00C53C11"/>
    <w:rsid w:val="00C54BF8"/>
    <w:rsid w:val="00C61055"/>
    <w:rsid w:val="00C736D6"/>
    <w:rsid w:val="00C75354"/>
    <w:rsid w:val="00C77F78"/>
    <w:rsid w:val="00C82D5C"/>
    <w:rsid w:val="00C8424D"/>
    <w:rsid w:val="00C84C3E"/>
    <w:rsid w:val="00C96637"/>
    <w:rsid w:val="00C978AB"/>
    <w:rsid w:val="00C97975"/>
    <w:rsid w:val="00CA2201"/>
    <w:rsid w:val="00CA2B22"/>
    <w:rsid w:val="00CA3911"/>
    <w:rsid w:val="00CA57DB"/>
    <w:rsid w:val="00CB4E1D"/>
    <w:rsid w:val="00CB5541"/>
    <w:rsid w:val="00CB7C32"/>
    <w:rsid w:val="00CC0115"/>
    <w:rsid w:val="00CC7FCE"/>
    <w:rsid w:val="00CD003E"/>
    <w:rsid w:val="00CE6F79"/>
    <w:rsid w:val="00CE7401"/>
    <w:rsid w:val="00CE76B0"/>
    <w:rsid w:val="00CE7B46"/>
    <w:rsid w:val="00CF0A01"/>
    <w:rsid w:val="00CF1CA0"/>
    <w:rsid w:val="00CF3EEB"/>
    <w:rsid w:val="00CF57D7"/>
    <w:rsid w:val="00D00240"/>
    <w:rsid w:val="00D06505"/>
    <w:rsid w:val="00D224EA"/>
    <w:rsid w:val="00D2603F"/>
    <w:rsid w:val="00D4484D"/>
    <w:rsid w:val="00D44DFE"/>
    <w:rsid w:val="00D45AEE"/>
    <w:rsid w:val="00D51A37"/>
    <w:rsid w:val="00D54B1F"/>
    <w:rsid w:val="00D54FD1"/>
    <w:rsid w:val="00D6778B"/>
    <w:rsid w:val="00D67902"/>
    <w:rsid w:val="00D71205"/>
    <w:rsid w:val="00D71E5B"/>
    <w:rsid w:val="00D8089A"/>
    <w:rsid w:val="00D82DEE"/>
    <w:rsid w:val="00D83BB6"/>
    <w:rsid w:val="00D84B7C"/>
    <w:rsid w:val="00D90B1F"/>
    <w:rsid w:val="00D94857"/>
    <w:rsid w:val="00D94BB9"/>
    <w:rsid w:val="00D9743A"/>
    <w:rsid w:val="00DA19E5"/>
    <w:rsid w:val="00DB28CE"/>
    <w:rsid w:val="00DB48F7"/>
    <w:rsid w:val="00DD0D07"/>
    <w:rsid w:val="00DD7311"/>
    <w:rsid w:val="00DD784D"/>
    <w:rsid w:val="00DE7E47"/>
    <w:rsid w:val="00DF5351"/>
    <w:rsid w:val="00E00B8F"/>
    <w:rsid w:val="00E02C01"/>
    <w:rsid w:val="00E02EC1"/>
    <w:rsid w:val="00E04C45"/>
    <w:rsid w:val="00E13849"/>
    <w:rsid w:val="00E3191C"/>
    <w:rsid w:val="00E35254"/>
    <w:rsid w:val="00E35C02"/>
    <w:rsid w:val="00E4191C"/>
    <w:rsid w:val="00E43F9F"/>
    <w:rsid w:val="00E4646A"/>
    <w:rsid w:val="00E4730E"/>
    <w:rsid w:val="00E6060B"/>
    <w:rsid w:val="00E61B9D"/>
    <w:rsid w:val="00E62195"/>
    <w:rsid w:val="00E63994"/>
    <w:rsid w:val="00E66270"/>
    <w:rsid w:val="00E70CE7"/>
    <w:rsid w:val="00E77CEA"/>
    <w:rsid w:val="00E827AF"/>
    <w:rsid w:val="00E836CE"/>
    <w:rsid w:val="00E86F35"/>
    <w:rsid w:val="00E91D1C"/>
    <w:rsid w:val="00E91E85"/>
    <w:rsid w:val="00E954B1"/>
    <w:rsid w:val="00EA1CD0"/>
    <w:rsid w:val="00EC5F29"/>
    <w:rsid w:val="00ED1B18"/>
    <w:rsid w:val="00ED6CCE"/>
    <w:rsid w:val="00EE5C21"/>
    <w:rsid w:val="00EF241E"/>
    <w:rsid w:val="00F05D83"/>
    <w:rsid w:val="00F07A95"/>
    <w:rsid w:val="00F11F9D"/>
    <w:rsid w:val="00F220E9"/>
    <w:rsid w:val="00F239C4"/>
    <w:rsid w:val="00F24396"/>
    <w:rsid w:val="00F25DBF"/>
    <w:rsid w:val="00F262B1"/>
    <w:rsid w:val="00F273A6"/>
    <w:rsid w:val="00F305C1"/>
    <w:rsid w:val="00F308B8"/>
    <w:rsid w:val="00F31F64"/>
    <w:rsid w:val="00F328B7"/>
    <w:rsid w:val="00F34A58"/>
    <w:rsid w:val="00F438BE"/>
    <w:rsid w:val="00F52139"/>
    <w:rsid w:val="00F54522"/>
    <w:rsid w:val="00F55F8F"/>
    <w:rsid w:val="00F60122"/>
    <w:rsid w:val="00F61577"/>
    <w:rsid w:val="00F618D0"/>
    <w:rsid w:val="00F66787"/>
    <w:rsid w:val="00F66B5D"/>
    <w:rsid w:val="00F72431"/>
    <w:rsid w:val="00F77120"/>
    <w:rsid w:val="00F8518F"/>
    <w:rsid w:val="00F87A02"/>
    <w:rsid w:val="00F9407E"/>
    <w:rsid w:val="00FA138E"/>
    <w:rsid w:val="00FA23CC"/>
    <w:rsid w:val="00FB1520"/>
    <w:rsid w:val="00FC0B01"/>
    <w:rsid w:val="00FC2FD7"/>
    <w:rsid w:val="00FC3DF0"/>
    <w:rsid w:val="00FD1BA8"/>
    <w:rsid w:val="0431024D"/>
    <w:rsid w:val="0EFF7101"/>
    <w:rsid w:val="0F7BAF80"/>
    <w:rsid w:val="133E0119"/>
    <w:rsid w:val="1540411B"/>
    <w:rsid w:val="2D553B6B"/>
    <w:rsid w:val="327A7AEF"/>
    <w:rsid w:val="331E5404"/>
    <w:rsid w:val="39F43102"/>
    <w:rsid w:val="437B5A74"/>
    <w:rsid w:val="4BA6DC16"/>
    <w:rsid w:val="4E796D4E"/>
    <w:rsid w:val="53FACE17"/>
    <w:rsid w:val="5BFAB340"/>
    <w:rsid w:val="5D3F24B1"/>
    <w:rsid w:val="5F9A7156"/>
    <w:rsid w:val="608606F4"/>
    <w:rsid w:val="63591D05"/>
    <w:rsid w:val="641F7FF0"/>
    <w:rsid w:val="694566B2"/>
    <w:rsid w:val="697565E1"/>
    <w:rsid w:val="6B730350"/>
    <w:rsid w:val="73395091"/>
    <w:rsid w:val="7737F960"/>
    <w:rsid w:val="7F7BA6D1"/>
    <w:rsid w:val="7FA7B5B4"/>
    <w:rsid w:val="9FF60987"/>
    <w:rsid w:val="BDEA4DF7"/>
    <w:rsid w:val="BE3F1D8F"/>
    <w:rsid w:val="DCB9DA29"/>
    <w:rsid w:val="DFEF00B5"/>
    <w:rsid w:val="E7EFA68A"/>
    <w:rsid w:val="EDF6C61C"/>
    <w:rsid w:val="FABD6FEE"/>
    <w:rsid w:val="FDFBBDE0"/>
    <w:rsid w:val="FF5EF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qFormat="1"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3"/>
    <w:basedOn w:val="1"/>
    <w:next w:val="1"/>
    <w:link w:val="4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2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Times New Roman" w:eastAsiaTheme="minorEastAsia"/>
      <w:kern w:val="2"/>
      <w:lang w:val="en-US" w:eastAsia="zh-CN" w:bidi="ar-SA"/>
    </w:rPr>
  </w:style>
  <w:style w:type="paragraph" w:styleId="5">
    <w:name w:val="annotation text"/>
    <w:basedOn w:val="1"/>
    <w:link w:val="41"/>
    <w:unhideWhenUsed/>
    <w:qFormat/>
    <w:uiPriority w:val="0"/>
    <w:rPr>
      <w:sz w:val="20"/>
      <w:szCs w:val="20"/>
    </w:rPr>
  </w:style>
  <w:style w:type="paragraph" w:styleId="6">
    <w:name w:val="Body Text"/>
    <w:basedOn w:val="1"/>
    <w:link w:val="43"/>
    <w:qFormat/>
    <w:uiPriority w:val="0"/>
    <w:pPr>
      <w:widowControl/>
      <w:spacing w:after="240"/>
      <w:jc w:val="left"/>
    </w:pPr>
    <w:rPr>
      <w:rFonts w:cstheme="minorBidi"/>
      <w:kern w:val="0"/>
      <w:sz w:val="24"/>
      <w:lang w:eastAsia="en-US"/>
    </w:rPr>
  </w:style>
  <w:style w:type="paragraph" w:styleId="7">
    <w:name w:val="endnote text"/>
    <w:basedOn w:val="1"/>
    <w:link w:val="21"/>
    <w:semiHidden/>
    <w:unhideWhenUsed/>
    <w:qFormat/>
    <w:uiPriority w:val="99"/>
    <w:pPr>
      <w:snapToGrid w:val="0"/>
      <w:jc w:val="left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annotation subject"/>
    <w:basedOn w:val="5"/>
    <w:next w:val="5"/>
    <w:link w:val="42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ndnote reference"/>
    <w:semiHidden/>
    <w:unhideWhenUsed/>
    <w:qFormat/>
    <w:uiPriority w:val="99"/>
    <w:rPr>
      <w:vertAlign w:val="superscript"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16"/>
      <w:szCs w:val="16"/>
    </w:rPr>
  </w:style>
  <w:style w:type="character" w:styleId="19">
    <w:name w:val="footnote reference"/>
    <w:link w:val="20"/>
    <w:unhideWhenUsed/>
    <w:qFormat/>
    <w:uiPriority w:val="99"/>
    <w:rPr>
      <w:vertAlign w:val="superscript"/>
    </w:rPr>
  </w:style>
  <w:style w:type="paragraph" w:customStyle="1" w:styleId="20">
    <w:name w:val="Z_Footnote Text"/>
    <w:basedOn w:val="1"/>
    <w:link w:val="19"/>
    <w:qFormat/>
    <w:uiPriority w:val="99"/>
    <w:pPr>
      <w:widowControl/>
      <w:spacing w:after="160" w:line="240" w:lineRule="exact"/>
      <w:jc w:val="left"/>
    </w:pPr>
    <w:rPr>
      <w:rFonts w:ascii="Calibri" w:hAnsi="Calibri"/>
      <w:kern w:val="0"/>
      <w:sz w:val="20"/>
      <w:szCs w:val="20"/>
      <w:vertAlign w:val="superscript"/>
    </w:rPr>
  </w:style>
  <w:style w:type="character" w:customStyle="1" w:styleId="21">
    <w:name w:val="尾注文本 字符"/>
    <w:basedOn w:val="15"/>
    <w:link w:val="7"/>
    <w:semiHidden/>
    <w:qFormat/>
    <w:uiPriority w:val="99"/>
  </w:style>
  <w:style w:type="character" w:customStyle="1" w:styleId="22">
    <w:name w:val="页眉 字符"/>
    <w:link w:val="10"/>
    <w:qFormat/>
    <w:uiPriority w:val="99"/>
    <w:rPr>
      <w:sz w:val="18"/>
      <w:szCs w:val="18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  <w:style w:type="character" w:customStyle="1" w:styleId="24">
    <w:name w:val="脚注文本 字符"/>
    <w:link w:val="11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apple-converted-space"/>
    <w:basedOn w:val="15"/>
    <w:qFormat/>
    <w:uiPriority w:val="0"/>
  </w:style>
  <w:style w:type="character" w:customStyle="1" w:styleId="26">
    <w:name w:val="批注框文本 字符"/>
    <w:basedOn w:val="15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7">
    <w:name w:val="AMLNotify Cont 3"/>
    <w:basedOn w:val="1"/>
    <w:qFormat/>
    <w:uiPriority w:val="0"/>
    <w:pPr>
      <w:widowControl/>
      <w:spacing w:after="240"/>
    </w:pPr>
    <w:rPr>
      <w:rFonts w:eastAsia="Times New Roman"/>
      <w:kern w:val="0"/>
      <w:sz w:val="24"/>
      <w:szCs w:val="20"/>
      <w:lang w:eastAsia="en-GB"/>
    </w:rPr>
  </w:style>
  <w:style w:type="paragraph" w:customStyle="1" w:styleId="28">
    <w:name w:val="DocId"/>
    <w:basedOn w:val="9"/>
    <w:qFormat/>
    <w:uiPriority w:val="0"/>
    <w:pPr>
      <w:widowControl/>
      <w:tabs>
        <w:tab w:val="center" w:pos="4680"/>
        <w:tab w:val="right" w:pos="9360"/>
        <w:tab w:val="clear" w:pos="4153"/>
        <w:tab w:val="clear" w:pos="8306"/>
      </w:tabs>
      <w:snapToGrid/>
    </w:pPr>
    <w:rPr>
      <w:rFonts w:cstheme="minorBidi"/>
      <w:kern w:val="0"/>
      <w:sz w:val="16"/>
      <w:szCs w:val="16"/>
      <w:lang w:eastAsia="en-US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2"/>
      <w:sz w:val="28"/>
      <w:szCs w:val="28"/>
    </w:rPr>
  </w:style>
  <w:style w:type="character" w:customStyle="1" w:styleId="32">
    <w:name w:val="宏文本 字符"/>
    <w:basedOn w:val="15"/>
    <w:link w:val="2"/>
    <w:semiHidden/>
    <w:qFormat/>
    <w:uiPriority w:val="99"/>
    <w:rPr>
      <w:rFonts w:ascii="Consolas" w:hAnsi="Consolas"/>
      <w:kern w:val="2"/>
    </w:rPr>
  </w:style>
  <w:style w:type="paragraph" w:customStyle="1" w:styleId="33">
    <w:name w:val="ShortOutline1"/>
    <w:basedOn w:val="1"/>
    <w:qFormat/>
    <w:uiPriority w:val="4"/>
    <w:pPr>
      <w:widowControl/>
      <w:numPr>
        <w:ilvl w:val="0"/>
        <w:numId w:val="1"/>
      </w:numPr>
      <w:spacing w:before="240" w:after="240"/>
      <w:jc w:val="left"/>
    </w:pPr>
    <w:rPr>
      <w:kern w:val="0"/>
      <w:sz w:val="24"/>
      <w:szCs w:val="24"/>
      <w:lang w:bidi="he-IL"/>
    </w:rPr>
  </w:style>
  <w:style w:type="paragraph" w:customStyle="1" w:styleId="34">
    <w:name w:val="ShortOutline2"/>
    <w:basedOn w:val="1"/>
    <w:qFormat/>
    <w:uiPriority w:val="4"/>
    <w:pPr>
      <w:widowControl/>
      <w:numPr>
        <w:ilvl w:val="1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35">
    <w:name w:val="ShortOutline3"/>
    <w:basedOn w:val="1"/>
    <w:qFormat/>
    <w:uiPriority w:val="4"/>
    <w:pPr>
      <w:widowControl/>
      <w:numPr>
        <w:ilvl w:val="2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36">
    <w:name w:val="ShortOutline4"/>
    <w:basedOn w:val="1"/>
    <w:qFormat/>
    <w:uiPriority w:val="4"/>
    <w:pPr>
      <w:widowControl/>
      <w:numPr>
        <w:ilvl w:val="3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37">
    <w:name w:val="ShortOutline5"/>
    <w:basedOn w:val="1"/>
    <w:qFormat/>
    <w:uiPriority w:val="4"/>
    <w:pPr>
      <w:widowControl/>
      <w:numPr>
        <w:ilvl w:val="4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character" w:customStyle="1" w:styleId="38">
    <w:name w:val="Draftline"/>
    <w:qFormat/>
    <w:uiPriority w:val="0"/>
    <w:rPr>
      <w:rFonts w:ascii="Times New Roman" w:hAnsi="Times New Roman" w:cs="Times New Roman"/>
      <w:vanish/>
      <w:color w:val="FF0000"/>
      <w:spacing w:val="0"/>
      <w:w w:val="100"/>
      <w:kern w:val="0"/>
      <w:sz w:val="15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customStyle="1" w:styleId="39">
    <w:name w:val="Footer B"/>
    <w:link w:val="40"/>
    <w:qFormat/>
    <w:uiPriority w:val="0"/>
    <w:pPr>
      <w:tabs>
        <w:tab w:val="center" w:pos="4320"/>
        <w:tab w:val="right" w:pos="8640"/>
      </w:tabs>
      <w:snapToGrid w:val="0"/>
    </w:pPr>
    <w:rPr>
      <w:rFonts w:ascii="Times New Roman" w:hAnsi="Times New Roman" w:cs="Times New Roman" w:eastAsiaTheme="minorEastAsia"/>
      <w:sz w:val="15"/>
      <w:szCs w:val="24"/>
      <w:lang w:val="en-US" w:eastAsia="zh-CN" w:bidi="ar-SA"/>
    </w:rPr>
  </w:style>
  <w:style w:type="character" w:customStyle="1" w:styleId="40">
    <w:name w:val="Footer B Char"/>
    <w:basedOn w:val="15"/>
    <w:link w:val="39"/>
    <w:qFormat/>
    <w:uiPriority w:val="0"/>
    <w:rPr>
      <w:rFonts w:ascii="Times New Roman" w:hAnsi="Times New Roman"/>
      <w:sz w:val="15"/>
      <w:szCs w:val="24"/>
    </w:rPr>
  </w:style>
  <w:style w:type="character" w:customStyle="1" w:styleId="41">
    <w:name w:val="批注文字 字符"/>
    <w:basedOn w:val="15"/>
    <w:link w:val="5"/>
    <w:qFormat/>
    <w:uiPriority w:val="0"/>
    <w:rPr>
      <w:rFonts w:ascii="Times New Roman" w:hAnsi="Times New Roman"/>
      <w:kern w:val="2"/>
    </w:rPr>
  </w:style>
  <w:style w:type="character" w:customStyle="1" w:styleId="42">
    <w:name w:val="批注主题 字符"/>
    <w:basedOn w:val="41"/>
    <w:link w:val="12"/>
    <w:semiHidden/>
    <w:qFormat/>
    <w:uiPriority w:val="99"/>
    <w:rPr>
      <w:rFonts w:ascii="Times New Roman" w:hAnsi="Times New Roman"/>
      <w:b/>
      <w:bCs/>
      <w:kern w:val="2"/>
    </w:rPr>
  </w:style>
  <w:style w:type="character" w:customStyle="1" w:styleId="43">
    <w:name w:val="正文文本 字符"/>
    <w:basedOn w:val="15"/>
    <w:link w:val="6"/>
    <w:qFormat/>
    <w:uiPriority w:val="0"/>
    <w:rPr>
      <w:rFonts w:ascii="Times New Roman" w:hAnsi="Times New Roman" w:cstheme="minorBidi"/>
      <w:sz w:val="24"/>
      <w:szCs w:val="22"/>
      <w:lang w:eastAsia="en-US"/>
    </w:rPr>
  </w:style>
  <w:style w:type="character" w:customStyle="1" w:styleId="44">
    <w:name w:val="标题 3 字符"/>
    <w:basedOn w:val="15"/>
    <w:link w:val="4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45">
    <w:name w:val="Revision1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46">
    <w:name w:val="修订2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47">
    <w:name w:val="修订3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48">
    <w:name w:val="修订4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49">
    <w:name w:val="修订5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0">
    <w:name w:val="修订6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1">
    <w:name w:val="修订7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2">
    <w:name w:val="修订8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3">
    <w:name w:val="修订9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4">
    <w:name w:val="Revision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428E88B9-5285-4B4E-BADC-8F720E6FB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Nagashima Ohno &amp; Tsunematsu</Company>
  <Pages>2</Pages>
  <Words>1227</Words>
  <Characters>1332</Characters>
  <Lines>97</Lines>
  <Paragraphs>87</Paragraphs>
  <TotalTime>15</TotalTime>
  <ScaleCrop>false</ScaleCrop>
  <LinksUpToDate>false</LinksUpToDate>
  <CharactersWithSpaces>1338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2025-06-03T08:03:00Z</dcterms:created>
  <dc:creator> </dc:creator>
  <cp:lastModifiedBy> </cp:lastModifiedBy>
  <dcterms:modified xsi:type="dcterms:W3CDTF">2025-06-06T02:59:28Z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099750</vt:lpwstr>
  </property>
  <property fmtid="{D5CDD505-2E9C-101B-9397-08002B2CF9AE}" pid="3" name="Matter">
    <vt:lpwstr>0102</vt:lpwstr>
  </property>
  <property fmtid="{D5CDD505-2E9C-101B-9397-08002B2CF9AE}" pid="4" name="MicrosystemsComparison">
    <vt:lpwstr>{9edf1103-200e-4306-b89e-9c343e727ef8}</vt:lpwstr>
  </property>
  <property fmtid="{D5CDD505-2E9C-101B-9397-08002B2CF9AE}" pid="5" name="REF">
    <vt:lpwstr>{REF:0726920001}</vt:lpwstr>
  </property>
  <property fmtid="{D5CDD505-2E9C-101B-9397-08002B2CF9AE}" pid="6" name="KSOProductBuildVer">
    <vt:lpwstr>2052-12.1.0.21171</vt:lpwstr>
  </property>
  <property fmtid="{D5CDD505-2E9C-101B-9397-08002B2CF9AE}" pid="7" name="ICV">
    <vt:lpwstr>78F121529EDC0FB7E9B8E46702BE0C1F_43</vt:lpwstr>
  </property>
  <property fmtid="{D5CDD505-2E9C-101B-9397-08002B2CF9AE}" pid="8" name="KSOTemplateDocerSaveRecord">
    <vt:lpwstr>eyJoZGlkIjoiNTRhMDlhNmZjMDhiZjlmODc2MmE1MjljZWI2YjZjYzAiLCJ1c2VySWQiOiIyNzkzMzM5MDgifQ==</vt:lpwstr>
  </property>
</Properties>
</file>