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5F2D3">
      <w:pPr>
        <w:jc w:val="center"/>
        <w:rPr>
          <w:sz w:val="36"/>
          <w:szCs w:val="44"/>
        </w:rPr>
      </w:pPr>
      <w:r>
        <w:rPr>
          <w:sz w:val="36"/>
          <w:szCs w:val="44"/>
        </w:rPr>
        <w:t>经营者集中简易案件公示表</w:t>
      </w:r>
    </w:p>
    <w:p w14:paraId="71D249E0"/>
    <w:tbl>
      <w:tblPr>
        <w:tblStyle w:val="18"/>
        <w:tblW w:w="881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0"/>
        <w:gridCol w:w="1633"/>
        <w:gridCol w:w="5245"/>
      </w:tblGrid>
      <w:tr w14:paraId="382E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940" w:type="dxa"/>
            <w:tcBorders>
              <w:top w:val="single" w:color="auto" w:sz="4" w:space="0"/>
              <w:left w:val="single" w:color="auto" w:sz="4" w:space="0"/>
              <w:bottom w:val="single" w:color="auto" w:sz="4" w:space="0"/>
              <w:right w:val="single" w:color="auto" w:sz="4" w:space="0"/>
            </w:tcBorders>
            <w:shd w:val="clear" w:color="auto" w:fill="D9D9D9"/>
            <w:vAlign w:val="center"/>
          </w:tcPr>
          <w:p w14:paraId="72C36881">
            <w:pPr>
              <w:rPr>
                <w:b/>
                <w:sz w:val="24"/>
              </w:rPr>
            </w:pPr>
            <w:r>
              <w:rPr>
                <w:b/>
                <w:sz w:val="24"/>
              </w:rPr>
              <w:t>案件名称</w:t>
            </w: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4D8D1366">
            <w:pPr>
              <w:rPr>
                <w:bCs/>
                <w:sz w:val="24"/>
              </w:rPr>
            </w:pPr>
            <w:r>
              <w:rPr>
                <w:rFonts w:hint="eastAsia"/>
                <w:kern w:val="0"/>
                <w:sz w:val="24"/>
              </w:rPr>
              <w:t>深圳华安液化石油气有限公司收购深圳市气合网科技有限公司股权案</w:t>
            </w:r>
          </w:p>
        </w:tc>
      </w:tr>
      <w:tr w14:paraId="615E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940" w:type="dxa"/>
            <w:tcBorders>
              <w:top w:val="single" w:color="auto" w:sz="4" w:space="0"/>
              <w:left w:val="single" w:color="auto" w:sz="4" w:space="0"/>
              <w:bottom w:val="single" w:color="auto" w:sz="4" w:space="0"/>
              <w:right w:val="single" w:color="auto" w:sz="4" w:space="0"/>
            </w:tcBorders>
            <w:shd w:val="clear" w:color="auto" w:fill="D9D9D9"/>
            <w:vAlign w:val="center"/>
          </w:tcPr>
          <w:p w14:paraId="5B499053">
            <w:pPr>
              <w:rPr>
                <w:b/>
                <w:sz w:val="24"/>
              </w:rPr>
            </w:pPr>
            <w:r>
              <w:rPr>
                <w:b/>
                <w:sz w:val="24"/>
              </w:rPr>
              <w:t>交易概况（限200字内）</w:t>
            </w: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0A1A7C42">
            <w:pPr>
              <w:rPr>
                <w:sz w:val="24"/>
              </w:rPr>
            </w:pPr>
            <w:r>
              <w:rPr>
                <w:rFonts w:hint="eastAsia"/>
                <w:sz w:val="24"/>
              </w:rPr>
              <w:t>深圳华安液化石油气有限公司（“深圳华安”）与深圳华望企业管理有限公司（“深圳华望”）签署协议，深圳华安拟收购深圳市气合网科技有限公司（“目标公司”）15%股权，目标公司主要提供天然气交易服务。</w:t>
            </w:r>
          </w:p>
          <w:p w14:paraId="22CE59FA">
            <w:pPr>
              <w:rPr>
                <w:sz w:val="24"/>
              </w:rPr>
            </w:pPr>
            <w:r>
              <w:rPr>
                <w:rFonts w:hint="eastAsia"/>
                <w:sz w:val="24"/>
              </w:rPr>
              <w:t>交易前，深圳华望持有目标公司100%股权，单独控制目标公司。交易后，深圳华望与深圳华安将分别持有目标公司85%与15%股权，深圳华望与深圳华安共同控制目标公司。</w:t>
            </w:r>
          </w:p>
        </w:tc>
      </w:tr>
      <w:tr w14:paraId="4653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940" w:type="dxa"/>
            <w:vMerge w:val="restart"/>
            <w:tcBorders>
              <w:top w:val="nil"/>
              <w:left w:val="single" w:color="auto" w:sz="4" w:space="0"/>
              <w:right w:val="single" w:color="auto" w:sz="4" w:space="0"/>
            </w:tcBorders>
            <w:shd w:val="clear" w:color="auto" w:fill="D9D9D9"/>
            <w:vAlign w:val="center"/>
          </w:tcPr>
          <w:p w14:paraId="0698DAFC">
            <w:pPr>
              <w:rPr>
                <w:b/>
                <w:sz w:val="24"/>
              </w:rPr>
            </w:pPr>
            <w:r>
              <w:rPr>
                <w:b/>
                <w:sz w:val="24"/>
              </w:rPr>
              <w:t>参与集中的经营者简介（每个限100字以内）</w:t>
            </w:r>
          </w:p>
        </w:tc>
        <w:tc>
          <w:tcPr>
            <w:tcW w:w="1633" w:type="dxa"/>
            <w:tcBorders>
              <w:top w:val="single" w:color="auto" w:sz="4" w:space="0"/>
              <w:left w:val="single" w:color="auto" w:sz="4" w:space="0"/>
              <w:bottom w:val="single" w:color="auto" w:sz="4" w:space="0"/>
              <w:right w:val="single" w:color="auto" w:sz="4" w:space="0"/>
            </w:tcBorders>
            <w:vAlign w:val="center"/>
          </w:tcPr>
          <w:p w14:paraId="3115ABB9">
            <w:pPr>
              <w:rPr>
                <w:bCs/>
                <w:sz w:val="24"/>
              </w:rPr>
            </w:pPr>
            <w:r>
              <w:rPr>
                <w:bCs/>
                <w:sz w:val="24"/>
              </w:rPr>
              <w:t>1.</w:t>
            </w:r>
            <w:bookmarkStart w:id="0" w:name="OLE_LINK26"/>
            <w:r>
              <w:rPr>
                <w:rFonts w:hint="eastAsia"/>
                <w:bCs/>
                <w:sz w:val="24"/>
              </w:rPr>
              <w:t>深圳华</w:t>
            </w:r>
            <w:bookmarkEnd w:id="0"/>
            <w:r>
              <w:rPr>
                <w:rFonts w:hint="eastAsia"/>
                <w:bCs/>
                <w:sz w:val="24"/>
              </w:rPr>
              <w:t>安</w:t>
            </w:r>
          </w:p>
        </w:tc>
        <w:tc>
          <w:tcPr>
            <w:tcW w:w="5245" w:type="dxa"/>
            <w:tcBorders>
              <w:top w:val="single" w:color="auto" w:sz="4" w:space="0"/>
              <w:left w:val="single" w:color="auto" w:sz="4" w:space="0"/>
              <w:bottom w:val="single" w:color="auto" w:sz="4" w:space="0"/>
              <w:right w:val="single" w:color="auto" w:sz="4" w:space="0"/>
            </w:tcBorders>
            <w:vAlign w:val="center"/>
          </w:tcPr>
          <w:p w14:paraId="27699833">
            <w:pPr>
              <w:rPr>
                <w:sz w:val="24"/>
              </w:rPr>
            </w:pPr>
            <w:r>
              <w:rPr>
                <w:rFonts w:hint="eastAsia"/>
                <w:bCs/>
                <w:sz w:val="24"/>
              </w:rPr>
              <w:t>深圳华安</w:t>
            </w:r>
            <w:r>
              <w:rPr>
                <w:sz w:val="24"/>
              </w:rPr>
              <w:t>于</w:t>
            </w:r>
            <w:r>
              <w:rPr>
                <w:rFonts w:hint="eastAsia"/>
                <w:sz w:val="24"/>
              </w:rPr>
              <w:t>1995年3月29日</w:t>
            </w:r>
            <w:r>
              <w:rPr>
                <w:sz w:val="24"/>
              </w:rPr>
              <w:t>成立于</w:t>
            </w:r>
            <w:r>
              <w:rPr>
                <w:rFonts w:hint="eastAsia"/>
                <w:sz w:val="24"/>
              </w:rPr>
              <w:t>广东省深圳市，</w:t>
            </w:r>
            <w:r>
              <w:rPr>
                <w:sz w:val="24"/>
              </w:rPr>
              <w:t>主要</w:t>
            </w:r>
            <w:r>
              <w:rPr>
                <w:rFonts w:hint="eastAsia"/>
                <w:sz w:val="24"/>
              </w:rPr>
              <w:t>业务为天然气贸易业务</w:t>
            </w:r>
            <w:r>
              <w:rPr>
                <w:sz w:val="24"/>
              </w:rPr>
              <w:t>。</w:t>
            </w:r>
          </w:p>
          <w:p w14:paraId="190094A7">
            <w:pPr>
              <w:rPr>
                <w:sz w:val="24"/>
              </w:rPr>
            </w:pPr>
            <w:r>
              <w:rPr>
                <w:rFonts w:hint="eastAsia"/>
                <w:bCs/>
                <w:sz w:val="24"/>
              </w:rPr>
              <w:t>深圳华安</w:t>
            </w:r>
            <w:r>
              <w:rPr>
                <w:sz w:val="24"/>
              </w:rPr>
              <w:t>的最终控制人为</w:t>
            </w:r>
            <w:r>
              <w:rPr>
                <w:rFonts w:hint="eastAsia"/>
                <w:sz w:val="24"/>
              </w:rPr>
              <w:t>深圳市燃气集团股份有限公司，其主要业务为城市燃气供应及相关业务。</w:t>
            </w:r>
          </w:p>
        </w:tc>
      </w:tr>
      <w:tr w14:paraId="7D6D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940" w:type="dxa"/>
            <w:vMerge w:val="continue"/>
            <w:tcBorders>
              <w:left w:val="single" w:color="auto" w:sz="4" w:space="0"/>
              <w:right w:val="single" w:color="auto" w:sz="4" w:space="0"/>
            </w:tcBorders>
            <w:vAlign w:val="center"/>
          </w:tcPr>
          <w:p w14:paraId="0C62FFE2">
            <w:pPr>
              <w:rPr>
                <w:b/>
                <w:sz w:val="24"/>
              </w:rPr>
            </w:pPr>
          </w:p>
        </w:tc>
        <w:tc>
          <w:tcPr>
            <w:tcW w:w="1633" w:type="dxa"/>
            <w:tcBorders>
              <w:top w:val="single" w:color="auto" w:sz="4" w:space="0"/>
              <w:left w:val="single" w:color="auto" w:sz="4" w:space="0"/>
              <w:bottom w:val="single" w:color="auto" w:sz="4" w:space="0"/>
              <w:right w:val="single" w:color="auto" w:sz="4" w:space="0"/>
            </w:tcBorders>
            <w:vAlign w:val="center"/>
          </w:tcPr>
          <w:p w14:paraId="4CFF4031">
            <w:pPr>
              <w:rPr>
                <w:bCs/>
                <w:sz w:val="24"/>
              </w:rPr>
            </w:pPr>
            <w:r>
              <w:rPr>
                <w:rFonts w:hint="eastAsia"/>
                <w:bCs/>
                <w:sz w:val="24"/>
              </w:rPr>
              <w:t>2</w:t>
            </w:r>
            <w:r>
              <w:rPr>
                <w:bCs/>
                <w:sz w:val="24"/>
              </w:rPr>
              <w:t>.</w:t>
            </w:r>
            <w:r>
              <w:rPr>
                <w:rFonts w:hint="eastAsia"/>
                <w:bCs/>
                <w:sz w:val="24"/>
              </w:rPr>
              <w:t>深圳华望</w:t>
            </w:r>
          </w:p>
        </w:tc>
        <w:tc>
          <w:tcPr>
            <w:tcW w:w="5245" w:type="dxa"/>
            <w:tcBorders>
              <w:top w:val="single" w:color="auto" w:sz="4" w:space="0"/>
              <w:left w:val="single" w:color="auto" w:sz="4" w:space="0"/>
              <w:bottom w:val="single" w:color="auto" w:sz="4" w:space="0"/>
              <w:right w:val="single" w:color="auto" w:sz="4" w:space="0"/>
            </w:tcBorders>
            <w:vAlign w:val="center"/>
          </w:tcPr>
          <w:p w14:paraId="67ABA741">
            <w:pPr>
              <w:rPr>
                <w:sz w:val="24"/>
              </w:rPr>
            </w:pPr>
            <w:r>
              <w:rPr>
                <w:rFonts w:hint="eastAsia"/>
                <w:bCs/>
                <w:sz w:val="24"/>
              </w:rPr>
              <w:t>深圳华望</w:t>
            </w:r>
            <w:r>
              <w:rPr>
                <w:sz w:val="24"/>
              </w:rPr>
              <w:t>于</w:t>
            </w:r>
            <w:r>
              <w:rPr>
                <w:rFonts w:hint="eastAsia"/>
                <w:sz w:val="24"/>
              </w:rPr>
              <w:t>2023</w:t>
            </w:r>
            <w:r>
              <w:rPr>
                <w:sz w:val="24"/>
              </w:rPr>
              <w:t>年12月</w:t>
            </w:r>
            <w:r>
              <w:rPr>
                <w:rFonts w:hint="eastAsia"/>
                <w:sz w:val="24"/>
              </w:rPr>
              <w:t>23</w:t>
            </w:r>
            <w:r>
              <w:rPr>
                <w:sz w:val="24"/>
              </w:rPr>
              <w:t>日成立于</w:t>
            </w:r>
            <w:r>
              <w:rPr>
                <w:rFonts w:hint="eastAsia"/>
                <w:sz w:val="24"/>
              </w:rPr>
              <w:t>广东省深圳市，</w:t>
            </w:r>
            <w:r>
              <w:rPr>
                <w:sz w:val="24"/>
              </w:rPr>
              <w:t>主要</w:t>
            </w:r>
            <w:r>
              <w:rPr>
                <w:rFonts w:hint="eastAsia"/>
                <w:sz w:val="24"/>
              </w:rPr>
              <w:t>业务为投资持股</w:t>
            </w:r>
            <w:r>
              <w:rPr>
                <w:sz w:val="24"/>
              </w:rPr>
              <w:t>。</w:t>
            </w:r>
          </w:p>
          <w:p w14:paraId="17143622">
            <w:pPr>
              <w:rPr>
                <w:bCs/>
                <w:sz w:val="24"/>
              </w:rPr>
            </w:pPr>
            <w:r>
              <w:rPr>
                <w:rFonts w:hint="eastAsia"/>
                <w:bCs/>
                <w:sz w:val="24"/>
              </w:rPr>
              <w:t>深圳华望</w:t>
            </w:r>
            <w:r>
              <w:rPr>
                <w:sz w:val="24"/>
              </w:rPr>
              <w:t>的最终控制人为</w:t>
            </w:r>
            <w:r>
              <w:rPr>
                <w:rFonts w:hint="eastAsia"/>
                <w:sz w:val="24"/>
              </w:rPr>
              <w:t>中国华润有限公司，主要业务为大消费、综合能源、城市建设运营、大健康、产业金融与科技及新兴产业。</w:t>
            </w:r>
          </w:p>
        </w:tc>
      </w:tr>
      <w:tr w14:paraId="51EB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940" w:type="dxa"/>
            <w:vMerge w:val="restart"/>
            <w:tcBorders>
              <w:top w:val="nil"/>
              <w:left w:val="single" w:color="auto" w:sz="4" w:space="0"/>
              <w:bottom w:val="single" w:color="auto" w:sz="4" w:space="0"/>
              <w:right w:val="single" w:color="auto" w:sz="4" w:space="0"/>
            </w:tcBorders>
            <w:shd w:val="clear" w:color="auto" w:fill="D9D9D9"/>
            <w:vAlign w:val="center"/>
          </w:tcPr>
          <w:p w14:paraId="6AB82DB8">
            <w:pPr>
              <w:rPr>
                <w:b/>
                <w:sz w:val="24"/>
              </w:rPr>
            </w:pPr>
            <w:r>
              <w:rPr>
                <w:b/>
                <w:sz w:val="24"/>
              </w:rPr>
              <w:t>简易案件理由（可以单选，也可以多选）</w:t>
            </w: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36BED485">
            <w:pPr>
              <w:rPr>
                <w:bCs/>
                <w:sz w:val="24"/>
              </w:rPr>
            </w:pPr>
            <w:r>
              <w:rPr>
                <w:sz w:val="24"/>
              </w:rPr>
              <w:sym w:font="Wingdings" w:char="00FE"/>
            </w:r>
            <w:r>
              <w:rPr>
                <w:rFonts w:hint="eastAsia"/>
                <w:sz w:val="24"/>
              </w:rPr>
              <w:t xml:space="preserve"> </w:t>
            </w:r>
            <w:r>
              <w:rPr>
                <w:bCs/>
                <w:sz w:val="24"/>
              </w:rPr>
              <w:t>1.在同一相关市场，参与集中的经营者所占的市场份额之和小于15%。</w:t>
            </w:r>
          </w:p>
        </w:tc>
      </w:tr>
      <w:tr w14:paraId="2963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940" w:type="dxa"/>
            <w:vMerge w:val="continue"/>
            <w:tcBorders>
              <w:top w:val="nil"/>
              <w:left w:val="single" w:color="auto" w:sz="4" w:space="0"/>
              <w:bottom w:val="single" w:color="auto" w:sz="4" w:space="0"/>
              <w:right w:val="single" w:color="auto" w:sz="4" w:space="0"/>
            </w:tcBorders>
            <w:vAlign w:val="center"/>
          </w:tcPr>
          <w:p w14:paraId="5C96DCA0">
            <w:pPr>
              <w:rPr>
                <w:b/>
                <w:sz w:val="24"/>
              </w:rPr>
            </w:pP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229AD82B">
            <w:pPr>
              <w:rPr>
                <w:bCs/>
                <w:sz w:val="24"/>
              </w:rPr>
            </w:pPr>
            <w:r>
              <w:rPr>
                <w:sz w:val="24"/>
              </w:rPr>
              <w:sym w:font="Wingdings" w:char="00FE"/>
            </w:r>
            <w:r>
              <w:rPr>
                <w:bCs/>
                <w:sz w:val="24"/>
              </w:rPr>
              <w:t xml:space="preserve"> 2.在上下游市场，参与集中的经营者所占的市场份额均小于25%。</w:t>
            </w:r>
          </w:p>
        </w:tc>
      </w:tr>
      <w:tr w14:paraId="2337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40" w:type="dxa"/>
            <w:vMerge w:val="continue"/>
            <w:tcBorders>
              <w:top w:val="nil"/>
              <w:left w:val="single" w:color="auto" w:sz="4" w:space="0"/>
              <w:bottom w:val="single" w:color="auto" w:sz="4" w:space="0"/>
              <w:right w:val="single" w:color="auto" w:sz="4" w:space="0"/>
            </w:tcBorders>
            <w:vAlign w:val="center"/>
          </w:tcPr>
          <w:p w14:paraId="702F3B7D">
            <w:pPr>
              <w:rPr>
                <w:b/>
                <w:sz w:val="24"/>
              </w:rPr>
            </w:pP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5F0A24EB">
            <w:pPr>
              <w:rPr>
                <w:bCs/>
                <w:sz w:val="24"/>
              </w:rPr>
            </w:pPr>
            <w:r>
              <w:rPr>
                <w:sz w:val="24"/>
              </w:rPr>
              <w:sym w:font="Wingdings" w:char="F0A8"/>
            </w:r>
            <w:r>
              <w:rPr>
                <w:sz w:val="24"/>
              </w:rPr>
              <w:t xml:space="preserve"> </w:t>
            </w:r>
            <w:r>
              <w:rPr>
                <w:bCs/>
                <w:sz w:val="24"/>
              </w:rPr>
              <w:t>3.不在同一相关市场也不存在上下游关系的参与集中的经营者，在与交易有关的每个市场所占的市场份额均小于25%。</w:t>
            </w:r>
          </w:p>
        </w:tc>
      </w:tr>
      <w:tr w14:paraId="3472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940" w:type="dxa"/>
            <w:vMerge w:val="continue"/>
            <w:tcBorders>
              <w:top w:val="nil"/>
              <w:left w:val="single" w:color="auto" w:sz="4" w:space="0"/>
              <w:bottom w:val="single" w:color="auto" w:sz="4" w:space="0"/>
              <w:right w:val="single" w:color="auto" w:sz="4" w:space="0"/>
            </w:tcBorders>
            <w:vAlign w:val="center"/>
          </w:tcPr>
          <w:p w14:paraId="15845B54">
            <w:pPr>
              <w:rPr>
                <w:b/>
                <w:sz w:val="24"/>
              </w:rPr>
            </w:pP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11B05326">
            <w:pPr>
              <w:rPr>
                <w:bCs/>
                <w:sz w:val="24"/>
              </w:rPr>
            </w:pPr>
            <w:r>
              <w:rPr>
                <w:sz w:val="24"/>
              </w:rPr>
              <w:sym w:font="Wingdings" w:char="F0A8"/>
            </w:r>
            <w:r>
              <w:rPr>
                <w:sz w:val="24"/>
              </w:rPr>
              <w:t xml:space="preserve"> </w:t>
            </w:r>
            <w:r>
              <w:rPr>
                <w:bCs/>
                <w:sz w:val="24"/>
              </w:rPr>
              <w:t>4.参与集中的经营者在中国境外设立合营企业，合营企业不在中国境内从事经济活动。</w:t>
            </w:r>
          </w:p>
        </w:tc>
      </w:tr>
      <w:tr w14:paraId="6ED9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40" w:type="dxa"/>
            <w:vMerge w:val="continue"/>
            <w:tcBorders>
              <w:top w:val="nil"/>
              <w:left w:val="single" w:color="auto" w:sz="4" w:space="0"/>
              <w:bottom w:val="single" w:color="auto" w:sz="4" w:space="0"/>
              <w:right w:val="single" w:color="auto" w:sz="4" w:space="0"/>
            </w:tcBorders>
            <w:vAlign w:val="center"/>
          </w:tcPr>
          <w:p w14:paraId="2D0BAED5">
            <w:pPr>
              <w:rPr>
                <w:b/>
                <w:sz w:val="24"/>
              </w:rPr>
            </w:pP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343EF8BF">
            <w:pPr>
              <w:rPr>
                <w:bCs/>
                <w:sz w:val="24"/>
              </w:rPr>
            </w:pPr>
            <w:r>
              <w:rPr>
                <w:sz w:val="24"/>
              </w:rPr>
              <w:sym w:font="Wingdings" w:char="F0A8"/>
            </w:r>
            <w:r>
              <w:rPr>
                <w:sz w:val="24"/>
              </w:rPr>
              <w:t xml:space="preserve"> </w:t>
            </w:r>
            <w:r>
              <w:rPr>
                <w:bCs/>
                <w:sz w:val="24"/>
              </w:rPr>
              <w:t>5.参与集中的经营者收购境外企业股权或资产的，该境外企业不在中国境内从事经济活动。</w:t>
            </w:r>
          </w:p>
        </w:tc>
      </w:tr>
      <w:tr w14:paraId="0717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40" w:type="dxa"/>
            <w:vMerge w:val="continue"/>
            <w:tcBorders>
              <w:top w:val="nil"/>
              <w:left w:val="single" w:color="auto" w:sz="4" w:space="0"/>
              <w:bottom w:val="single" w:color="auto" w:sz="4" w:space="0"/>
              <w:right w:val="single" w:color="auto" w:sz="4" w:space="0"/>
            </w:tcBorders>
            <w:vAlign w:val="center"/>
          </w:tcPr>
          <w:p w14:paraId="2A747D74">
            <w:pPr>
              <w:rPr>
                <w:b/>
                <w:sz w:val="24"/>
              </w:rPr>
            </w:pP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51FD8D00">
            <w:pPr>
              <w:rPr>
                <w:bCs/>
                <w:sz w:val="24"/>
              </w:rPr>
            </w:pPr>
            <w:r>
              <w:rPr>
                <w:sz w:val="24"/>
              </w:rPr>
              <w:sym w:font="Wingdings" w:char="F0A8"/>
            </w:r>
            <w:r>
              <w:rPr>
                <w:sz w:val="24"/>
              </w:rPr>
              <w:t xml:space="preserve"> </w:t>
            </w:r>
            <w:r>
              <w:rPr>
                <w:bCs/>
                <w:sz w:val="24"/>
              </w:rPr>
              <w:t>6.由两个以上的经营者共同控制的合营企业，通过集中被其中一个或一个以上经营者控制。</w:t>
            </w:r>
          </w:p>
        </w:tc>
      </w:tr>
      <w:tr w14:paraId="4B69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940" w:type="dxa"/>
            <w:tcBorders>
              <w:top w:val="single" w:color="auto" w:sz="4" w:space="0"/>
              <w:left w:val="single" w:color="auto" w:sz="4" w:space="0"/>
              <w:bottom w:val="single" w:color="auto" w:sz="4" w:space="0"/>
              <w:right w:val="single" w:color="auto" w:sz="4" w:space="0"/>
            </w:tcBorders>
            <w:shd w:val="clear" w:color="auto" w:fill="D9D9D9"/>
            <w:vAlign w:val="center"/>
          </w:tcPr>
          <w:p w14:paraId="1F0907F0">
            <w:pPr>
              <w:rPr>
                <w:b/>
                <w:sz w:val="24"/>
              </w:rPr>
            </w:pPr>
            <w:r>
              <w:rPr>
                <w:b/>
                <w:sz w:val="24"/>
              </w:rPr>
              <w:t>备注</w:t>
            </w:r>
          </w:p>
        </w:tc>
        <w:tc>
          <w:tcPr>
            <w:tcW w:w="6878" w:type="dxa"/>
            <w:gridSpan w:val="2"/>
            <w:tcBorders>
              <w:top w:val="single" w:color="auto" w:sz="4" w:space="0"/>
              <w:left w:val="single" w:color="auto" w:sz="4" w:space="0"/>
              <w:bottom w:val="single" w:color="auto" w:sz="4" w:space="0"/>
              <w:right w:val="single" w:color="auto" w:sz="4" w:space="0"/>
            </w:tcBorders>
            <w:vAlign w:val="center"/>
          </w:tcPr>
          <w:p w14:paraId="0119B911">
            <w:pPr>
              <w:rPr>
                <w:b/>
                <w:bCs/>
                <w:sz w:val="24"/>
              </w:rPr>
            </w:pPr>
            <w:r>
              <w:rPr>
                <w:rFonts w:hint="cs"/>
                <w:b/>
                <w:bCs/>
                <w:sz w:val="24"/>
              </w:rPr>
              <w:t>横向重叠：</w:t>
            </w:r>
          </w:p>
          <w:p w14:paraId="29843C18">
            <w:pPr>
              <w:rPr>
                <w:bCs/>
                <w:sz w:val="24"/>
              </w:rPr>
            </w:pPr>
            <w:r>
              <w:rPr>
                <w:rFonts w:hint="cs"/>
                <w:bCs/>
                <w:sz w:val="24"/>
              </w:rPr>
              <w:t>2024年中国境内</w:t>
            </w:r>
            <w:r>
              <w:rPr>
                <w:rFonts w:hint="eastAsia"/>
                <w:bCs/>
                <w:sz w:val="24"/>
              </w:rPr>
              <w:t>城市管道天然气供应</w:t>
            </w:r>
            <w:r>
              <w:rPr>
                <w:rFonts w:hint="cs"/>
                <w:bCs/>
                <w:sz w:val="24"/>
              </w:rPr>
              <w:t>市场：</w:t>
            </w:r>
          </w:p>
          <w:p w14:paraId="2BC35007">
            <w:pPr>
              <w:rPr>
                <w:bCs/>
                <w:sz w:val="24"/>
              </w:rPr>
            </w:pPr>
            <w:r>
              <w:rPr>
                <w:rFonts w:hint="cs"/>
                <w:bCs/>
                <w:sz w:val="24"/>
              </w:rPr>
              <w:t>深圳华安：【</w:t>
            </w:r>
            <w:r>
              <w:rPr>
                <w:rFonts w:hint="eastAsia"/>
                <w:bCs/>
                <w:sz w:val="24"/>
              </w:rPr>
              <w:t>0-5</w:t>
            </w:r>
            <w:r>
              <w:rPr>
                <w:rFonts w:hint="cs"/>
                <w:bCs/>
                <w:sz w:val="24"/>
              </w:rPr>
              <w:t>】%，深圳华望：【</w:t>
            </w:r>
            <w:r>
              <w:rPr>
                <w:rFonts w:hint="eastAsia"/>
                <w:bCs/>
                <w:sz w:val="24"/>
              </w:rPr>
              <w:t>10-15</w:t>
            </w:r>
            <w:r>
              <w:rPr>
                <w:rFonts w:hint="cs"/>
                <w:bCs/>
                <w:sz w:val="24"/>
              </w:rPr>
              <w:t>】%，双方合计：【</w:t>
            </w:r>
            <w:r>
              <w:rPr>
                <w:rFonts w:hint="eastAsia"/>
                <w:bCs/>
                <w:sz w:val="24"/>
              </w:rPr>
              <w:t>10-15</w:t>
            </w:r>
            <w:r>
              <w:rPr>
                <w:rFonts w:hint="cs"/>
                <w:bCs/>
                <w:sz w:val="24"/>
              </w:rPr>
              <w:t>】%</w:t>
            </w:r>
          </w:p>
          <w:p w14:paraId="4843D06E">
            <w:pPr>
              <w:rPr>
                <w:bCs/>
                <w:sz w:val="24"/>
              </w:rPr>
            </w:pPr>
          </w:p>
          <w:p w14:paraId="1397C96D">
            <w:pPr>
              <w:rPr>
                <w:b/>
                <w:bCs/>
                <w:sz w:val="24"/>
              </w:rPr>
            </w:pPr>
            <w:r>
              <w:rPr>
                <w:rFonts w:hint="cs"/>
                <w:b/>
                <w:bCs/>
                <w:sz w:val="24"/>
              </w:rPr>
              <w:t>纵向关联：</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1893"/>
              <w:gridCol w:w="2581"/>
            </w:tblGrid>
            <w:tr w14:paraId="51FB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7" w:type="pct"/>
                  <w:tcBorders>
                    <w:top w:val="single" w:color="auto" w:sz="4" w:space="0"/>
                    <w:left w:val="single" w:color="auto" w:sz="4" w:space="0"/>
                    <w:bottom w:val="single" w:color="auto" w:sz="4" w:space="0"/>
                    <w:right w:val="single" w:color="auto" w:sz="4" w:space="0"/>
                  </w:tcBorders>
                </w:tcPr>
                <w:p w14:paraId="5D1ED047">
                  <w:pPr>
                    <w:adjustRightInd w:val="0"/>
                    <w:snapToGrid w:val="0"/>
                    <w:jc w:val="center"/>
                    <w:rPr>
                      <w:bCs/>
                      <w:color w:val="000000"/>
                      <w:sz w:val="24"/>
                    </w:rPr>
                  </w:pPr>
                  <w:r>
                    <w:rPr>
                      <w:rFonts w:hint="cs"/>
                      <w:bCs/>
                      <w:color w:val="000000"/>
                      <w:sz w:val="24"/>
                    </w:rPr>
                    <w:t>相关商品市场</w:t>
                  </w:r>
                </w:p>
              </w:tc>
              <w:tc>
                <w:tcPr>
                  <w:tcW w:w="1423" w:type="pct"/>
                  <w:tcBorders>
                    <w:top w:val="single" w:color="auto" w:sz="4" w:space="0"/>
                    <w:left w:val="single" w:color="auto" w:sz="4" w:space="0"/>
                    <w:bottom w:val="single" w:color="auto" w:sz="4" w:space="0"/>
                    <w:right w:val="single" w:color="auto" w:sz="4" w:space="0"/>
                  </w:tcBorders>
                </w:tcPr>
                <w:p w14:paraId="02291ECB">
                  <w:pPr>
                    <w:adjustRightInd w:val="0"/>
                    <w:snapToGrid w:val="0"/>
                    <w:jc w:val="center"/>
                    <w:rPr>
                      <w:bCs/>
                      <w:color w:val="000000"/>
                      <w:sz w:val="24"/>
                    </w:rPr>
                  </w:pPr>
                  <w:r>
                    <w:rPr>
                      <w:rFonts w:hint="cs"/>
                      <w:bCs/>
                      <w:color w:val="000000"/>
                      <w:sz w:val="24"/>
                    </w:rPr>
                    <w:t>相关地域市场</w:t>
                  </w:r>
                </w:p>
              </w:tc>
              <w:tc>
                <w:tcPr>
                  <w:tcW w:w="1940" w:type="pct"/>
                  <w:tcBorders>
                    <w:top w:val="single" w:color="auto" w:sz="4" w:space="0"/>
                    <w:left w:val="single" w:color="auto" w:sz="4" w:space="0"/>
                    <w:bottom w:val="single" w:color="auto" w:sz="4" w:space="0"/>
                    <w:right w:val="single" w:color="auto" w:sz="4" w:space="0"/>
                  </w:tcBorders>
                </w:tcPr>
                <w:p w14:paraId="7E8F13E7">
                  <w:pPr>
                    <w:adjustRightInd w:val="0"/>
                    <w:snapToGrid w:val="0"/>
                    <w:ind w:left="5" w:leftChars="-19" w:hanging="45" w:hangingChars="19"/>
                    <w:jc w:val="center"/>
                    <w:rPr>
                      <w:bCs/>
                      <w:color w:val="000000"/>
                      <w:sz w:val="24"/>
                    </w:rPr>
                  </w:pPr>
                  <w:r>
                    <w:rPr>
                      <w:rFonts w:hint="cs"/>
                      <w:bCs/>
                      <w:color w:val="000000"/>
                      <w:sz w:val="24"/>
                    </w:rPr>
                    <w:t>市场份额</w:t>
                  </w:r>
                </w:p>
              </w:tc>
            </w:tr>
            <w:tr w14:paraId="0B88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7" w:type="pct"/>
                  <w:tcBorders>
                    <w:top w:val="single" w:color="auto" w:sz="4" w:space="0"/>
                    <w:left w:val="single" w:color="auto" w:sz="4" w:space="0"/>
                    <w:bottom w:val="single" w:color="auto" w:sz="4" w:space="0"/>
                    <w:right w:val="single" w:color="auto" w:sz="4" w:space="0"/>
                  </w:tcBorders>
                  <w:vAlign w:val="center"/>
                </w:tcPr>
                <w:p w14:paraId="3B9ACBA4">
                  <w:pPr>
                    <w:adjustRightInd w:val="0"/>
                    <w:snapToGrid w:val="0"/>
                    <w:rPr>
                      <w:bCs/>
                      <w:color w:val="000000"/>
                      <w:sz w:val="24"/>
                    </w:rPr>
                  </w:pPr>
                  <w:r>
                    <w:rPr>
                      <w:rFonts w:hint="eastAsia"/>
                      <w:bCs/>
                      <w:color w:val="000000"/>
                      <w:sz w:val="24"/>
                    </w:rPr>
                    <w:t>上游：</w:t>
                  </w:r>
                  <w:r>
                    <w:rPr>
                      <w:rFonts w:hint="eastAsia"/>
                      <w:bCs/>
                      <w:color w:val="000000"/>
                      <w:sz w:val="24"/>
                      <w:lang w:eastAsia="zh-CN"/>
                    </w:rPr>
                    <w:t>线上天然气采销平台服务</w:t>
                  </w:r>
                  <w:r>
                    <w:rPr>
                      <w:rFonts w:hint="eastAsia"/>
                      <w:bCs/>
                      <w:color w:val="000000"/>
                      <w:sz w:val="24"/>
                    </w:rPr>
                    <w:t>市场</w:t>
                  </w:r>
                </w:p>
                <w:p w14:paraId="0ED395DA">
                  <w:pPr>
                    <w:adjustRightInd w:val="0"/>
                    <w:snapToGrid w:val="0"/>
                    <w:rPr>
                      <w:bCs/>
                      <w:color w:val="000000"/>
                      <w:sz w:val="24"/>
                    </w:rPr>
                  </w:pPr>
                  <w:r>
                    <w:rPr>
                      <w:rFonts w:hint="eastAsia"/>
                      <w:bCs/>
                      <w:color w:val="000000"/>
                      <w:sz w:val="24"/>
                    </w:rPr>
                    <w:t>下游：天然气批发供应市场</w:t>
                  </w:r>
                </w:p>
              </w:tc>
              <w:tc>
                <w:tcPr>
                  <w:tcW w:w="1423" w:type="pct"/>
                  <w:tcBorders>
                    <w:top w:val="single" w:color="auto" w:sz="4" w:space="0"/>
                    <w:left w:val="single" w:color="auto" w:sz="4" w:space="0"/>
                    <w:bottom w:val="single" w:color="auto" w:sz="4" w:space="0"/>
                    <w:right w:val="single" w:color="auto" w:sz="4" w:space="0"/>
                  </w:tcBorders>
                  <w:vAlign w:val="center"/>
                </w:tcPr>
                <w:p w14:paraId="2B351D93">
                  <w:pPr>
                    <w:rPr>
                      <w:sz w:val="24"/>
                    </w:rPr>
                  </w:pPr>
                  <w:r>
                    <w:rPr>
                      <w:rFonts w:hint="cs"/>
                      <w:sz w:val="24"/>
                    </w:rPr>
                    <w:t>上游：</w:t>
                  </w:r>
                  <w:r>
                    <w:rPr>
                      <w:rFonts w:hint="eastAsia"/>
                      <w:sz w:val="24"/>
                    </w:rPr>
                    <w:t>中国境内</w:t>
                  </w:r>
                  <w:r>
                    <w:rPr>
                      <w:rFonts w:hint="cs"/>
                      <w:sz w:val="24"/>
                    </w:rPr>
                    <w:t>市场</w:t>
                  </w:r>
                </w:p>
                <w:p w14:paraId="66287567">
                  <w:pPr>
                    <w:adjustRightInd w:val="0"/>
                    <w:snapToGrid w:val="0"/>
                    <w:rPr>
                      <w:bCs/>
                      <w:color w:val="000000"/>
                      <w:sz w:val="24"/>
                    </w:rPr>
                  </w:pPr>
                  <w:r>
                    <w:rPr>
                      <w:rFonts w:hint="cs"/>
                      <w:sz w:val="24"/>
                    </w:rPr>
                    <w:t>下游：中国境内</w:t>
                  </w:r>
                  <w:r>
                    <w:rPr>
                      <w:rFonts w:hint="eastAsia"/>
                      <w:sz w:val="24"/>
                    </w:rPr>
                    <w:t>市场</w:t>
                  </w:r>
                </w:p>
              </w:tc>
              <w:tc>
                <w:tcPr>
                  <w:tcW w:w="1940" w:type="pct"/>
                  <w:tcBorders>
                    <w:top w:val="single" w:color="auto" w:sz="4" w:space="0"/>
                    <w:left w:val="single" w:color="auto" w:sz="4" w:space="0"/>
                    <w:bottom w:val="single" w:color="auto" w:sz="4" w:space="0"/>
                    <w:right w:val="single" w:color="auto" w:sz="4" w:space="0"/>
                  </w:tcBorders>
                  <w:vAlign w:val="center"/>
                </w:tcPr>
                <w:p w14:paraId="7F23F749">
                  <w:pPr>
                    <w:adjustRightInd w:val="0"/>
                    <w:snapToGrid w:val="0"/>
                    <w:ind w:left="5" w:leftChars="-19" w:hanging="45" w:hangingChars="19"/>
                    <w:rPr>
                      <w:bCs/>
                      <w:color w:val="000000"/>
                      <w:sz w:val="24"/>
                    </w:rPr>
                  </w:pPr>
                  <w:r>
                    <w:rPr>
                      <w:rFonts w:hint="eastAsia"/>
                      <w:bCs/>
                      <w:color w:val="000000"/>
                      <w:sz w:val="24"/>
                    </w:rPr>
                    <w:t>上游：</w:t>
                  </w:r>
                  <w:r>
                    <w:rPr>
                      <w:rFonts w:hint="eastAsia"/>
                      <w:bCs/>
                      <w:sz w:val="24"/>
                    </w:rPr>
                    <w:t>目标公</w:t>
                  </w:r>
                  <w:r>
                    <w:rPr>
                      <w:rFonts w:hint="eastAsia"/>
                      <w:bCs/>
                      <w:sz w:val="24"/>
                      <w:highlight w:val="none"/>
                    </w:rPr>
                    <w:t>司</w:t>
                  </w:r>
                  <w:r>
                    <w:rPr>
                      <w:rFonts w:hint="cs"/>
                      <w:bCs/>
                      <w:sz w:val="24"/>
                      <w:highlight w:val="none"/>
                    </w:rPr>
                    <w:t>：【</w:t>
                  </w:r>
                  <w:r>
                    <w:rPr>
                      <w:rFonts w:hint="eastAsia"/>
                      <w:bCs/>
                      <w:sz w:val="24"/>
                      <w:highlight w:val="none"/>
                      <w:lang w:val="en-US" w:eastAsia="zh-CN"/>
                    </w:rPr>
                    <w:t>0-5</w:t>
                  </w:r>
                  <w:r>
                    <w:rPr>
                      <w:rFonts w:hint="cs"/>
                      <w:bCs/>
                      <w:sz w:val="24"/>
                      <w:highlight w:val="none"/>
                    </w:rPr>
                    <w:t>】%</w:t>
                  </w:r>
                </w:p>
                <w:p w14:paraId="0DF94619">
                  <w:pPr>
                    <w:rPr>
                      <w:rFonts w:hint="eastAsia"/>
                      <w:bCs/>
                      <w:sz w:val="24"/>
                    </w:rPr>
                  </w:pPr>
                  <w:r>
                    <w:rPr>
                      <w:rFonts w:hint="eastAsia"/>
                      <w:bCs/>
                      <w:color w:val="000000"/>
                      <w:sz w:val="24"/>
                    </w:rPr>
                    <w:t>下游：</w:t>
                  </w:r>
                  <w:r>
                    <w:rPr>
                      <w:rFonts w:hint="cs"/>
                      <w:bCs/>
                      <w:sz w:val="24"/>
                    </w:rPr>
                    <w:t>深圳华安：【</w:t>
                  </w:r>
                  <w:r>
                    <w:rPr>
                      <w:rFonts w:hint="eastAsia"/>
                      <w:bCs/>
                      <w:sz w:val="24"/>
                    </w:rPr>
                    <w:t>0-5</w:t>
                  </w:r>
                  <w:r>
                    <w:rPr>
                      <w:rFonts w:hint="cs"/>
                      <w:bCs/>
                      <w:sz w:val="24"/>
                    </w:rPr>
                    <w:t>】%</w:t>
                  </w:r>
                </w:p>
                <w:p w14:paraId="392CECE0">
                  <w:pPr>
                    <w:adjustRightInd w:val="0"/>
                    <w:snapToGrid w:val="0"/>
                    <w:rPr>
                      <w:rFonts w:hint="eastAsia"/>
                      <w:bCs/>
                      <w:color w:val="000000"/>
                      <w:sz w:val="24"/>
                    </w:rPr>
                  </w:pPr>
                </w:p>
              </w:tc>
            </w:tr>
            <w:tr w14:paraId="7CE8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7" w:type="pct"/>
                  <w:tcBorders>
                    <w:top w:val="single" w:color="auto" w:sz="4" w:space="0"/>
                    <w:left w:val="single" w:color="auto" w:sz="4" w:space="0"/>
                    <w:bottom w:val="single" w:color="auto" w:sz="4" w:space="0"/>
                    <w:right w:val="single" w:color="auto" w:sz="4" w:space="0"/>
                  </w:tcBorders>
                  <w:vAlign w:val="center"/>
                </w:tcPr>
                <w:p w14:paraId="75874550">
                  <w:pPr>
                    <w:adjustRightInd w:val="0"/>
                    <w:snapToGrid w:val="0"/>
                    <w:rPr>
                      <w:bCs/>
                      <w:color w:val="000000"/>
                      <w:sz w:val="24"/>
                    </w:rPr>
                  </w:pPr>
                  <w:r>
                    <w:rPr>
                      <w:rFonts w:hint="eastAsia"/>
                      <w:bCs/>
                      <w:color w:val="000000"/>
                      <w:sz w:val="24"/>
                    </w:rPr>
                    <w:t>上游：</w:t>
                  </w:r>
                  <w:r>
                    <w:rPr>
                      <w:rFonts w:hint="eastAsia"/>
                      <w:bCs/>
                      <w:color w:val="000000"/>
                      <w:sz w:val="24"/>
                      <w:lang w:eastAsia="zh-CN"/>
                    </w:rPr>
                    <w:t>线上天然气采销平台服务</w:t>
                  </w:r>
                  <w:r>
                    <w:rPr>
                      <w:rFonts w:hint="eastAsia"/>
                      <w:bCs/>
                      <w:color w:val="000000"/>
                      <w:sz w:val="24"/>
                    </w:rPr>
                    <w:t>市场</w:t>
                  </w:r>
                </w:p>
                <w:p w14:paraId="499F74FB">
                  <w:pPr>
                    <w:adjustRightInd w:val="0"/>
                    <w:snapToGrid w:val="0"/>
                    <w:rPr>
                      <w:bCs/>
                      <w:color w:val="000000"/>
                      <w:sz w:val="24"/>
                    </w:rPr>
                  </w:pPr>
                  <w:r>
                    <w:rPr>
                      <w:rFonts w:hint="eastAsia"/>
                      <w:bCs/>
                      <w:color w:val="000000"/>
                      <w:sz w:val="24"/>
                    </w:rPr>
                    <w:t>下游：城市管道天然气供应市场</w:t>
                  </w:r>
                  <w:bookmarkStart w:id="1" w:name="_GoBack"/>
                  <w:bookmarkEnd w:id="1"/>
                </w:p>
              </w:tc>
              <w:tc>
                <w:tcPr>
                  <w:tcW w:w="1423" w:type="pct"/>
                  <w:tcBorders>
                    <w:top w:val="single" w:color="auto" w:sz="4" w:space="0"/>
                    <w:left w:val="single" w:color="auto" w:sz="4" w:space="0"/>
                    <w:bottom w:val="single" w:color="auto" w:sz="4" w:space="0"/>
                    <w:right w:val="single" w:color="auto" w:sz="4" w:space="0"/>
                  </w:tcBorders>
                  <w:vAlign w:val="center"/>
                </w:tcPr>
                <w:p w14:paraId="2BA355DD">
                  <w:pPr>
                    <w:rPr>
                      <w:sz w:val="24"/>
                    </w:rPr>
                  </w:pPr>
                  <w:r>
                    <w:rPr>
                      <w:rFonts w:hint="cs"/>
                      <w:sz w:val="24"/>
                    </w:rPr>
                    <w:t>上游：</w:t>
                  </w:r>
                  <w:r>
                    <w:rPr>
                      <w:rFonts w:hint="eastAsia"/>
                      <w:sz w:val="24"/>
                    </w:rPr>
                    <w:t>中国境内</w:t>
                  </w:r>
                  <w:r>
                    <w:rPr>
                      <w:rFonts w:hint="cs"/>
                      <w:sz w:val="24"/>
                    </w:rPr>
                    <w:t>市场</w:t>
                  </w:r>
                </w:p>
                <w:p w14:paraId="05578C6A">
                  <w:pPr>
                    <w:rPr>
                      <w:sz w:val="24"/>
                    </w:rPr>
                  </w:pPr>
                  <w:r>
                    <w:rPr>
                      <w:rFonts w:hint="cs"/>
                      <w:sz w:val="24"/>
                    </w:rPr>
                    <w:t>下游：中国境内</w:t>
                  </w:r>
                  <w:r>
                    <w:rPr>
                      <w:rFonts w:hint="eastAsia"/>
                      <w:sz w:val="24"/>
                    </w:rPr>
                    <w:t>市场</w:t>
                  </w:r>
                </w:p>
              </w:tc>
              <w:tc>
                <w:tcPr>
                  <w:tcW w:w="1940" w:type="pct"/>
                  <w:tcBorders>
                    <w:top w:val="single" w:color="auto" w:sz="4" w:space="0"/>
                    <w:left w:val="single" w:color="auto" w:sz="4" w:space="0"/>
                    <w:bottom w:val="single" w:color="auto" w:sz="4" w:space="0"/>
                    <w:right w:val="single" w:color="auto" w:sz="4" w:space="0"/>
                  </w:tcBorders>
                  <w:vAlign w:val="center"/>
                </w:tcPr>
                <w:p w14:paraId="6B103BB2">
                  <w:pPr>
                    <w:adjustRightInd w:val="0"/>
                    <w:snapToGrid w:val="0"/>
                    <w:ind w:left="5" w:leftChars="-19" w:hanging="45" w:hangingChars="19"/>
                    <w:rPr>
                      <w:bCs/>
                      <w:sz w:val="24"/>
                      <w:highlight w:val="none"/>
                    </w:rPr>
                  </w:pPr>
                  <w:r>
                    <w:rPr>
                      <w:rFonts w:hint="eastAsia"/>
                      <w:bCs/>
                      <w:color w:val="000000"/>
                      <w:sz w:val="24"/>
                    </w:rPr>
                    <w:t>上游</w:t>
                  </w:r>
                  <w:r>
                    <w:rPr>
                      <w:rFonts w:hint="eastAsia"/>
                      <w:bCs/>
                      <w:color w:val="000000"/>
                      <w:sz w:val="24"/>
                      <w:highlight w:val="none"/>
                    </w:rPr>
                    <w:t>：</w:t>
                  </w:r>
                  <w:r>
                    <w:rPr>
                      <w:rFonts w:hint="eastAsia"/>
                      <w:bCs/>
                      <w:sz w:val="24"/>
                      <w:highlight w:val="none"/>
                    </w:rPr>
                    <w:t>目标公司</w:t>
                  </w:r>
                  <w:r>
                    <w:rPr>
                      <w:rFonts w:hint="cs"/>
                      <w:bCs/>
                      <w:sz w:val="24"/>
                      <w:highlight w:val="none"/>
                    </w:rPr>
                    <w:t>：【</w:t>
                  </w:r>
                  <w:r>
                    <w:rPr>
                      <w:rFonts w:hint="eastAsia"/>
                      <w:bCs/>
                      <w:sz w:val="24"/>
                      <w:highlight w:val="none"/>
                      <w:lang w:val="en-US" w:eastAsia="zh-CN"/>
                    </w:rPr>
                    <w:t>0-5</w:t>
                  </w:r>
                  <w:r>
                    <w:rPr>
                      <w:rFonts w:hint="cs"/>
                      <w:bCs/>
                      <w:sz w:val="24"/>
                      <w:highlight w:val="none"/>
                    </w:rPr>
                    <w:t>】%</w:t>
                  </w:r>
                </w:p>
                <w:p w14:paraId="0AB28013">
                  <w:pPr>
                    <w:adjustRightInd w:val="0"/>
                    <w:snapToGrid w:val="0"/>
                    <w:ind w:left="5" w:leftChars="-19" w:hanging="45" w:hangingChars="19"/>
                    <w:rPr>
                      <w:bCs/>
                      <w:color w:val="000000"/>
                      <w:sz w:val="24"/>
                    </w:rPr>
                  </w:pPr>
                  <w:r>
                    <w:rPr>
                      <w:rFonts w:hint="eastAsia"/>
                      <w:bCs/>
                      <w:color w:val="000000"/>
                      <w:sz w:val="24"/>
                      <w:highlight w:val="none"/>
                    </w:rPr>
                    <w:t>下游：如上所</w:t>
                  </w:r>
                  <w:r>
                    <w:rPr>
                      <w:rFonts w:hint="eastAsia"/>
                      <w:bCs/>
                      <w:color w:val="000000"/>
                      <w:sz w:val="24"/>
                    </w:rPr>
                    <w:t>述</w:t>
                  </w:r>
                </w:p>
              </w:tc>
            </w:tr>
          </w:tbl>
          <w:p w14:paraId="201E748C">
            <w:pPr>
              <w:rPr>
                <w:bCs/>
                <w:sz w:val="24"/>
              </w:rPr>
            </w:pPr>
          </w:p>
        </w:tc>
      </w:tr>
    </w:tbl>
    <w:p w14:paraId="3AA21D46"/>
    <w:p w14:paraId="20E455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正文 CS 字体)">
    <w:altName w:val="宋体"/>
    <w:panose1 w:val="00000000000000000000"/>
    <w:charset w:val="86"/>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implified Arabic">
    <w:altName w:val="Segoe Print"/>
    <w:panose1 w:val="00000000000000000000"/>
    <w:charset w:val="B2"/>
    <w:family w:val="roman"/>
    <w:pitch w:val="default"/>
    <w:sig w:usb0="00000000" w:usb1="00000000" w:usb2="00000008" w:usb3="00000000" w:csb0="0000004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A2297F"/>
    <w:multiLevelType w:val="multilevel"/>
    <w:tmpl w:val="48A2297F"/>
    <w:lvl w:ilvl="0" w:tentative="0">
      <w:start w:val="1"/>
      <w:numFmt w:val="decimal"/>
      <w:pStyle w:val="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A3"/>
    <w:rsid w:val="00085423"/>
    <w:rsid w:val="000906F8"/>
    <w:rsid w:val="001312BC"/>
    <w:rsid w:val="00133BD3"/>
    <w:rsid w:val="00167BB9"/>
    <w:rsid w:val="00175382"/>
    <w:rsid w:val="001E159B"/>
    <w:rsid w:val="001F3C75"/>
    <w:rsid w:val="00254C9A"/>
    <w:rsid w:val="00274F7C"/>
    <w:rsid w:val="002C79BF"/>
    <w:rsid w:val="002F4F5E"/>
    <w:rsid w:val="003617CF"/>
    <w:rsid w:val="003A39D2"/>
    <w:rsid w:val="003A4814"/>
    <w:rsid w:val="004979C5"/>
    <w:rsid w:val="004C795B"/>
    <w:rsid w:val="004F0673"/>
    <w:rsid w:val="004F089A"/>
    <w:rsid w:val="00506DE6"/>
    <w:rsid w:val="005456B6"/>
    <w:rsid w:val="005613E9"/>
    <w:rsid w:val="00581EC9"/>
    <w:rsid w:val="00601F5A"/>
    <w:rsid w:val="006807FA"/>
    <w:rsid w:val="006959F0"/>
    <w:rsid w:val="006B5C3E"/>
    <w:rsid w:val="00717EC0"/>
    <w:rsid w:val="00736E5C"/>
    <w:rsid w:val="00770DDD"/>
    <w:rsid w:val="007B2DD9"/>
    <w:rsid w:val="008F3202"/>
    <w:rsid w:val="009B60D8"/>
    <w:rsid w:val="009C6BEF"/>
    <w:rsid w:val="009F6C19"/>
    <w:rsid w:val="00A274DF"/>
    <w:rsid w:val="00AB1C64"/>
    <w:rsid w:val="00B87A7E"/>
    <w:rsid w:val="00B964BB"/>
    <w:rsid w:val="00BB4AA0"/>
    <w:rsid w:val="00C46794"/>
    <w:rsid w:val="00C64A48"/>
    <w:rsid w:val="00C97D64"/>
    <w:rsid w:val="00CC520C"/>
    <w:rsid w:val="00CC7208"/>
    <w:rsid w:val="00D25A04"/>
    <w:rsid w:val="00D40CF8"/>
    <w:rsid w:val="00D47DDB"/>
    <w:rsid w:val="00D54A4F"/>
    <w:rsid w:val="00D741A3"/>
    <w:rsid w:val="00DA46B7"/>
    <w:rsid w:val="00DC4ED4"/>
    <w:rsid w:val="00E43DA2"/>
    <w:rsid w:val="00F10255"/>
    <w:rsid w:val="00F2245E"/>
    <w:rsid w:val="00F335C3"/>
    <w:rsid w:val="00F81A8C"/>
    <w:rsid w:val="00FD584B"/>
    <w:rsid w:val="5AF36EBE"/>
    <w:rsid w:val="605D635E"/>
    <w:rsid w:val="7A494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楷体" w:cs="Times New Roman (正文 CS 字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lang w:val="en-GB"/>
    </w:rPr>
  </w:style>
  <w:style w:type="paragraph" w:styleId="3">
    <w:name w:val="heading 2"/>
    <w:basedOn w:val="4"/>
    <w:next w:val="1"/>
    <w:link w:val="22"/>
    <w:unhideWhenUsed/>
    <w:qFormat/>
    <w:uiPriority w:val="9"/>
    <w:pPr>
      <w:numPr>
        <w:ilvl w:val="0"/>
        <w:numId w:val="1"/>
      </w:numPr>
      <w:spacing w:before="240" w:after="240" w:line="276" w:lineRule="auto"/>
      <w:ind w:firstLine="0" w:firstLineChars="0"/>
      <w:outlineLvl w:val="1"/>
    </w:pPr>
    <w:rPr>
      <w:b/>
      <w:bCs/>
      <w:sz w:val="28"/>
      <w:szCs w:val="28"/>
      <w:lang w:val="en-US"/>
    </w:rPr>
  </w:style>
  <w:style w:type="paragraph" w:styleId="5">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lang w:val="en-GB"/>
    </w:rPr>
  </w:style>
  <w:style w:type="paragraph" w:styleId="6">
    <w:name w:val="heading 4"/>
    <w:basedOn w:val="1"/>
    <w:next w:val="1"/>
    <w:link w:val="25"/>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lang w:val="en-GB"/>
    </w:rPr>
  </w:style>
  <w:style w:type="paragraph" w:styleId="7">
    <w:name w:val="heading 5"/>
    <w:basedOn w:val="1"/>
    <w:next w:val="1"/>
    <w:link w:val="26"/>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lang w:val="en-GB"/>
    </w:rPr>
  </w:style>
  <w:style w:type="paragraph" w:styleId="8">
    <w:name w:val="heading 6"/>
    <w:basedOn w:val="1"/>
    <w:next w:val="1"/>
    <w:link w:val="27"/>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lang w:val="en-GB"/>
    </w:rPr>
  </w:style>
  <w:style w:type="paragraph" w:styleId="9">
    <w:name w:val="heading 7"/>
    <w:basedOn w:val="1"/>
    <w:next w:val="1"/>
    <w:link w:val="28"/>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lang w:val="en-GB"/>
      <w14:textFill>
        <w14:solidFill>
          <w14:schemeClr w14:val="tx1">
            <w14:lumMod w14:val="65000"/>
            <w14:lumOff w14:val="35000"/>
          </w14:schemeClr>
        </w14:solidFill>
      </w14:textFill>
    </w:rPr>
  </w:style>
  <w:style w:type="paragraph" w:styleId="10">
    <w:name w:val="heading 8"/>
    <w:basedOn w:val="1"/>
    <w:next w:val="1"/>
    <w:link w:val="29"/>
    <w:semiHidden/>
    <w:unhideWhenUsed/>
    <w:qFormat/>
    <w:uiPriority w:val="9"/>
    <w:pPr>
      <w:keepNext/>
      <w:keepLines/>
      <w:outlineLvl w:val="7"/>
    </w:pPr>
    <w:rPr>
      <w:rFonts w:asciiTheme="minorHAnsi" w:hAnsiTheme="minorHAnsi" w:eastAsiaTheme="minorEastAsia" w:cstheme="majorBidi"/>
      <w:color w:val="595959" w:themeColor="text1" w:themeTint="A6"/>
      <w:lang w:val="en-GB"/>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outlineLvl w:val="8"/>
    </w:pPr>
    <w:rPr>
      <w:rFonts w:asciiTheme="minorHAnsi" w:hAnsiTheme="minorHAnsi" w:eastAsiaTheme="majorEastAsia" w:cstheme="majorBidi"/>
      <w:color w:val="595959" w:themeColor="text1" w:themeTint="A6"/>
      <w:lang w:val="en-GB"/>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rPr>
      <w:rFonts w:eastAsia="楷体" w:cs="Times New Roman (正文 CS 字体)"/>
      <w:lang w:val="en-GB"/>
    </w:rPr>
  </w:style>
  <w:style w:type="paragraph" w:styleId="12">
    <w:name w:val="annotation text"/>
    <w:basedOn w:val="1"/>
    <w:semiHidden/>
    <w:unhideWhenUsed/>
    <w:qFormat/>
    <w:uiPriority w:val="99"/>
    <w:pPr>
      <w:jc w:val="left"/>
    </w:pPr>
  </w:style>
  <w:style w:type="paragraph" w:styleId="13">
    <w:name w:val="Body Text"/>
    <w:link w:val="39"/>
    <w:qFormat/>
    <w:uiPriority w:val="0"/>
    <w:pPr>
      <w:spacing w:after="240"/>
      <w:jc w:val="both"/>
    </w:pPr>
    <w:rPr>
      <w:rFonts w:ascii="Times New Roman" w:hAnsi="Times New Roman" w:eastAsia="宋体" w:cs="Simplified Arabic"/>
      <w:sz w:val="24"/>
      <w:szCs w:val="24"/>
      <w:lang w:val="en-GB" w:eastAsia="en-GB" w:bidi="ar-AE"/>
    </w:rPr>
  </w:style>
  <w:style w:type="paragraph" w:styleId="14">
    <w:name w:val="footer"/>
    <w:basedOn w:val="1"/>
    <w:link w:val="41"/>
    <w:unhideWhenUsed/>
    <w:qFormat/>
    <w:uiPriority w:val="99"/>
    <w:pPr>
      <w:tabs>
        <w:tab w:val="center" w:pos="4153"/>
        <w:tab w:val="right" w:pos="8306"/>
      </w:tabs>
      <w:snapToGrid w:val="0"/>
      <w:jc w:val="left"/>
    </w:pPr>
    <w:rPr>
      <w:sz w:val="18"/>
      <w:szCs w:val="18"/>
    </w:rPr>
  </w:style>
  <w:style w:type="paragraph" w:styleId="15">
    <w:name w:val="header"/>
    <w:basedOn w:val="1"/>
    <w:link w:val="40"/>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lang w:val="en-GB"/>
      <w14:textFill>
        <w14:solidFill>
          <w14:schemeClr w14:val="tx1">
            <w14:lumMod w14:val="65000"/>
            <w14:lumOff w14:val="35000"/>
          </w14:schemeClr>
        </w14:solidFill>
      </w14:textFill>
    </w:r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lang w:val="en-GB"/>
    </w:rPr>
  </w:style>
  <w:style w:type="table" w:styleId="19">
    <w:name w:val="Table Grid"/>
    <w:qFormat/>
    <w:uiPriority w:val="0"/>
    <w:rPr>
      <w:rFonts w:asciiTheme="minorHAnsi" w:hAnsiTheme="minorHAnsi" w:eastAsiaTheme="minorEastAsia" w:cstheme="minorBid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character" w:styleId="21">
    <w:name w:val="annotation reference"/>
    <w:basedOn w:val="20"/>
    <w:semiHidden/>
    <w:unhideWhenUsed/>
    <w:qFormat/>
    <w:uiPriority w:val="99"/>
    <w:rPr>
      <w:sz w:val="21"/>
      <w:szCs w:val="21"/>
    </w:rPr>
  </w:style>
  <w:style w:type="character" w:customStyle="1" w:styleId="22">
    <w:name w:val="标题 2 字符"/>
    <w:basedOn w:val="20"/>
    <w:link w:val="3"/>
    <w:qFormat/>
    <w:uiPriority w:val="9"/>
    <w:rPr>
      <w:b/>
      <w:bCs/>
      <w:sz w:val="28"/>
      <w:szCs w:val="28"/>
    </w:rPr>
  </w:style>
  <w:style w:type="character" w:customStyle="1" w:styleId="23">
    <w:name w:val="标题 1 字符"/>
    <w:basedOn w:val="20"/>
    <w:link w:val="2"/>
    <w:qFormat/>
    <w:uiPriority w:val="9"/>
    <w:rPr>
      <w:rFonts w:asciiTheme="majorHAnsi" w:hAnsiTheme="majorHAnsi" w:eastAsiaTheme="majorEastAsia" w:cstheme="majorBidi"/>
      <w:color w:val="104862" w:themeColor="accent1" w:themeShade="BF"/>
      <w:sz w:val="48"/>
      <w:szCs w:val="48"/>
      <w:lang w:val="en-GB"/>
    </w:rPr>
  </w:style>
  <w:style w:type="character" w:customStyle="1" w:styleId="24">
    <w:name w:val="标题 3 字符"/>
    <w:basedOn w:val="20"/>
    <w:link w:val="5"/>
    <w:semiHidden/>
    <w:qFormat/>
    <w:uiPriority w:val="9"/>
    <w:rPr>
      <w:rFonts w:asciiTheme="majorHAnsi" w:hAnsiTheme="majorHAnsi" w:eastAsiaTheme="majorEastAsia" w:cstheme="majorBidi"/>
      <w:color w:val="104862" w:themeColor="accent1" w:themeShade="BF"/>
      <w:sz w:val="32"/>
      <w:szCs w:val="32"/>
      <w:lang w:val="en-GB"/>
    </w:rPr>
  </w:style>
  <w:style w:type="character" w:customStyle="1" w:styleId="25">
    <w:name w:val="标题 4 字符"/>
    <w:basedOn w:val="20"/>
    <w:link w:val="6"/>
    <w:semiHidden/>
    <w:qFormat/>
    <w:uiPriority w:val="9"/>
    <w:rPr>
      <w:rFonts w:asciiTheme="minorHAnsi" w:hAnsiTheme="minorHAnsi" w:eastAsiaTheme="minorEastAsia" w:cstheme="majorBidi"/>
      <w:color w:val="104862" w:themeColor="accent1" w:themeShade="BF"/>
      <w:sz w:val="28"/>
      <w:szCs w:val="28"/>
      <w:lang w:val="en-GB"/>
    </w:rPr>
  </w:style>
  <w:style w:type="character" w:customStyle="1" w:styleId="26">
    <w:name w:val="标题 5 字符"/>
    <w:basedOn w:val="20"/>
    <w:link w:val="7"/>
    <w:semiHidden/>
    <w:qFormat/>
    <w:uiPriority w:val="9"/>
    <w:rPr>
      <w:rFonts w:asciiTheme="minorHAnsi" w:hAnsiTheme="minorHAnsi" w:eastAsiaTheme="minorEastAsia" w:cstheme="majorBidi"/>
      <w:color w:val="104862" w:themeColor="accent1" w:themeShade="BF"/>
      <w:sz w:val="24"/>
      <w:lang w:val="en-GB"/>
    </w:rPr>
  </w:style>
  <w:style w:type="character" w:customStyle="1" w:styleId="27">
    <w:name w:val="标题 6 字符"/>
    <w:basedOn w:val="20"/>
    <w:link w:val="8"/>
    <w:semiHidden/>
    <w:qFormat/>
    <w:uiPriority w:val="9"/>
    <w:rPr>
      <w:rFonts w:asciiTheme="minorHAnsi" w:hAnsiTheme="minorHAnsi" w:eastAsiaTheme="minorEastAsia" w:cstheme="majorBidi"/>
      <w:b/>
      <w:bCs/>
      <w:color w:val="104862" w:themeColor="accent1" w:themeShade="BF"/>
      <w:lang w:val="en-GB"/>
    </w:rPr>
  </w:style>
  <w:style w:type="character" w:customStyle="1" w:styleId="28">
    <w:name w:val="标题 7 字符"/>
    <w:basedOn w:val="20"/>
    <w:link w:val="9"/>
    <w:semiHidden/>
    <w:qFormat/>
    <w:uiPriority w:val="9"/>
    <w:rPr>
      <w:rFonts w:asciiTheme="minorHAnsi" w:hAnsiTheme="minorHAnsi" w:eastAsiaTheme="minorEastAsia" w:cstheme="majorBidi"/>
      <w:b/>
      <w:bCs/>
      <w:color w:val="595959" w:themeColor="text1" w:themeTint="A6"/>
      <w:lang w:val="en-GB"/>
      <w14:textFill>
        <w14:solidFill>
          <w14:schemeClr w14:val="tx1">
            <w14:lumMod w14:val="65000"/>
            <w14:lumOff w14:val="35000"/>
          </w14:schemeClr>
        </w14:solidFill>
      </w14:textFill>
    </w:rPr>
  </w:style>
  <w:style w:type="character" w:customStyle="1" w:styleId="29">
    <w:name w:val="标题 8 字符"/>
    <w:basedOn w:val="20"/>
    <w:link w:val="10"/>
    <w:semiHidden/>
    <w:qFormat/>
    <w:uiPriority w:val="9"/>
    <w:rPr>
      <w:rFonts w:asciiTheme="minorHAnsi" w:hAnsiTheme="minorHAnsi" w:eastAsiaTheme="minorEastAsia" w:cstheme="majorBidi"/>
      <w:color w:val="595959" w:themeColor="text1" w:themeTint="A6"/>
      <w:lang w:val="en-GB"/>
      <w14:textFill>
        <w14:solidFill>
          <w14:schemeClr w14:val="tx1">
            <w14:lumMod w14:val="65000"/>
            <w14:lumOff w14:val="35000"/>
          </w14:schemeClr>
        </w14:solidFill>
      </w14:textFill>
    </w:rPr>
  </w:style>
  <w:style w:type="character" w:customStyle="1" w:styleId="30">
    <w:name w:val="标题 9 字符"/>
    <w:basedOn w:val="20"/>
    <w:link w:val="11"/>
    <w:semiHidden/>
    <w:qFormat/>
    <w:uiPriority w:val="9"/>
    <w:rPr>
      <w:rFonts w:asciiTheme="minorHAnsi" w:hAnsiTheme="minorHAnsi" w:eastAsiaTheme="majorEastAsia" w:cstheme="majorBidi"/>
      <w:color w:val="595959" w:themeColor="text1" w:themeTint="A6"/>
      <w:lang w:val="en-GB"/>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lang w:val="en-GB"/>
    </w:rPr>
  </w:style>
  <w:style w:type="character" w:customStyle="1" w:styleId="32">
    <w:name w:val="副标题 字符"/>
    <w:basedOn w:val="20"/>
    <w:link w:val="16"/>
    <w:qFormat/>
    <w:uiPriority w:val="11"/>
    <w:rPr>
      <w:rFonts w:asciiTheme="majorHAnsi" w:hAnsiTheme="majorHAnsi" w:eastAsiaTheme="majorEastAsia" w:cstheme="majorBidi"/>
      <w:color w:val="595959" w:themeColor="text1" w:themeTint="A6"/>
      <w:spacing w:val="15"/>
      <w:sz w:val="28"/>
      <w:szCs w:val="28"/>
      <w:lang w:val="en-GB"/>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rFonts w:eastAsia="楷体" w:cs="Times New Roman (正文 CS 字体)"/>
      <w:i/>
      <w:iCs/>
      <w:color w:val="404040" w:themeColor="text1" w:themeTint="BF"/>
      <w:lang w:val="en-GB"/>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lang w:val="en-GB"/>
      <w14:textFill>
        <w14:solidFill>
          <w14:schemeClr w14:val="tx1">
            <w14:lumMod w14:val="75000"/>
            <w14:lumOff w14:val="25000"/>
          </w14:schemeClr>
        </w14:solidFill>
      </w14:textFill>
    </w:rPr>
  </w:style>
  <w:style w:type="character" w:customStyle="1" w:styleId="35">
    <w:name w:val="明显强调1"/>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eastAsia="楷体" w:cs="Times New Roman (正文 CS 字体)"/>
      <w:i/>
      <w:iCs/>
      <w:color w:val="104862" w:themeColor="accent1" w:themeShade="BF"/>
      <w:lang w:val="en-GB"/>
    </w:rPr>
  </w:style>
  <w:style w:type="character" w:customStyle="1" w:styleId="37">
    <w:name w:val="明显引用 字符"/>
    <w:basedOn w:val="20"/>
    <w:link w:val="36"/>
    <w:qFormat/>
    <w:uiPriority w:val="30"/>
    <w:rPr>
      <w:i/>
      <w:iCs/>
      <w:color w:val="104862" w:themeColor="accent1" w:themeShade="BF"/>
      <w:lang w:val="en-GB"/>
    </w:rPr>
  </w:style>
  <w:style w:type="character" w:customStyle="1" w:styleId="38">
    <w:name w:val="明显参考1"/>
    <w:basedOn w:val="20"/>
    <w:qFormat/>
    <w:uiPriority w:val="32"/>
    <w:rPr>
      <w:b/>
      <w:bCs/>
      <w:smallCaps/>
      <w:color w:val="104862" w:themeColor="accent1" w:themeShade="BF"/>
      <w:spacing w:val="5"/>
    </w:rPr>
  </w:style>
  <w:style w:type="character" w:customStyle="1" w:styleId="39">
    <w:name w:val="正文文本 字符"/>
    <w:basedOn w:val="20"/>
    <w:link w:val="13"/>
    <w:qFormat/>
    <w:uiPriority w:val="0"/>
    <w:rPr>
      <w:rFonts w:eastAsia="宋体" w:cs="Simplified Arabic"/>
      <w:kern w:val="0"/>
      <w:sz w:val="24"/>
      <w:lang w:val="en-GB" w:eastAsia="en-GB" w:bidi="ar-AE"/>
    </w:rPr>
  </w:style>
  <w:style w:type="character" w:customStyle="1" w:styleId="40">
    <w:name w:val="页眉 字符"/>
    <w:basedOn w:val="20"/>
    <w:link w:val="15"/>
    <w:qFormat/>
    <w:uiPriority w:val="99"/>
    <w:rPr>
      <w:rFonts w:eastAsia="宋体" w:cs="Times New Roman"/>
      <w:sz w:val="18"/>
      <w:szCs w:val="18"/>
    </w:rPr>
  </w:style>
  <w:style w:type="character" w:customStyle="1" w:styleId="41">
    <w:name w:val="页脚 字符"/>
    <w:basedOn w:val="20"/>
    <w:link w:val="14"/>
    <w:qFormat/>
    <w:uiPriority w:val="99"/>
    <w:rPr>
      <w:rFonts w:eastAsia="宋体" w:cs="Times New Roman"/>
      <w:sz w:val="18"/>
      <w:szCs w:val="18"/>
    </w:rPr>
  </w:style>
  <w:style w:type="paragraph" w:customStyle="1" w:styleId="4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881</Words>
  <Characters>940</Characters>
  <Lines>142</Lines>
  <Paragraphs>152</Paragraphs>
  <TotalTime>64</TotalTime>
  <ScaleCrop>false</ScaleCrop>
  <LinksUpToDate>false</LinksUpToDate>
  <CharactersWithSpaces>946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2024-12-10T06:13:00Z</dcterms:created>
  <dc:creator>AnJie Broad</dc:creator>
  <cp:lastModifiedBy>AnJie Broad</cp:lastModifiedBy>
  <dcterms:modified xsi:type="dcterms:W3CDTF">2025-07-22T01:21:59Z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eyJoZGlkIjoiMmJkYmUyNTc0NDc4ZTg3ZjRhYjdiODJiMjQ4M2Y4Y2QiLCJ1c2VySWQiOiIyMTYyNDIwNjQifQ==</vt:lpwstr>
  </property>
  <property fmtid="{D5CDD505-2E9C-101B-9397-08002B2CF9AE}" pid="3" name="KSOProductBuildVer">
    <vt:lpwstr>2052-12.1.0.21915</vt:lpwstr>
  </property>
  <property fmtid="{D5CDD505-2E9C-101B-9397-08002B2CF9AE}" pid="4" name="ICV">
    <vt:lpwstr>350C6AFA13EA44C983A907F1AA73833A_12</vt:lpwstr>
  </property>
</Properties>
</file>