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9049E" w14:textId="77777777" w:rsidR="00FC735A" w:rsidRPr="00A506D0" w:rsidRDefault="00FC735A" w:rsidP="00FC735A">
      <w:pPr>
        <w:widowControl w:val="0"/>
        <w:adjustRightInd w:val="0"/>
        <w:snapToGrid w:val="0"/>
        <w:spacing w:after="120"/>
        <w:jc w:val="center"/>
        <w:rPr>
          <w:rFonts w:ascii="黑体" w:eastAsia="黑体" w:hAnsi="黑体"/>
          <w:b/>
          <w:bCs/>
          <w:kern w:val="2"/>
          <w:sz w:val="36"/>
          <w:szCs w:val="36"/>
          <w:lang w:bidi="ar-SA"/>
        </w:rPr>
      </w:pPr>
      <w:r w:rsidRPr="00A506D0">
        <w:rPr>
          <w:rFonts w:ascii="黑体" w:eastAsia="黑体" w:hAnsi="黑体"/>
          <w:b/>
          <w:bCs/>
          <w:kern w:val="2"/>
          <w:sz w:val="36"/>
          <w:szCs w:val="36"/>
          <w:lang w:bidi="ar-SA"/>
        </w:rPr>
        <w:t>经营者集中简易案件公示表</w:t>
      </w:r>
    </w:p>
    <w:p w14:paraId="6DD52D1C" w14:textId="77777777" w:rsidR="00FC735A" w:rsidRPr="007F7180" w:rsidRDefault="00FC735A" w:rsidP="00FC735A">
      <w:pPr>
        <w:widowControl w:val="0"/>
        <w:adjustRightInd w:val="0"/>
        <w:snapToGrid w:val="0"/>
        <w:spacing w:after="120"/>
        <w:jc w:val="center"/>
        <w:rPr>
          <w:rFonts w:ascii="Times New Roman" w:eastAsia="宋体" w:hAnsi="Times New Roman"/>
          <w:b/>
          <w:bCs/>
          <w:kern w:val="2"/>
          <w:sz w:val="32"/>
          <w:szCs w:val="32"/>
          <w:lang w:bidi="ar-SA"/>
        </w:rPr>
      </w:pPr>
    </w:p>
    <w:tbl>
      <w:tblPr>
        <w:tblW w:w="8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429"/>
        <w:gridCol w:w="4110"/>
      </w:tblGrid>
      <w:tr w:rsidR="00E228E0" w:rsidRPr="00AD54FA" w14:paraId="49EB5232" w14:textId="77777777" w:rsidTr="00CE283E">
        <w:tc>
          <w:tcPr>
            <w:tcW w:w="1736" w:type="dxa"/>
            <w:tcBorders>
              <w:top w:val="single" w:sz="4" w:space="0" w:color="auto"/>
              <w:left w:val="single" w:sz="4" w:space="0" w:color="auto"/>
              <w:bottom w:val="single" w:sz="4" w:space="0" w:color="auto"/>
              <w:right w:val="single" w:sz="4" w:space="0" w:color="auto"/>
            </w:tcBorders>
            <w:shd w:val="clear" w:color="auto" w:fill="D9D9D9"/>
            <w:hideMark/>
          </w:tcPr>
          <w:p w14:paraId="15A86B92" w14:textId="6305AEA2" w:rsidR="00E228E0" w:rsidRPr="00CC51F9" w:rsidRDefault="00E228E0" w:rsidP="00E228E0">
            <w:pPr>
              <w:widowControl w:val="0"/>
              <w:adjustRightInd w:val="0"/>
              <w:snapToGrid w:val="0"/>
              <w:spacing w:after="120"/>
              <w:rPr>
                <w:rFonts w:ascii="Times New Roman" w:eastAsia="宋体" w:hAnsi="Times New Roman"/>
                <w:kern w:val="2"/>
                <w:sz w:val="24"/>
                <w:szCs w:val="24"/>
                <w:lang w:bidi="ar-SA"/>
              </w:rPr>
            </w:pPr>
            <w:r w:rsidRPr="00CC51F9">
              <w:rPr>
                <w:rFonts w:ascii="Times New Roman" w:eastAsia="宋体" w:hAnsi="Times New Roman" w:hint="eastAsia"/>
                <w:kern w:val="2"/>
                <w:sz w:val="24"/>
                <w:szCs w:val="24"/>
                <w:lang w:bidi="ar-SA"/>
              </w:rPr>
              <w:t>案件</w:t>
            </w:r>
            <w:r w:rsidRPr="00CC51F9">
              <w:rPr>
                <w:rFonts w:ascii="Times New Roman" w:eastAsia="宋体" w:hAnsi="Times New Roman"/>
                <w:kern w:val="2"/>
                <w:sz w:val="24"/>
                <w:szCs w:val="24"/>
                <w:lang w:bidi="ar-SA"/>
              </w:rPr>
              <w:t>名称</w:t>
            </w:r>
          </w:p>
        </w:tc>
        <w:tc>
          <w:tcPr>
            <w:tcW w:w="6539" w:type="dxa"/>
            <w:gridSpan w:val="2"/>
            <w:tcBorders>
              <w:top w:val="single" w:sz="4" w:space="0" w:color="auto"/>
              <w:left w:val="single" w:sz="4" w:space="0" w:color="auto"/>
              <w:bottom w:val="single" w:sz="4" w:space="0" w:color="auto"/>
              <w:right w:val="single" w:sz="4" w:space="0" w:color="auto"/>
            </w:tcBorders>
          </w:tcPr>
          <w:p w14:paraId="79338E69" w14:textId="2086334E" w:rsidR="00E228E0" w:rsidRPr="00CC51F9" w:rsidRDefault="00D26A02" w:rsidP="00E228E0">
            <w:pPr>
              <w:pStyle w:val="BodyText"/>
              <w:adjustRightInd w:val="0"/>
              <w:snapToGrid w:val="0"/>
              <w:spacing w:after="120"/>
              <w:rPr>
                <w:rFonts w:eastAsia="宋体" w:cs="Times New Roman"/>
                <w:lang w:eastAsia="zh-CN" w:bidi="ar-SA"/>
              </w:rPr>
            </w:pPr>
            <w:r w:rsidRPr="00D26A02">
              <w:rPr>
                <w:rFonts w:eastAsia="宋体" w:cs="Times New Roman" w:hint="eastAsia"/>
                <w:lang w:eastAsia="zh-CN"/>
              </w:rPr>
              <w:t>阿布扎比国家石油钻探公司收购海陆钻探承包商公司股权案</w:t>
            </w:r>
          </w:p>
        </w:tc>
      </w:tr>
      <w:tr w:rsidR="00E228E0" w:rsidRPr="00AD54FA" w14:paraId="132428D4" w14:textId="77777777" w:rsidTr="00CE283E">
        <w:trPr>
          <w:trHeight w:val="993"/>
        </w:trPr>
        <w:tc>
          <w:tcPr>
            <w:tcW w:w="1736" w:type="dxa"/>
            <w:tcBorders>
              <w:top w:val="single" w:sz="4" w:space="0" w:color="auto"/>
              <w:left w:val="single" w:sz="4" w:space="0" w:color="auto"/>
              <w:bottom w:val="single" w:sz="4" w:space="0" w:color="auto"/>
              <w:right w:val="single" w:sz="4" w:space="0" w:color="auto"/>
            </w:tcBorders>
            <w:shd w:val="clear" w:color="auto" w:fill="D9D9D9"/>
            <w:hideMark/>
          </w:tcPr>
          <w:p w14:paraId="63BD3256" w14:textId="746EC081" w:rsidR="00E228E0" w:rsidRPr="00CC51F9" w:rsidRDefault="00E228E0" w:rsidP="00E228E0">
            <w:pPr>
              <w:widowControl w:val="0"/>
              <w:adjustRightInd w:val="0"/>
              <w:snapToGrid w:val="0"/>
              <w:spacing w:after="120"/>
              <w:rPr>
                <w:rFonts w:ascii="Times New Roman" w:eastAsia="宋体" w:hAnsi="Times New Roman"/>
                <w:kern w:val="2"/>
                <w:sz w:val="24"/>
                <w:szCs w:val="24"/>
                <w:lang w:bidi="ar-SA"/>
              </w:rPr>
            </w:pPr>
            <w:r w:rsidRPr="00CC51F9">
              <w:rPr>
                <w:rFonts w:ascii="Times New Roman" w:eastAsia="宋体" w:hAnsi="Times New Roman"/>
                <w:bCs/>
                <w:kern w:val="2"/>
                <w:sz w:val="24"/>
                <w:szCs w:val="24"/>
                <w:lang w:val="en-GB" w:bidi="ar-SA"/>
              </w:rPr>
              <w:t>交易概况（限</w:t>
            </w:r>
            <w:r w:rsidRPr="00CC51F9">
              <w:rPr>
                <w:rFonts w:ascii="Times New Roman" w:eastAsia="宋体" w:hAnsi="Times New Roman"/>
                <w:bCs/>
                <w:kern w:val="2"/>
                <w:sz w:val="24"/>
                <w:szCs w:val="24"/>
                <w:lang w:val="en-GB" w:bidi="ar-SA"/>
              </w:rPr>
              <w:t>200</w:t>
            </w:r>
            <w:r w:rsidRPr="00CC51F9">
              <w:rPr>
                <w:rFonts w:ascii="Times New Roman" w:eastAsia="宋体" w:hAnsi="Times New Roman"/>
                <w:bCs/>
                <w:kern w:val="2"/>
                <w:sz w:val="24"/>
                <w:szCs w:val="24"/>
                <w:lang w:val="en-GB" w:bidi="ar-SA"/>
              </w:rPr>
              <w:t>字内）</w:t>
            </w:r>
          </w:p>
        </w:tc>
        <w:tc>
          <w:tcPr>
            <w:tcW w:w="6539" w:type="dxa"/>
            <w:gridSpan w:val="2"/>
            <w:tcBorders>
              <w:top w:val="single" w:sz="4" w:space="0" w:color="auto"/>
              <w:left w:val="single" w:sz="4" w:space="0" w:color="auto"/>
              <w:bottom w:val="single" w:sz="4" w:space="0" w:color="auto"/>
              <w:right w:val="single" w:sz="4" w:space="0" w:color="auto"/>
            </w:tcBorders>
          </w:tcPr>
          <w:p w14:paraId="082506E3" w14:textId="78AA05CF" w:rsidR="00D26A02" w:rsidRPr="00D26A02" w:rsidRDefault="00D26A02" w:rsidP="00E228E0">
            <w:pPr>
              <w:pStyle w:val="TableParagraph"/>
              <w:tabs>
                <w:tab w:val="left" w:pos="1685"/>
                <w:tab w:val="left" w:pos="2630"/>
              </w:tabs>
              <w:jc w:val="both"/>
              <w:rPr>
                <w:rFonts w:ascii="宋体" w:eastAsia="宋体" w:hAnsi="宋体" w:cs="Times New Roman"/>
                <w:sz w:val="24"/>
                <w:szCs w:val="24"/>
              </w:rPr>
            </w:pPr>
            <w:r w:rsidRPr="00D26A02">
              <w:rPr>
                <w:rFonts w:ascii="宋体" w:eastAsia="宋体" w:hAnsi="宋体" w:cs="Times New Roman"/>
                <w:sz w:val="24"/>
                <w:szCs w:val="24"/>
              </w:rPr>
              <w:t>本交易</w:t>
            </w:r>
            <w:r w:rsidR="00780236">
              <w:rPr>
                <w:rFonts w:ascii="宋体" w:eastAsia="宋体" w:hAnsi="宋体" w:cs="Times New Roman" w:hint="eastAsia"/>
                <w:sz w:val="24"/>
                <w:szCs w:val="24"/>
              </w:rPr>
              <w:t>涉及</w:t>
            </w:r>
            <w:r w:rsidRPr="00D26A02">
              <w:rPr>
                <w:rFonts w:ascii="宋体" w:eastAsia="宋体" w:hAnsi="宋体" w:cs="Times New Roman"/>
                <w:sz w:val="24"/>
                <w:szCs w:val="24"/>
              </w:rPr>
              <w:t>阿布扎比</w:t>
            </w:r>
            <w:r w:rsidRPr="00D26A02">
              <w:rPr>
                <w:rFonts w:ascii="宋体" w:eastAsia="宋体" w:hAnsi="宋体" w:cs="Times New Roman" w:hint="eastAsia"/>
                <w:sz w:val="24"/>
                <w:szCs w:val="24"/>
              </w:rPr>
              <w:t>国家</w:t>
            </w:r>
            <w:r w:rsidRPr="00D26A02">
              <w:rPr>
                <w:rFonts w:ascii="宋体" w:eastAsia="宋体" w:hAnsi="宋体" w:cs="Times New Roman"/>
                <w:sz w:val="24"/>
                <w:szCs w:val="24"/>
              </w:rPr>
              <w:t>石油钻探公司（“</w:t>
            </w:r>
            <w:r w:rsidRPr="00D26A02">
              <w:rPr>
                <w:rFonts w:ascii="宋体" w:eastAsia="宋体" w:hAnsi="宋体" w:cs="Times New Roman"/>
                <w:b/>
                <w:bCs/>
                <w:sz w:val="24"/>
                <w:szCs w:val="24"/>
              </w:rPr>
              <w:t>阿布扎比石油钻探</w:t>
            </w:r>
            <w:r w:rsidRPr="00D26A02">
              <w:rPr>
                <w:rFonts w:ascii="宋体" w:eastAsia="宋体" w:hAnsi="宋体" w:cs="Times New Roman"/>
                <w:sz w:val="24"/>
                <w:szCs w:val="24"/>
              </w:rPr>
              <w:t>”）通过其全资子公司</w:t>
            </w:r>
            <w:r w:rsidRPr="00D26A02">
              <w:rPr>
                <w:rFonts w:ascii="Times New Roman" w:eastAsia="宋体" w:hAnsi="Times New Roman" w:cs="Times New Roman"/>
                <w:sz w:val="24"/>
                <w:szCs w:val="24"/>
              </w:rPr>
              <w:t>ADH RSC</w:t>
            </w:r>
            <w:r w:rsidRPr="00D26A02">
              <w:rPr>
                <w:rFonts w:ascii="宋体" w:eastAsia="宋体" w:hAnsi="宋体" w:cs="Times New Roman"/>
                <w:sz w:val="24"/>
                <w:szCs w:val="24"/>
              </w:rPr>
              <w:t>有限公司</w:t>
            </w:r>
            <w:r>
              <w:rPr>
                <w:rFonts w:ascii="宋体" w:eastAsia="宋体" w:hAnsi="宋体" w:cs="Times New Roman" w:hint="eastAsia"/>
                <w:sz w:val="24"/>
                <w:szCs w:val="24"/>
              </w:rPr>
              <w:t>间接</w:t>
            </w:r>
            <w:r w:rsidRPr="00D26A02">
              <w:rPr>
                <w:rFonts w:ascii="宋体" w:eastAsia="宋体" w:hAnsi="宋体" w:cs="Times New Roman"/>
                <w:sz w:val="24"/>
                <w:szCs w:val="24"/>
              </w:rPr>
              <w:t>收购海</w:t>
            </w:r>
            <w:r>
              <w:rPr>
                <w:rFonts w:ascii="宋体" w:eastAsia="宋体" w:hAnsi="宋体" w:cs="Times New Roman" w:hint="eastAsia"/>
                <w:sz w:val="24"/>
                <w:szCs w:val="24"/>
              </w:rPr>
              <w:t>陆</w:t>
            </w:r>
            <w:r w:rsidRPr="00D26A02">
              <w:rPr>
                <w:rFonts w:ascii="宋体" w:eastAsia="宋体" w:hAnsi="宋体" w:cs="Times New Roman"/>
                <w:sz w:val="24"/>
                <w:szCs w:val="24"/>
              </w:rPr>
              <w:t>钻探承包商公司</w:t>
            </w:r>
            <w:r w:rsidR="00F76CE1">
              <w:rPr>
                <w:rFonts w:ascii="宋体" w:eastAsia="宋体" w:hAnsi="宋体" w:cs="Times New Roman" w:hint="eastAsia"/>
                <w:sz w:val="24"/>
                <w:szCs w:val="24"/>
              </w:rPr>
              <w:t>（“</w:t>
            </w:r>
            <w:r w:rsidR="00F76CE1" w:rsidRPr="005B64FC">
              <w:rPr>
                <w:rFonts w:ascii="宋体" w:eastAsia="宋体" w:hAnsi="宋体" w:cs="Times New Roman" w:hint="eastAsia"/>
                <w:b/>
                <w:bCs/>
                <w:sz w:val="24"/>
                <w:szCs w:val="24"/>
              </w:rPr>
              <w:t>目标公司</w:t>
            </w:r>
            <w:r w:rsidR="00F76CE1">
              <w:rPr>
                <w:rFonts w:ascii="宋体" w:eastAsia="宋体" w:hAnsi="宋体" w:cs="Times New Roman" w:hint="eastAsia"/>
                <w:sz w:val="24"/>
                <w:szCs w:val="24"/>
              </w:rPr>
              <w:t>”）</w:t>
            </w:r>
            <w:r w:rsidRPr="00D26A02">
              <w:rPr>
                <w:rFonts w:ascii="宋体" w:eastAsia="宋体" w:hAnsi="宋体" w:cs="Times New Roman"/>
                <w:sz w:val="24"/>
                <w:szCs w:val="24"/>
              </w:rPr>
              <w:t>的</w:t>
            </w:r>
            <w:r w:rsidR="002750F4">
              <w:rPr>
                <w:rFonts w:ascii="宋体" w:eastAsia="宋体" w:hAnsi="宋体" w:cs="Times New Roman" w:hint="eastAsia"/>
                <w:sz w:val="24"/>
                <w:szCs w:val="24"/>
              </w:rPr>
              <w:t>股权</w:t>
            </w:r>
            <w:r w:rsidR="00AD3B31">
              <w:rPr>
                <w:rFonts w:ascii="宋体" w:eastAsia="宋体" w:hAnsi="宋体" w:cs="Times New Roman" w:hint="eastAsia"/>
                <w:sz w:val="24"/>
                <w:szCs w:val="24"/>
              </w:rPr>
              <w:t>（“</w:t>
            </w:r>
            <w:r w:rsidR="00AD3B31" w:rsidRPr="00AD3B31">
              <w:rPr>
                <w:rFonts w:ascii="宋体" w:eastAsia="宋体" w:hAnsi="宋体" w:cs="Times New Roman" w:hint="eastAsia"/>
                <w:b/>
                <w:bCs/>
                <w:sz w:val="24"/>
                <w:szCs w:val="24"/>
              </w:rPr>
              <w:t>本交易</w:t>
            </w:r>
            <w:r w:rsidR="00AD3B31">
              <w:rPr>
                <w:rFonts w:ascii="宋体" w:eastAsia="宋体" w:hAnsi="宋体" w:cs="Times New Roman" w:hint="eastAsia"/>
                <w:sz w:val="24"/>
                <w:szCs w:val="24"/>
              </w:rPr>
              <w:t>”）</w:t>
            </w:r>
            <w:r w:rsidRPr="00D26A02">
              <w:rPr>
                <w:rFonts w:ascii="宋体" w:eastAsia="宋体" w:hAnsi="宋体" w:cs="Times New Roman"/>
                <w:sz w:val="24"/>
                <w:szCs w:val="24"/>
              </w:rPr>
              <w:t>。</w:t>
            </w:r>
            <w:r w:rsidR="00F76CE1">
              <w:rPr>
                <w:rFonts w:ascii="宋体" w:eastAsia="宋体" w:hAnsi="宋体" w:cs="Times New Roman" w:hint="eastAsia"/>
                <w:sz w:val="24"/>
                <w:szCs w:val="24"/>
              </w:rPr>
              <w:t>目标</w:t>
            </w:r>
            <w:r w:rsidR="00AD3B31">
              <w:rPr>
                <w:rFonts w:ascii="宋体" w:eastAsia="宋体" w:hAnsi="宋体" w:cs="Times New Roman" w:hint="eastAsia"/>
                <w:sz w:val="24"/>
                <w:szCs w:val="24"/>
              </w:rPr>
              <w:t>公司</w:t>
            </w:r>
            <w:r w:rsidR="00AD3B31" w:rsidRPr="00AD3B31">
              <w:rPr>
                <w:rFonts w:ascii="宋体" w:eastAsia="宋体" w:hAnsi="宋体" w:cs="Times New Roman" w:hint="eastAsia"/>
                <w:sz w:val="24"/>
                <w:szCs w:val="24"/>
              </w:rPr>
              <w:t>负责持有、运营、管理并向科威特和阿曼的客户出租陆地钻机</w:t>
            </w:r>
            <w:r w:rsidR="00AD3B31">
              <w:rPr>
                <w:rFonts w:ascii="宋体" w:eastAsia="宋体" w:hAnsi="宋体" w:cs="Times New Roman" w:hint="eastAsia"/>
                <w:sz w:val="24"/>
                <w:szCs w:val="24"/>
              </w:rPr>
              <w:t>。</w:t>
            </w:r>
          </w:p>
          <w:p w14:paraId="1D3532D9" w14:textId="77777777" w:rsidR="00D26A02" w:rsidRDefault="00D26A02" w:rsidP="00E228E0">
            <w:pPr>
              <w:pStyle w:val="TableParagraph"/>
              <w:tabs>
                <w:tab w:val="left" w:pos="1685"/>
                <w:tab w:val="left" w:pos="2630"/>
              </w:tabs>
              <w:jc w:val="both"/>
              <w:rPr>
                <w:rFonts w:eastAsia="宋体" w:cs="Times New Roman"/>
                <w:sz w:val="24"/>
                <w:szCs w:val="24"/>
              </w:rPr>
            </w:pPr>
          </w:p>
          <w:p w14:paraId="6C40F5D7" w14:textId="442743EC" w:rsidR="00E228E0" w:rsidRPr="00CC51F9" w:rsidRDefault="00E228E0" w:rsidP="00E228E0">
            <w:pPr>
              <w:pStyle w:val="TableParagraph"/>
              <w:tabs>
                <w:tab w:val="left" w:pos="1685"/>
                <w:tab w:val="left" w:pos="2630"/>
              </w:tabs>
              <w:jc w:val="both"/>
              <w:rPr>
                <w:rFonts w:ascii="Times New Roman" w:eastAsia="宋体" w:hAnsi="Times New Roman" w:cs="Times New Roman"/>
                <w:bCs/>
                <w:sz w:val="24"/>
                <w:szCs w:val="24"/>
              </w:rPr>
            </w:pPr>
            <w:r w:rsidRPr="00F56576">
              <w:rPr>
                <w:rFonts w:eastAsia="宋体" w:cs="Times New Roman" w:hint="eastAsia"/>
                <w:sz w:val="24"/>
                <w:szCs w:val="24"/>
              </w:rPr>
              <w:t>本</w:t>
            </w:r>
            <w:r w:rsidRPr="00F56576">
              <w:rPr>
                <w:rFonts w:eastAsia="宋体" w:cs="Times New Roman"/>
                <w:sz w:val="24"/>
                <w:szCs w:val="24"/>
              </w:rPr>
              <w:t>交易前，</w:t>
            </w:r>
            <w:r w:rsidR="00F76CE1">
              <w:rPr>
                <w:rFonts w:eastAsia="宋体" w:cs="Times New Roman" w:hint="eastAsia"/>
                <w:sz w:val="24"/>
                <w:szCs w:val="24"/>
              </w:rPr>
              <w:t>目标</w:t>
            </w:r>
            <w:r w:rsidR="00AD3B31">
              <w:rPr>
                <w:rFonts w:eastAsia="宋体" w:cs="Times New Roman" w:hint="eastAsia"/>
                <w:sz w:val="24"/>
                <w:szCs w:val="24"/>
              </w:rPr>
              <w:t>公司</w:t>
            </w:r>
            <w:r w:rsidR="00F76CE1">
              <w:rPr>
                <w:rFonts w:eastAsia="宋体" w:cs="Times New Roman" w:hint="eastAsia"/>
                <w:sz w:val="24"/>
                <w:szCs w:val="24"/>
              </w:rPr>
              <w:t>由</w:t>
            </w:r>
            <w:r w:rsidR="00295959" w:rsidRPr="00D26A02">
              <w:rPr>
                <w:rFonts w:ascii="宋体" w:eastAsia="宋体" w:hAnsi="宋体" w:cs="Times New Roman"/>
                <w:sz w:val="24"/>
                <w:szCs w:val="24"/>
              </w:rPr>
              <w:t>斯伦贝谢控股第二有限公司（“</w:t>
            </w:r>
            <w:r w:rsidR="00295959" w:rsidRPr="00D26A02">
              <w:rPr>
                <w:rFonts w:ascii="宋体" w:eastAsia="宋体" w:hAnsi="宋体" w:cs="Times New Roman"/>
                <w:b/>
                <w:bCs/>
                <w:sz w:val="24"/>
                <w:szCs w:val="24"/>
              </w:rPr>
              <w:t>斯伦贝谢控股第二公司</w:t>
            </w:r>
            <w:r w:rsidR="00295959" w:rsidRPr="00D26A02">
              <w:rPr>
                <w:rFonts w:ascii="宋体" w:eastAsia="宋体" w:hAnsi="宋体" w:cs="Times New Roman"/>
                <w:sz w:val="24"/>
                <w:szCs w:val="24"/>
              </w:rPr>
              <w:t>”）</w:t>
            </w:r>
            <w:r w:rsidR="00AD3B31">
              <w:rPr>
                <w:rFonts w:eastAsia="宋体" w:cs="Times New Roman" w:hint="eastAsia"/>
                <w:sz w:val="24"/>
                <w:szCs w:val="24"/>
              </w:rPr>
              <w:t>间接全资</w:t>
            </w:r>
            <w:r w:rsidR="00295959">
              <w:rPr>
                <w:rFonts w:eastAsia="宋体" w:cs="Times New Roman" w:hint="eastAsia"/>
                <w:sz w:val="24"/>
                <w:szCs w:val="24"/>
              </w:rPr>
              <w:t>单独</w:t>
            </w:r>
            <w:r w:rsidR="00F76CE1">
              <w:rPr>
                <w:rFonts w:eastAsia="宋体" w:cs="Times New Roman" w:hint="eastAsia"/>
                <w:sz w:val="24"/>
                <w:szCs w:val="24"/>
              </w:rPr>
              <w:t>持有并</w:t>
            </w:r>
            <w:r w:rsidR="00AD3B31">
              <w:rPr>
                <w:rFonts w:eastAsia="宋体" w:cs="Times New Roman" w:hint="eastAsia"/>
                <w:sz w:val="24"/>
                <w:szCs w:val="24"/>
              </w:rPr>
              <w:t>控制</w:t>
            </w:r>
            <w:r w:rsidRPr="00F56576">
              <w:rPr>
                <w:rFonts w:eastAsia="宋体" w:cs="Times New Roman"/>
                <w:sz w:val="24"/>
                <w:szCs w:val="24"/>
              </w:rPr>
              <w:t>。</w:t>
            </w:r>
            <w:r w:rsidRPr="00F56576">
              <w:rPr>
                <w:rFonts w:eastAsia="宋体" w:cs="Times New Roman" w:hint="eastAsia"/>
                <w:sz w:val="24"/>
                <w:szCs w:val="24"/>
              </w:rPr>
              <w:t>本</w:t>
            </w:r>
            <w:r w:rsidRPr="00F56576">
              <w:rPr>
                <w:rFonts w:eastAsia="宋体" w:cs="Times New Roman"/>
                <w:sz w:val="24"/>
                <w:szCs w:val="24"/>
              </w:rPr>
              <w:t>交易后，</w:t>
            </w:r>
            <w:r w:rsidR="00AD3B31">
              <w:rPr>
                <w:rFonts w:eastAsia="宋体" w:cs="Times New Roman" w:hint="eastAsia"/>
                <w:sz w:val="24"/>
                <w:szCs w:val="24"/>
              </w:rPr>
              <w:t>阿布扎比石油钻探将间接持有</w:t>
            </w:r>
            <w:r w:rsidR="00376507">
              <w:rPr>
                <w:rFonts w:eastAsia="宋体" w:cs="Times New Roman" w:hint="eastAsia"/>
                <w:sz w:val="24"/>
                <w:szCs w:val="24"/>
              </w:rPr>
              <w:t>目标</w:t>
            </w:r>
            <w:r w:rsidR="00AD3B31" w:rsidRPr="00AD3B31">
              <w:rPr>
                <w:rFonts w:eastAsia="宋体" w:cs="Times New Roman" w:hint="eastAsia"/>
                <w:sz w:val="24"/>
                <w:szCs w:val="24"/>
              </w:rPr>
              <w:t>公司</w:t>
            </w:r>
            <w:r w:rsidR="00AD3B31" w:rsidRPr="00AD3B31">
              <w:rPr>
                <w:rFonts w:ascii="Times New Roman" w:eastAsia="宋体" w:hAnsi="Times New Roman" w:cs="Times New Roman"/>
                <w:sz w:val="24"/>
                <w:szCs w:val="24"/>
              </w:rPr>
              <w:t>70%</w:t>
            </w:r>
            <w:r w:rsidR="00AD3B31" w:rsidRPr="00AD3B31">
              <w:rPr>
                <w:rFonts w:eastAsia="宋体" w:cs="Times New Roman" w:hint="eastAsia"/>
                <w:sz w:val="24"/>
                <w:szCs w:val="24"/>
              </w:rPr>
              <w:t>的流通股本，斯伦贝谢控股第二公司</w:t>
            </w:r>
            <w:r w:rsidR="00993F97">
              <w:rPr>
                <w:rFonts w:eastAsia="宋体" w:cs="Times New Roman" w:hint="eastAsia"/>
                <w:sz w:val="24"/>
                <w:szCs w:val="24"/>
              </w:rPr>
              <w:t>将</w:t>
            </w:r>
            <w:r w:rsidR="00AD3B31" w:rsidRPr="00AD3B31">
              <w:rPr>
                <w:rFonts w:eastAsia="宋体" w:cs="Times New Roman" w:hint="eastAsia"/>
                <w:sz w:val="24"/>
                <w:szCs w:val="24"/>
              </w:rPr>
              <w:t>间接保留其持有的</w:t>
            </w:r>
            <w:r w:rsidR="00993F97">
              <w:rPr>
                <w:rFonts w:eastAsia="宋体" w:cs="Times New Roman" w:hint="eastAsia"/>
                <w:sz w:val="24"/>
                <w:szCs w:val="24"/>
              </w:rPr>
              <w:t>目标</w:t>
            </w:r>
            <w:r w:rsidR="00AD3B31" w:rsidRPr="00AD3B31">
              <w:rPr>
                <w:rFonts w:eastAsia="宋体" w:cs="Times New Roman" w:hint="eastAsia"/>
                <w:sz w:val="24"/>
                <w:szCs w:val="24"/>
              </w:rPr>
              <w:t>公司</w:t>
            </w:r>
            <w:r w:rsidR="00AD3B31" w:rsidRPr="00AD3B31">
              <w:rPr>
                <w:rFonts w:ascii="Times New Roman" w:eastAsia="宋体" w:hAnsi="Times New Roman" w:cs="Times New Roman"/>
                <w:sz w:val="24"/>
                <w:szCs w:val="24"/>
              </w:rPr>
              <w:t>30%</w:t>
            </w:r>
            <w:r w:rsidR="00AD3B31" w:rsidRPr="00AD3B31">
              <w:rPr>
                <w:rFonts w:eastAsia="宋体" w:cs="Times New Roman" w:hint="eastAsia"/>
                <w:sz w:val="24"/>
                <w:szCs w:val="24"/>
              </w:rPr>
              <w:t>的股</w:t>
            </w:r>
            <w:r w:rsidR="005B64FC">
              <w:rPr>
                <w:rFonts w:eastAsia="宋体" w:cs="Times New Roman" w:hint="eastAsia"/>
                <w:sz w:val="24"/>
                <w:szCs w:val="24"/>
              </w:rPr>
              <w:t>本</w:t>
            </w:r>
            <w:r w:rsidRPr="00F56576">
              <w:rPr>
                <w:rFonts w:eastAsia="宋体" w:cs="Times New Roman"/>
                <w:sz w:val="24"/>
                <w:szCs w:val="24"/>
              </w:rPr>
              <w:t>。</w:t>
            </w:r>
          </w:p>
        </w:tc>
      </w:tr>
      <w:tr w:rsidR="00DF60E2" w:rsidRPr="00AD54FA" w14:paraId="5E6EDBF5" w14:textId="77777777" w:rsidTr="002A295F">
        <w:trPr>
          <w:trHeight w:val="468"/>
        </w:trPr>
        <w:tc>
          <w:tcPr>
            <w:tcW w:w="1736" w:type="dxa"/>
            <w:vMerge w:val="restart"/>
            <w:tcBorders>
              <w:top w:val="single" w:sz="4" w:space="0" w:color="auto"/>
              <w:left w:val="single" w:sz="4" w:space="0" w:color="auto"/>
              <w:right w:val="single" w:sz="4" w:space="0" w:color="auto"/>
            </w:tcBorders>
            <w:shd w:val="clear" w:color="auto" w:fill="D9D9D9"/>
            <w:hideMark/>
          </w:tcPr>
          <w:p w14:paraId="6D3EF9E5" w14:textId="1903A8EC" w:rsidR="00DF60E2" w:rsidRPr="00CC51F9" w:rsidRDefault="00DF60E2" w:rsidP="00DF60E2">
            <w:pPr>
              <w:widowControl w:val="0"/>
              <w:adjustRightInd w:val="0"/>
              <w:snapToGrid w:val="0"/>
              <w:spacing w:after="120"/>
              <w:rPr>
                <w:rFonts w:ascii="Times New Roman" w:eastAsia="宋体" w:hAnsi="Times New Roman"/>
                <w:kern w:val="2"/>
                <w:sz w:val="24"/>
                <w:szCs w:val="24"/>
                <w:lang w:bidi="ar-SA"/>
              </w:rPr>
            </w:pPr>
            <w:r w:rsidRPr="00CC51F9">
              <w:rPr>
                <w:rFonts w:ascii="Times New Roman" w:eastAsia="宋体" w:hAnsi="Times New Roman"/>
                <w:kern w:val="2"/>
                <w:sz w:val="24"/>
                <w:szCs w:val="24"/>
                <w:lang w:bidi="ar-SA"/>
              </w:rPr>
              <w:t>参与集中的经营者简介</w:t>
            </w:r>
          </w:p>
        </w:tc>
        <w:tc>
          <w:tcPr>
            <w:tcW w:w="2429" w:type="dxa"/>
            <w:tcBorders>
              <w:top w:val="single" w:sz="4" w:space="0" w:color="auto"/>
              <w:left w:val="single" w:sz="4" w:space="0" w:color="auto"/>
              <w:bottom w:val="single" w:sz="4" w:space="0" w:color="auto"/>
              <w:right w:val="single" w:sz="4" w:space="0" w:color="auto"/>
            </w:tcBorders>
          </w:tcPr>
          <w:p w14:paraId="2405BED4" w14:textId="6C0E3E96" w:rsidR="00DF60E2" w:rsidRPr="00CC51F9" w:rsidRDefault="00DF60E2" w:rsidP="00DF60E2">
            <w:pPr>
              <w:widowControl w:val="0"/>
              <w:adjustRightInd w:val="0"/>
              <w:snapToGrid w:val="0"/>
              <w:spacing w:after="120"/>
              <w:rPr>
                <w:rFonts w:ascii="Times New Roman" w:eastAsia="宋体" w:hAnsi="Times New Roman"/>
                <w:kern w:val="2"/>
                <w:sz w:val="24"/>
                <w:szCs w:val="24"/>
                <w:lang w:bidi="ar-SA"/>
              </w:rPr>
            </w:pPr>
            <w:r w:rsidRPr="00CC51F9">
              <w:rPr>
                <w:rFonts w:ascii="Times New Roman" w:eastAsia="宋体" w:hAnsi="Times New Roman"/>
                <w:kern w:val="2"/>
                <w:sz w:val="24"/>
                <w:szCs w:val="24"/>
                <w:lang w:bidi="ar-SA"/>
              </w:rPr>
              <w:t xml:space="preserve">1. </w:t>
            </w:r>
            <w:r w:rsidR="00AD3B31">
              <w:rPr>
                <w:rFonts w:ascii="Times New Roman" w:eastAsia="宋体" w:hAnsi="Times New Roman" w:hint="eastAsia"/>
                <w:kern w:val="2"/>
                <w:sz w:val="24"/>
                <w:szCs w:val="24"/>
                <w:lang w:bidi="ar-SA"/>
              </w:rPr>
              <w:t>阿布扎比石油钻探</w:t>
            </w:r>
          </w:p>
        </w:tc>
        <w:tc>
          <w:tcPr>
            <w:tcW w:w="4110" w:type="dxa"/>
            <w:tcBorders>
              <w:top w:val="single" w:sz="4" w:space="0" w:color="auto"/>
              <w:left w:val="single" w:sz="4" w:space="0" w:color="auto"/>
              <w:bottom w:val="single" w:sz="4" w:space="0" w:color="auto"/>
              <w:right w:val="single" w:sz="4" w:space="0" w:color="auto"/>
            </w:tcBorders>
          </w:tcPr>
          <w:p w14:paraId="24D4D89F" w14:textId="1C735144" w:rsidR="00DF60E2" w:rsidRPr="008F5E89" w:rsidRDefault="00AD3B31" w:rsidP="00DF60E2">
            <w:pPr>
              <w:snapToGrid w:val="0"/>
              <w:rPr>
                <w:rFonts w:ascii="Times New Roman" w:eastAsia="宋体" w:hAnsi="Times New Roman"/>
                <w:kern w:val="2"/>
                <w:sz w:val="24"/>
                <w:szCs w:val="24"/>
                <w:lang w:val="en-GB" w:bidi="ar-SA"/>
              </w:rPr>
            </w:pPr>
            <w:r>
              <w:rPr>
                <w:rFonts w:ascii="Times New Roman" w:eastAsia="宋体" w:hAnsi="Times New Roman" w:hint="eastAsia"/>
                <w:color w:val="333333"/>
                <w:sz w:val="24"/>
                <w:szCs w:val="24"/>
                <w:bdr w:val="none" w:sz="0" w:space="0" w:color="auto" w:frame="1"/>
                <w:lang w:bidi="ar-SA"/>
              </w:rPr>
              <w:t>阿布扎比石油钻探</w:t>
            </w:r>
            <w:r w:rsidR="00DF60E2" w:rsidRPr="00CC51F9">
              <w:rPr>
                <w:rFonts w:ascii="Times New Roman" w:eastAsia="宋体" w:hAnsi="Times New Roman"/>
                <w:color w:val="333333"/>
                <w:sz w:val="24"/>
                <w:szCs w:val="24"/>
                <w:bdr w:val="none" w:sz="0" w:space="0" w:color="auto" w:frame="1"/>
                <w:lang w:bidi="ar-SA"/>
              </w:rPr>
              <w:t>于</w:t>
            </w:r>
            <w:r w:rsidR="00DF60E2" w:rsidRPr="00CC51F9">
              <w:rPr>
                <w:rFonts w:ascii="Times New Roman" w:eastAsia="宋体" w:hAnsi="Times New Roman"/>
                <w:kern w:val="2"/>
                <w:sz w:val="24"/>
                <w:szCs w:val="24"/>
                <w:lang w:bidi="ar-SA"/>
              </w:rPr>
              <w:t>20</w:t>
            </w:r>
            <w:r>
              <w:rPr>
                <w:rFonts w:ascii="Times New Roman" w:eastAsia="宋体" w:hAnsi="Times New Roman" w:hint="eastAsia"/>
                <w:kern w:val="2"/>
                <w:sz w:val="24"/>
                <w:szCs w:val="24"/>
                <w:lang w:bidi="ar-SA"/>
              </w:rPr>
              <w:t>18</w:t>
            </w:r>
            <w:r w:rsidR="00DF60E2" w:rsidRPr="00CC51F9">
              <w:rPr>
                <w:rFonts w:ascii="Times New Roman" w:eastAsia="宋体" w:hAnsi="Times New Roman"/>
                <w:kern w:val="2"/>
                <w:sz w:val="24"/>
                <w:szCs w:val="24"/>
                <w:lang w:bidi="ar-SA"/>
              </w:rPr>
              <w:t>年</w:t>
            </w:r>
            <w:r>
              <w:rPr>
                <w:rFonts w:ascii="Times New Roman" w:eastAsia="宋体" w:hAnsi="Times New Roman" w:hint="eastAsia"/>
                <w:kern w:val="2"/>
                <w:sz w:val="24"/>
                <w:szCs w:val="24"/>
                <w:lang w:bidi="ar-SA"/>
              </w:rPr>
              <w:t>12</w:t>
            </w:r>
            <w:r w:rsidR="00DF60E2" w:rsidRPr="00CC51F9">
              <w:rPr>
                <w:rFonts w:ascii="Times New Roman" w:eastAsia="宋体" w:hAnsi="Times New Roman"/>
                <w:kern w:val="2"/>
                <w:sz w:val="24"/>
                <w:szCs w:val="24"/>
                <w:lang w:bidi="ar-SA"/>
              </w:rPr>
              <w:t>月</w:t>
            </w:r>
            <w:r>
              <w:rPr>
                <w:rFonts w:ascii="Times New Roman" w:eastAsia="宋体" w:hAnsi="Times New Roman" w:hint="eastAsia"/>
                <w:kern w:val="2"/>
                <w:sz w:val="24"/>
                <w:szCs w:val="24"/>
                <w:lang w:bidi="ar-SA"/>
              </w:rPr>
              <w:t>19</w:t>
            </w:r>
            <w:r w:rsidR="00DF60E2" w:rsidRPr="00CC51F9">
              <w:rPr>
                <w:rFonts w:ascii="Times New Roman" w:eastAsia="宋体" w:hAnsi="Times New Roman"/>
                <w:kern w:val="2"/>
                <w:sz w:val="24"/>
                <w:szCs w:val="24"/>
                <w:lang w:bidi="ar-SA"/>
              </w:rPr>
              <w:t>日在</w:t>
            </w:r>
            <w:r>
              <w:rPr>
                <w:rFonts w:ascii="Times New Roman" w:eastAsia="宋体" w:hAnsi="Times New Roman" w:hint="eastAsia"/>
                <w:kern w:val="2"/>
                <w:sz w:val="24"/>
                <w:szCs w:val="24"/>
                <w:lang w:bidi="ar-SA"/>
              </w:rPr>
              <w:t>阿联酋</w:t>
            </w:r>
            <w:r w:rsidR="00DF60E2" w:rsidRPr="00CC51F9">
              <w:rPr>
                <w:rFonts w:ascii="Times New Roman" w:eastAsia="宋体" w:hAnsi="Times New Roman"/>
                <w:kern w:val="2"/>
                <w:sz w:val="24"/>
                <w:szCs w:val="24"/>
                <w:lang w:bidi="ar-SA"/>
              </w:rPr>
              <w:t>成立</w:t>
            </w:r>
            <w:r w:rsidR="008F5E89">
              <w:rPr>
                <w:rFonts w:ascii="Times New Roman" w:eastAsia="宋体" w:hAnsi="Times New Roman" w:hint="eastAsia"/>
                <w:kern w:val="2"/>
                <w:sz w:val="24"/>
                <w:szCs w:val="24"/>
                <w:lang w:bidi="ar-SA"/>
              </w:rPr>
              <w:t>，是一家陆上及海上钻井和油田服务运营商，隶属于阿布扎比国家石油公司（“</w:t>
            </w:r>
            <w:r w:rsidR="008F5E89" w:rsidRPr="008F5E89">
              <w:rPr>
                <w:rFonts w:ascii="Times New Roman" w:eastAsia="宋体" w:hAnsi="Times New Roman" w:hint="eastAsia"/>
                <w:b/>
                <w:bCs/>
                <w:kern w:val="2"/>
                <w:sz w:val="24"/>
                <w:szCs w:val="24"/>
                <w:lang w:bidi="ar-SA"/>
              </w:rPr>
              <w:t>阿布扎比石油公司</w:t>
            </w:r>
            <w:r w:rsidR="008F5E89">
              <w:rPr>
                <w:rFonts w:ascii="Times New Roman" w:eastAsia="宋体" w:hAnsi="Times New Roman" w:hint="eastAsia"/>
                <w:kern w:val="2"/>
                <w:sz w:val="24"/>
                <w:szCs w:val="24"/>
                <w:lang w:bidi="ar-SA"/>
              </w:rPr>
              <w:t>”）</w:t>
            </w:r>
            <w:r w:rsidR="0000631D">
              <w:rPr>
                <w:rFonts w:ascii="Times New Roman" w:eastAsia="宋体" w:hAnsi="Times New Roman" w:hint="eastAsia"/>
                <w:kern w:val="2"/>
                <w:sz w:val="24"/>
                <w:szCs w:val="24"/>
                <w:lang w:bidi="ar-SA"/>
              </w:rPr>
              <w:t>的</w:t>
            </w:r>
            <w:r w:rsidR="008F5E89">
              <w:rPr>
                <w:rFonts w:ascii="Times New Roman" w:eastAsia="宋体" w:hAnsi="Times New Roman" w:hint="eastAsia"/>
                <w:kern w:val="2"/>
                <w:sz w:val="24"/>
                <w:szCs w:val="24"/>
                <w:lang w:bidi="ar-SA"/>
              </w:rPr>
              <w:t>集成业务网络。</w:t>
            </w:r>
          </w:p>
          <w:p w14:paraId="14871D10" w14:textId="77777777" w:rsidR="00DF60E2" w:rsidRPr="00CC51F9" w:rsidRDefault="00DF60E2" w:rsidP="00DF60E2">
            <w:pPr>
              <w:snapToGrid w:val="0"/>
              <w:rPr>
                <w:rFonts w:ascii="Times New Roman" w:eastAsia="宋体" w:hAnsi="Times New Roman"/>
                <w:kern w:val="2"/>
                <w:sz w:val="24"/>
                <w:szCs w:val="24"/>
                <w:lang w:bidi="ar-SA"/>
              </w:rPr>
            </w:pPr>
          </w:p>
          <w:p w14:paraId="0B768F94" w14:textId="71FFA271" w:rsidR="00DF60E2" w:rsidRPr="00CC51F9" w:rsidRDefault="00A9462A" w:rsidP="00DF60E2">
            <w:pPr>
              <w:widowControl w:val="0"/>
              <w:adjustRightInd w:val="0"/>
              <w:snapToGrid w:val="0"/>
              <w:spacing w:after="120"/>
              <w:jc w:val="both"/>
              <w:rPr>
                <w:rFonts w:ascii="Times New Roman" w:eastAsia="宋体" w:hAnsi="Times New Roman"/>
                <w:bCs/>
                <w:kern w:val="2"/>
                <w:sz w:val="24"/>
                <w:szCs w:val="24"/>
                <w:lang w:bidi="ar-SA"/>
              </w:rPr>
            </w:pPr>
            <w:r>
              <w:rPr>
                <w:rFonts w:ascii="Times New Roman" w:eastAsia="宋体" w:hAnsi="Times New Roman" w:hint="eastAsia"/>
                <w:kern w:val="2"/>
                <w:sz w:val="24"/>
                <w:szCs w:val="24"/>
                <w:lang w:bidi="ar-SA"/>
              </w:rPr>
              <w:t>阿布扎比石油钻探的最终控制人是阿布扎比石油公司（与其控制的关联</w:t>
            </w:r>
            <w:r w:rsidR="0000631D">
              <w:rPr>
                <w:rFonts w:ascii="Times New Roman" w:eastAsia="宋体" w:hAnsi="Times New Roman" w:hint="eastAsia"/>
                <w:kern w:val="2"/>
                <w:sz w:val="24"/>
                <w:szCs w:val="24"/>
                <w:lang w:bidi="ar-SA"/>
              </w:rPr>
              <w:t>实体</w:t>
            </w:r>
            <w:r>
              <w:rPr>
                <w:rFonts w:ascii="Times New Roman" w:eastAsia="宋体" w:hAnsi="Times New Roman" w:hint="eastAsia"/>
                <w:kern w:val="2"/>
                <w:sz w:val="24"/>
                <w:szCs w:val="24"/>
                <w:lang w:bidi="ar-SA"/>
              </w:rPr>
              <w:t>合称“</w:t>
            </w:r>
            <w:r w:rsidRPr="00A9462A">
              <w:rPr>
                <w:rFonts w:ascii="Times New Roman" w:eastAsia="宋体" w:hAnsi="Times New Roman" w:hint="eastAsia"/>
                <w:b/>
                <w:bCs/>
                <w:kern w:val="2"/>
                <w:sz w:val="24"/>
                <w:szCs w:val="24"/>
                <w:lang w:bidi="ar-SA"/>
              </w:rPr>
              <w:t>阿布扎比石油集团</w:t>
            </w:r>
            <w:r>
              <w:rPr>
                <w:rFonts w:ascii="Times New Roman" w:eastAsia="宋体" w:hAnsi="Times New Roman" w:hint="eastAsia"/>
                <w:kern w:val="2"/>
                <w:sz w:val="24"/>
                <w:szCs w:val="24"/>
                <w:lang w:bidi="ar-SA"/>
              </w:rPr>
              <w:t>”）。</w:t>
            </w:r>
            <w:r w:rsidRPr="00A9462A">
              <w:rPr>
                <w:rFonts w:ascii="Times New Roman" w:eastAsia="宋体" w:hAnsi="Times New Roman" w:hint="eastAsia"/>
                <w:kern w:val="2"/>
                <w:sz w:val="24"/>
                <w:szCs w:val="24"/>
                <w:lang w:bidi="ar-SA"/>
              </w:rPr>
              <w:t>阿布扎比石油集团是一家能源和石油化工集团，通过全方位集成的业务网络，运营整个</w:t>
            </w:r>
            <w:r w:rsidR="00910ED6">
              <w:rPr>
                <w:rFonts w:ascii="Times New Roman" w:eastAsia="宋体" w:hAnsi="Times New Roman" w:hint="eastAsia"/>
                <w:kern w:val="2"/>
                <w:sz w:val="24"/>
                <w:szCs w:val="24"/>
                <w:lang w:bidi="ar-SA"/>
              </w:rPr>
              <w:t>碳氢</w:t>
            </w:r>
            <w:r w:rsidRPr="00A9462A">
              <w:rPr>
                <w:rFonts w:ascii="Times New Roman" w:eastAsia="宋体" w:hAnsi="Times New Roman" w:hint="eastAsia"/>
                <w:kern w:val="2"/>
                <w:sz w:val="24"/>
                <w:szCs w:val="24"/>
                <w:lang w:bidi="ar-SA"/>
              </w:rPr>
              <w:t>价值链。</w:t>
            </w:r>
          </w:p>
        </w:tc>
      </w:tr>
      <w:tr w:rsidR="00DF60E2" w:rsidRPr="00AD54FA" w14:paraId="4B43F18A" w14:textId="77777777" w:rsidTr="002A295F">
        <w:trPr>
          <w:trHeight w:val="468"/>
        </w:trPr>
        <w:tc>
          <w:tcPr>
            <w:tcW w:w="1736" w:type="dxa"/>
            <w:vMerge/>
            <w:tcBorders>
              <w:left w:val="single" w:sz="4" w:space="0" w:color="auto"/>
              <w:right w:val="single" w:sz="4" w:space="0" w:color="auto"/>
            </w:tcBorders>
            <w:shd w:val="clear" w:color="auto" w:fill="D9D9D9"/>
          </w:tcPr>
          <w:p w14:paraId="6B01CCC7" w14:textId="77777777" w:rsidR="00DF60E2" w:rsidRPr="00CC51F9" w:rsidRDefault="00DF60E2" w:rsidP="00DF60E2">
            <w:pPr>
              <w:widowControl w:val="0"/>
              <w:adjustRightInd w:val="0"/>
              <w:snapToGrid w:val="0"/>
              <w:spacing w:after="120"/>
              <w:rPr>
                <w:rFonts w:ascii="Times New Roman" w:eastAsia="宋体" w:hAnsi="Times New Roman"/>
                <w:kern w:val="2"/>
                <w:sz w:val="24"/>
                <w:szCs w:val="24"/>
                <w:lang w:bidi="ar-SA"/>
              </w:rPr>
            </w:pPr>
          </w:p>
        </w:tc>
        <w:tc>
          <w:tcPr>
            <w:tcW w:w="2429" w:type="dxa"/>
            <w:tcBorders>
              <w:top w:val="single" w:sz="4" w:space="0" w:color="auto"/>
              <w:left w:val="single" w:sz="4" w:space="0" w:color="auto"/>
              <w:bottom w:val="single" w:sz="4" w:space="0" w:color="auto"/>
              <w:right w:val="single" w:sz="4" w:space="0" w:color="auto"/>
            </w:tcBorders>
          </w:tcPr>
          <w:p w14:paraId="3F19D5C5" w14:textId="5C38EF4E" w:rsidR="00DF60E2" w:rsidRPr="00CC51F9" w:rsidRDefault="00DF60E2" w:rsidP="00DF60E2">
            <w:pPr>
              <w:widowControl w:val="0"/>
              <w:adjustRightInd w:val="0"/>
              <w:snapToGrid w:val="0"/>
              <w:spacing w:after="120"/>
              <w:rPr>
                <w:rFonts w:ascii="Times New Roman" w:eastAsia="宋体" w:hAnsi="Times New Roman"/>
                <w:kern w:val="2"/>
                <w:sz w:val="24"/>
                <w:szCs w:val="24"/>
                <w:lang w:bidi="ar-SA"/>
              </w:rPr>
            </w:pPr>
            <w:r w:rsidRPr="00CC51F9">
              <w:rPr>
                <w:rFonts w:ascii="Times New Roman" w:eastAsia="宋体" w:hAnsi="Times New Roman"/>
                <w:kern w:val="2"/>
                <w:sz w:val="24"/>
                <w:szCs w:val="24"/>
                <w:lang w:bidi="ar-SA"/>
              </w:rPr>
              <w:t xml:space="preserve">2. </w:t>
            </w:r>
            <w:r w:rsidR="00AD3B31">
              <w:rPr>
                <w:rFonts w:ascii="Times New Roman" w:eastAsia="宋体" w:hAnsi="Times New Roman" w:hint="eastAsia"/>
                <w:kern w:val="2"/>
                <w:sz w:val="24"/>
                <w:szCs w:val="24"/>
                <w:lang w:bidi="ar-SA"/>
              </w:rPr>
              <w:t>斯伦贝谢控股第二公司</w:t>
            </w:r>
          </w:p>
        </w:tc>
        <w:tc>
          <w:tcPr>
            <w:tcW w:w="4110" w:type="dxa"/>
            <w:tcBorders>
              <w:top w:val="single" w:sz="4" w:space="0" w:color="auto"/>
              <w:left w:val="single" w:sz="4" w:space="0" w:color="auto"/>
              <w:bottom w:val="single" w:sz="4" w:space="0" w:color="auto"/>
              <w:right w:val="single" w:sz="4" w:space="0" w:color="auto"/>
            </w:tcBorders>
          </w:tcPr>
          <w:p w14:paraId="0939113F" w14:textId="5895C307" w:rsidR="00DF60E2" w:rsidRPr="00CC51F9" w:rsidRDefault="00910ED6" w:rsidP="00DF60E2">
            <w:pPr>
              <w:adjustRightInd w:val="0"/>
              <w:snapToGrid w:val="0"/>
              <w:spacing w:after="120"/>
              <w:jc w:val="both"/>
              <w:rPr>
                <w:rFonts w:ascii="Times New Roman" w:eastAsia="宋体" w:hAnsi="Times New Roman"/>
                <w:kern w:val="2"/>
                <w:sz w:val="24"/>
                <w:szCs w:val="24"/>
                <w:lang w:bidi="ar-SA"/>
              </w:rPr>
            </w:pPr>
            <w:r>
              <w:rPr>
                <w:rFonts w:ascii="Times New Roman" w:eastAsia="宋体" w:hAnsi="Times New Roman" w:hint="eastAsia"/>
                <w:kern w:val="2"/>
                <w:sz w:val="24"/>
                <w:szCs w:val="24"/>
                <w:lang w:bidi="ar-SA"/>
              </w:rPr>
              <w:t>斯伦贝谢控股第二公司</w:t>
            </w:r>
            <w:r w:rsidR="00DF60E2" w:rsidRPr="00CC51F9">
              <w:rPr>
                <w:rFonts w:ascii="Times New Roman" w:eastAsia="宋体" w:hAnsi="Times New Roman"/>
                <w:kern w:val="2"/>
                <w:sz w:val="24"/>
                <w:szCs w:val="24"/>
                <w:lang w:bidi="ar-SA"/>
              </w:rPr>
              <w:t>于</w:t>
            </w:r>
            <w:r w:rsidR="00DF60E2" w:rsidRPr="00CC51F9">
              <w:rPr>
                <w:rFonts w:ascii="Times New Roman" w:eastAsia="宋体" w:hAnsi="Times New Roman"/>
                <w:kern w:val="2"/>
                <w:sz w:val="24"/>
                <w:szCs w:val="24"/>
                <w:lang w:bidi="ar-SA"/>
              </w:rPr>
              <w:t>20</w:t>
            </w:r>
            <w:r>
              <w:rPr>
                <w:rFonts w:ascii="Times New Roman" w:eastAsia="宋体" w:hAnsi="Times New Roman" w:hint="eastAsia"/>
                <w:kern w:val="2"/>
                <w:sz w:val="24"/>
                <w:szCs w:val="24"/>
                <w:lang w:bidi="ar-SA"/>
              </w:rPr>
              <w:t>00</w:t>
            </w:r>
            <w:r w:rsidR="00DF60E2" w:rsidRPr="00CC51F9">
              <w:rPr>
                <w:rFonts w:ascii="Times New Roman" w:eastAsia="宋体" w:hAnsi="Times New Roman"/>
                <w:kern w:val="2"/>
                <w:sz w:val="24"/>
                <w:szCs w:val="24"/>
                <w:lang w:bidi="ar-SA"/>
              </w:rPr>
              <w:t>年</w:t>
            </w:r>
            <w:r w:rsidR="00DF60E2" w:rsidRPr="00CC51F9">
              <w:rPr>
                <w:rFonts w:ascii="Times New Roman" w:eastAsia="宋体" w:hAnsi="Times New Roman"/>
                <w:kern w:val="2"/>
                <w:sz w:val="24"/>
                <w:szCs w:val="24"/>
                <w:lang w:bidi="ar-SA"/>
              </w:rPr>
              <w:t>10</w:t>
            </w:r>
            <w:r w:rsidR="00DF60E2" w:rsidRPr="00CC51F9">
              <w:rPr>
                <w:rFonts w:ascii="Times New Roman" w:eastAsia="宋体" w:hAnsi="Times New Roman"/>
                <w:kern w:val="2"/>
                <w:sz w:val="24"/>
                <w:szCs w:val="24"/>
                <w:lang w:bidi="ar-SA"/>
              </w:rPr>
              <w:t>月</w:t>
            </w:r>
            <w:r>
              <w:rPr>
                <w:rFonts w:ascii="Times New Roman" w:eastAsia="宋体" w:hAnsi="Times New Roman" w:hint="eastAsia"/>
                <w:kern w:val="2"/>
                <w:sz w:val="24"/>
                <w:szCs w:val="24"/>
                <w:lang w:bidi="ar-SA"/>
              </w:rPr>
              <w:t>30</w:t>
            </w:r>
            <w:r w:rsidR="00DF60E2" w:rsidRPr="00CC51F9">
              <w:rPr>
                <w:rFonts w:ascii="Times New Roman" w:eastAsia="宋体" w:hAnsi="Times New Roman"/>
                <w:kern w:val="2"/>
                <w:sz w:val="24"/>
                <w:szCs w:val="24"/>
                <w:lang w:bidi="ar-SA"/>
              </w:rPr>
              <w:t>日成立于</w:t>
            </w:r>
            <w:r>
              <w:rPr>
                <w:rFonts w:ascii="Times New Roman" w:eastAsia="宋体" w:hAnsi="Times New Roman" w:hint="eastAsia"/>
                <w:kern w:val="2"/>
                <w:sz w:val="24"/>
                <w:szCs w:val="24"/>
                <w:lang w:bidi="ar-SA"/>
              </w:rPr>
              <w:t>英属维尔京群岛</w:t>
            </w:r>
            <w:r w:rsidR="00DF60E2" w:rsidRPr="00CC51F9">
              <w:rPr>
                <w:rFonts w:ascii="Times New Roman" w:eastAsia="宋体" w:hAnsi="Times New Roman"/>
                <w:kern w:val="2"/>
                <w:sz w:val="24"/>
                <w:szCs w:val="24"/>
                <w:lang w:bidi="ar-SA"/>
              </w:rPr>
              <w:t>。</w:t>
            </w:r>
            <w:r w:rsidR="00CD2262">
              <w:rPr>
                <w:rFonts w:ascii="Times New Roman" w:eastAsia="宋体" w:hAnsi="Times New Roman" w:hint="eastAsia"/>
                <w:kern w:val="2"/>
                <w:sz w:val="24"/>
                <w:szCs w:val="24"/>
                <w:lang w:bidi="ar-SA"/>
              </w:rPr>
              <w:t>斯伦贝谢控股第二公司是斯伦贝谢的间接全资子公司，从事投资控股业务</w:t>
            </w:r>
            <w:r w:rsidR="00DF60E2" w:rsidRPr="00CC51F9">
              <w:rPr>
                <w:rFonts w:ascii="Times New Roman" w:eastAsia="宋体" w:hAnsi="Times New Roman"/>
                <w:kern w:val="2"/>
                <w:sz w:val="24"/>
                <w:szCs w:val="24"/>
                <w:lang w:bidi="ar-SA"/>
              </w:rPr>
              <w:t>。</w:t>
            </w:r>
          </w:p>
          <w:p w14:paraId="6D5742AD" w14:textId="77777777" w:rsidR="00DF60E2" w:rsidRPr="00CC51F9" w:rsidRDefault="00DF60E2" w:rsidP="00DF60E2">
            <w:pPr>
              <w:adjustRightInd w:val="0"/>
              <w:snapToGrid w:val="0"/>
              <w:spacing w:after="120"/>
              <w:jc w:val="both"/>
              <w:rPr>
                <w:rFonts w:ascii="Times New Roman" w:eastAsia="宋体" w:hAnsi="Times New Roman"/>
                <w:kern w:val="2"/>
                <w:sz w:val="24"/>
                <w:szCs w:val="24"/>
                <w:lang w:bidi="ar-SA"/>
              </w:rPr>
            </w:pPr>
          </w:p>
          <w:p w14:paraId="5D2ABA8F" w14:textId="7854DD80" w:rsidR="00DF60E2" w:rsidRPr="00CC51F9" w:rsidRDefault="00CD2262" w:rsidP="00DF60E2">
            <w:pPr>
              <w:widowControl w:val="0"/>
              <w:adjustRightInd w:val="0"/>
              <w:snapToGrid w:val="0"/>
              <w:spacing w:after="120"/>
              <w:jc w:val="both"/>
              <w:rPr>
                <w:rFonts w:ascii="Times New Roman" w:eastAsia="宋体" w:hAnsi="Times New Roman"/>
                <w:kern w:val="2"/>
                <w:sz w:val="24"/>
                <w:szCs w:val="24"/>
              </w:rPr>
            </w:pPr>
            <w:r>
              <w:rPr>
                <w:rFonts w:ascii="Times New Roman" w:eastAsia="宋体" w:hAnsi="Times New Roman" w:hint="eastAsia"/>
                <w:kern w:val="2"/>
                <w:sz w:val="24"/>
                <w:szCs w:val="24"/>
                <w:lang w:bidi="ar-SA"/>
              </w:rPr>
              <w:t>斯伦贝谢控股第二公司</w:t>
            </w:r>
            <w:r w:rsidR="00DF60E2" w:rsidRPr="00CC51F9">
              <w:rPr>
                <w:rFonts w:ascii="Times New Roman" w:eastAsia="宋体" w:hAnsi="Times New Roman"/>
                <w:kern w:val="2"/>
                <w:sz w:val="24"/>
                <w:szCs w:val="24"/>
                <w:lang w:bidi="ar-SA"/>
              </w:rPr>
              <w:t>的最终控制人为</w:t>
            </w:r>
            <w:r w:rsidR="002750F4">
              <w:rPr>
                <w:rFonts w:eastAsia="宋体" w:hint="eastAsia"/>
                <w:sz w:val="24"/>
                <w:szCs w:val="24"/>
              </w:rPr>
              <w:t>斯伦贝谢有限公司（“</w:t>
            </w:r>
            <w:r w:rsidR="002750F4" w:rsidRPr="00AD3B31">
              <w:rPr>
                <w:rFonts w:eastAsia="宋体" w:hint="eastAsia"/>
                <w:b/>
                <w:bCs/>
                <w:sz w:val="24"/>
                <w:szCs w:val="24"/>
              </w:rPr>
              <w:t>斯伦贝谢</w:t>
            </w:r>
            <w:r w:rsidR="002750F4">
              <w:rPr>
                <w:rFonts w:eastAsia="宋体" w:hint="eastAsia"/>
                <w:sz w:val="24"/>
                <w:szCs w:val="24"/>
              </w:rPr>
              <w:t>”）</w:t>
            </w:r>
            <w:r>
              <w:rPr>
                <w:rFonts w:ascii="Times New Roman" w:eastAsia="宋体" w:hAnsi="Times New Roman" w:hint="eastAsia"/>
                <w:kern w:val="2"/>
                <w:sz w:val="24"/>
                <w:szCs w:val="24"/>
                <w:lang w:bidi="ar-SA"/>
              </w:rPr>
              <w:t>。</w:t>
            </w:r>
            <w:r w:rsidRPr="00CD2262">
              <w:rPr>
                <w:rFonts w:ascii="Times New Roman" w:eastAsia="宋体" w:hAnsi="Times New Roman" w:hint="eastAsia"/>
                <w:kern w:val="2"/>
                <w:sz w:val="24"/>
                <w:szCs w:val="24"/>
                <w:lang w:bidi="ar-SA"/>
              </w:rPr>
              <w:t>斯伦贝谢</w:t>
            </w:r>
            <w:r>
              <w:rPr>
                <w:rFonts w:ascii="Times New Roman" w:eastAsia="宋体" w:hAnsi="Times New Roman" w:hint="eastAsia"/>
                <w:kern w:val="2"/>
                <w:sz w:val="24"/>
                <w:szCs w:val="24"/>
                <w:lang w:bidi="ar-SA"/>
              </w:rPr>
              <w:t>作为一家全球供应商，</w:t>
            </w:r>
            <w:r w:rsidRPr="00CD2262">
              <w:rPr>
                <w:rFonts w:ascii="Times New Roman" w:eastAsia="宋体" w:hAnsi="Times New Roman" w:hint="eastAsia"/>
                <w:kern w:val="2"/>
                <w:sz w:val="24"/>
                <w:szCs w:val="24"/>
                <w:lang w:bidi="ar-SA"/>
              </w:rPr>
              <w:t>为石油和天然气行业提供技术、</w:t>
            </w:r>
            <w:r>
              <w:rPr>
                <w:rFonts w:ascii="Times New Roman" w:eastAsia="宋体" w:hAnsi="Times New Roman" w:hint="eastAsia"/>
                <w:kern w:val="2"/>
                <w:sz w:val="24"/>
                <w:szCs w:val="24"/>
                <w:lang w:bidi="ar-SA"/>
              </w:rPr>
              <w:t>集成</w:t>
            </w:r>
            <w:r w:rsidRPr="00CD2262">
              <w:rPr>
                <w:rFonts w:ascii="Times New Roman" w:eastAsia="宋体" w:hAnsi="Times New Roman" w:hint="eastAsia"/>
                <w:kern w:val="2"/>
                <w:sz w:val="24"/>
                <w:szCs w:val="24"/>
                <w:lang w:bidi="ar-SA"/>
              </w:rPr>
              <w:t>项目管理和信息解决方案。</w:t>
            </w:r>
          </w:p>
        </w:tc>
      </w:tr>
      <w:tr w:rsidR="00FC735A" w:rsidRPr="00AD54FA" w14:paraId="54CD7534" w14:textId="77777777" w:rsidTr="00CE283E">
        <w:trPr>
          <w:trHeight w:val="279"/>
        </w:trPr>
        <w:tc>
          <w:tcPr>
            <w:tcW w:w="1736"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31680ADC" w14:textId="4885B98E" w:rsidR="00FC735A" w:rsidRPr="00CC51F9" w:rsidRDefault="00E003EA" w:rsidP="00177F47">
            <w:pPr>
              <w:widowControl w:val="0"/>
              <w:adjustRightInd w:val="0"/>
              <w:snapToGrid w:val="0"/>
              <w:spacing w:after="120"/>
              <w:rPr>
                <w:rFonts w:ascii="Times New Roman" w:eastAsia="宋体" w:hAnsi="Times New Roman"/>
                <w:kern w:val="2"/>
                <w:sz w:val="24"/>
                <w:szCs w:val="24"/>
                <w:lang w:bidi="ar-SA"/>
              </w:rPr>
            </w:pPr>
            <w:r w:rsidRPr="00CC51F9">
              <w:rPr>
                <w:rFonts w:ascii="Times New Roman" w:eastAsia="宋体" w:hAnsi="Times New Roman" w:hint="eastAsia"/>
                <w:kern w:val="2"/>
                <w:sz w:val="24"/>
                <w:szCs w:val="24"/>
                <w:lang w:bidi="ar-SA"/>
              </w:rPr>
              <w:t>简易案件理由（可以单选，也可以多选）</w:t>
            </w:r>
          </w:p>
        </w:tc>
        <w:tc>
          <w:tcPr>
            <w:tcW w:w="6539" w:type="dxa"/>
            <w:gridSpan w:val="2"/>
            <w:tcBorders>
              <w:top w:val="single" w:sz="4" w:space="0" w:color="auto"/>
              <w:left w:val="single" w:sz="4" w:space="0" w:color="auto"/>
              <w:bottom w:val="single" w:sz="4" w:space="0" w:color="auto"/>
              <w:right w:val="single" w:sz="4" w:space="0" w:color="auto"/>
            </w:tcBorders>
            <w:hideMark/>
          </w:tcPr>
          <w:p w14:paraId="7F755F14" w14:textId="5B799680" w:rsidR="00FC735A" w:rsidRPr="00CC51F9" w:rsidRDefault="00C82106" w:rsidP="00FC735A">
            <w:pPr>
              <w:widowControl w:val="0"/>
              <w:adjustRightInd w:val="0"/>
              <w:snapToGrid w:val="0"/>
              <w:spacing w:after="120"/>
              <w:rPr>
                <w:rFonts w:ascii="Times New Roman" w:eastAsia="宋体" w:hAnsi="Times New Roman"/>
                <w:kern w:val="2"/>
                <w:sz w:val="24"/>
                <w:szCs w:val="24"/>
                <w:lang w:bidi="ar-SA"/>
              </w:rPr>
            </w:pPr>
            <w:r w:rsidRPr="00CC51F9">
              <w:rPr>
                <w:rFonts w:ascii="Times New Roman" w:eastAsia="宋体" w:hAnsi="Times New Roman"/>
                <w:bCs/>
                <w:kern w:val="2"/>
                <w:sz w:val="24"/>
                <w:szCs w:val="24"/>
                <w:lang w:bidi="ar-SA"/>
              </w:rPr>
              <w:sym w:font="Wingdings" w:char="F0A8"/>
            </w:r>
            <w:r w:rsidR="00FC735A" w:rsidRPr="00CC51F9">
              <w:rPr>
                <w:rFonts w:ascii="Times New Roman" w:eastAsia="宋体" w:hAnsi="Times New Roman"/>
                <w:bCs/>
                <w:kern w:val="2"/>
                <w:sz w:val="24"/>
                <w:szCs w:val="24"/>
                <w:lang w:bidi="ar-SA"/>
              </w:rPr>
              <w:t xml:space="preserve"> </w:t>
            </w:r>
            <w:r w:rsidR="00FA4B1D" w:rsidRPr="00CC51F9">
              <w:rPr>
                <w:rFonts w:ascii="Times New Roman" w:eastAsia="宋体" w:hAnsi="Times New Roman" w:hint="eastAsia"/>
                <w:bCs/>
                <w:kern w:val="2"/>
                <w:sz w:val="24"/>
                <w:szCs w:val="24"/>
                <w:lang w:bidi="ar-SA"/>
              </w:rPr>
              <w:t>1</w:t>
            </w:r>
            <w:r w:rsidR="00765061" w:rsidRPr="00CC51F9">
              <w:rPr>
                <w:rFonts w:ascii="Times New Roman" w:eastAsia="宋体" w:hAnsi="Times New Roman" w:hint="eastAsia"/>
                <w:bCs/>
                <w:kern w:val="2"/>
                <w:sz w:val="24"/>
                <w:szCs w:val="24"/>
                <w:lang w:bidi="ar-SA"/>
              </w:rPr>
              <w:t>、</w:t>
            </w:r>
            <w:r w:rsidR="002B06E5" w:rsidRPr="002B06E5">
              <w:rPr>
                <w:rFonts w:ascii="Times New Roman" w:eastAsia="宋体" w:hAnsi="Times New Roman" w:hint="eastAsia"/>
                <w:kern w:val="2"/>
                <w:sz w:val="24"/>
                <w:szCs w:val="24"/>
                <w:lang w:bidi="ar-SA"/>
              </w:rPr>
              <w:t>在同一相关市场，所有参与集中的经营者所占市场份额之和小于</w:t>
            </w:r>
            <w:r w:rsidR="002B06E5" w:rsidRPr="002B06E5">
              <w:rPr>
                <w:rFonts w:ascii="Times New Roman" w:eastAsia="宋体" w:hAnsi="Times New Roman"/>
                <w:kern w:val="2"/>
                <w:sz w:val="24"/>
                <w:szCs w:val="24"/>
                <w:lang w:bidi="ar-SA"/>
              </w:rPr>
              <w:t>15%</w:t>
            </w:r>
            <w:r w:rsidR="00FA4B1D" w:rsidRPr="00CC51F9">
              <w:rPr>
                <w:rFonts w:ascii="Times New Roman" w:eastAsia="宋体" w:hAnsi="Times New Roman" w:hint="eastAsia"/>
                <w:kern w:val="2"/>
                <w:sz w:val="24"/>
                <w:szCs w:val="24"/>
                <w:lang w:bidi="ar-SA"/>
              </w:rPr>
              <w:t>。</w:t>
            </w:r>
          </w:p>
        </w:tc>
      </w:tr>
      <w:tr w:rsidR="00FC735A" w:rsidRPr="00AD54FA" w14:paraId="49CFE7D6" w14:textId="77777777" w:rsidTr="00CE283E">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163E4E" w14:textId="77777777" w:rsidR="00FC735A" w:rsidRPr="00CC51F9" w:rsidRDefault="00FC735A" w:rsidP="00FC735A">
            <w:pPr>
              <w:adjustRightInd w:val="0"/>
              <w:snapToGrid w:val="0"/>
              <w:spacing w:after="120"/>
              <w:rPr>
                <w:rFonts w:ascii="Times New Roman" w:eastAsia="宋体" w:hAnsi="Times New Roman"/>
                <w:kern w:val="2"/>
                <w:sz w:val="24"/>
                <w:szCs w:val="24"/>
                <w:lang w:bidi="ar-SA"/>
              </w:rPr>
            </w:pPr>
          </w:p>
        </w:tc>
        <w:tc>
          <w:tcPr>
            <w:tcW w:w="6539" w:type="dxa"/>
            <w:gridSpan w:val="2"/>
            <w:tcBorders>
              <w:top w:val="single" w:sz="4" w:space="0" w:color="auto"/>
              <w:left w:val="single" w:sz="4" w:space="0" w:color="auto"/>
              <w:bottom w:val="single" w:sz="4" w:space="0" w:color="auto"/>
              <w:right w:val="single" w:sz="4" w:space="0" w:color="auto"/>
            </w:tcBorders>
            <w:hideMark/>
          </w:tcPr>
          <w:p w14:paraId="15611E31" w14:textId="21D60C46" w:rsidR="00FC735A" w:rsidRPr="00CC51F9" w:rsidRDefault="00FC735A" w:rsidP="00FC735A">
            <w:pPr>
              <w:widowControl w:val="0"/>
              <w:adjustRightInd w:val="0"/>
              <w:snapToGrid w:val="0"/>
              <w:spacing w:after="120"/>
              <w:rPr>
                <w:rFonts w:ascii="Times New Roman" w:eastAsia="宋体" w:hAnsi="Times New Roman"/>
                <w:kern w:val="2"/>
                <w:sz w:val="24"/>
                <w:szCs w:val="24"/>
                <w:lang w:bidi="ar-SA"/>
              </w:rPr>
            </w:pPr>
            <w:r w:rsidRPr="00CC51F9">
              <w:rPr>
                <w:rFonts w:ascii="Times New Roman" w:eastAsia="宋体" w:hAnsi="Times New Roman"/>
                <w:bCs/>
                <w:kern w:val="2"/>
                <w:sz w:val="24"/>
                <w:szCs w:val="24"/>
                <w:lang w:bidi="ar-SA"/>
              </w:rPr>
              <w:sym w:font="Wingdings" w:char="F0A8"/>
            </w:r>
            <w:r w:rsidRPr="00CC51F9">
              <w:rPr>
                <w:rFonts w:ascii="Times New Roman" w:eastAsia="宋体" w:hAnsi="Times New Roman"/>
                <w:bCs/>
                <w:kern w:val="2"/>
                <w:sz w:val="24"/>
                <w:szCs w:val="24"/>
                <w:lang w:bidi="ar-SA"/>
              </w:rPr>
              <w:t xml:space="preserve"> </w:t>
            </w:r>
            <w:r w:rsidR="00E21625" w:rsidRPr="00CC51F9">
              <w:rPr>
                <w:rFonts w:ascii="Times New Roman" w:eastAsia="宋体" w:hAnsi="Times New Roman" w:hint="eastAsia"/>
                <w:bCs/>
                <w:kern w:val="2"/>
                <w:sz w:val="24"/>
                <w:szCs w:val="24"/>
                <w:lang w:bidi="ar-SA"/>
              </w:rPr>
              <w:t>2</w:t>
            </w:r>
            <w:r w:rsidR="00765061" w:rsidRPr="00CC51F9">
              <w:rPr>
                <w:rFonts w:ascii="Times New Roman" w:eastAsia="宋体" w:hAnsi="Times New Roman" w:hint="eastAsia"/>
                <w:bCs/>
                <w:kern w:val="2"/>
                <w:sz w:val="24"/>
                <w:szCs w:val="24"/>
                <w:lang w:bidi="ar-SA"/>
              </w:rPr>
              <w:t>、</w:t>
            </w:r>
            <w:r w:rsidR="003D5BE2" w:rsidRPr="003D5BE2">
              <w:rPr>
                <w:rFonts w:ascii="Times New Roman" w:eastAsia="宋体" w:hAnsi="Times New Roman" w:hint="eastAsia"/>
                <w:bCs/>
                <w:kern w:val="2"/>
                <w:sz w:val="24"/>
                <w:szCs w:val="24"/>
                <w:lang w:bidi="ar-SA"/>
              </w:rPr>
              <w:t>存在上下游关系的参与集中的经营者，在上下游市场所占的市场份额均小于</w:t>
            </w:r>
            <w:r w:rsidR="003D5BE2" w:rsidRPr="003D5BE2">
              <w:rPr>
                <w:rFonts w:ascii="Times New Roman" w:eastAsia="宋体" w:hAnsi="Times New Roman"/>
                <w:bCs/>
                <w:kern w:val="2"/>
                <w:sz w:val="24"/>
                <w:szCs w:val="24"/>
                <w:lang w:bidi="ar-SA"/>
              </w:rPr>
              <w:t>25%</w:t>
            </w:r>
            <w:r w:rsidR="00FA4B1D" w:rsidRPr="00CC51F9">
              <w:rPr>
                <w:rFonts w:ascii="Times New Roman" w:eastAsia="宋体" w:hAnsi="Times New Roman" w:hint="eastAsia"/>
                <w:bCs/>
                <w:kern w:val="2"/>
                <w:sz w:val="24"/>
                <w:szCs w:val="24"/>
                <w:lang w:bidi="ar-SA"/>
              </w:rPr>
              <w:t>。</w:t>
            </w:r>
          </w:p>
        </w:tc>
      </w:tr>
      <w:tr w:rsidR="00FC735A" w:rsidRPr="00AD54FA" w14:paraId="4DB1F070" w14:textId="77777777" w:rsidTr="00CE283E">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FDD2C2" w14:textId="77777777" w:rsidR="00FC735A" w:rsidRPr="00CC51F9" w:rsidRDefault="00FC735A" w:rsidP="00FC735A">
            <w:pPr>
              <w:adjustRightInd w:val="0"/>
              <w:snapToGrid w:val="0"/>
              <w:spacing w:after="120"/>
              <w:rPr>
                <w:rFonts w:ascii="Times New Roman" w:eastAsia="宋体" w:hAnsi="Times New Roman"/>
                <w:kern w:val="2"/>
                <w:sz w:val="24"/>
                <w:szCs w:val="24"/>
                <w:lang w:bidi="ar-SA"/>
              </w:rPr>
            </w:pPr>
          </w:p>
        </w:tc>
        <w:tc>
          <w:tcPr>
            <w:tcW w:w="6539" w:type="dxa"/>
            <w:gridSpan w:val="2"/>
            <w:tcBorders>
              <w:top w:val="single" w:sz="4" w:space="0" w:color="auto"/>
              <w:left w:val="single" w:sz="4" w:space="0" w:color="auto"/>
              <w:bottom w:val="single" w:sz="4" w:space="0" w:color="auto"/>
              <w:right w:val="single" w:sz="4" w:space="0" w:color="auto"/>
            </w:tcBorders>
            <w:hideMark/>
          </w:tcPr>
          <w:p w14:paraId="6F8B4A65" w14:textId="32942702" w:rsidR="00FC735A" w:rsidRPr="00CC51F9" w:rsidRDefault="00FC735A" w:rsidP="00E21625">
            <w:pPr>
              <w:widowControl w:val="0"/>
              <w:adjustRightInd w:val="0"/>
              <w:snapToGrid w:val="0"/>
              <w:spacing w:after="120"/>
              <w:rPr>
                <w:rFonts w:ascii="Times New Roman" w:eastAsia="宋体" w:hAnsi="Times New Roman"/>
                <w:kern w:val="2"/>
                <w:sz w:val="24"/>
                <w:szCs w:val="24"/>
                <w:lang w:bidi="ar-SA"/>
              </w:rPr>
            </w:pPr>
            <w:r w:rsidRPr="00CC51F9">
              <w:rPr>
                <w:rFonts w:ascii="Times New Roman" w:eastAsia="宋体" w:hAnsi="Times New Roman"/>
                <w:bCs/>
                <w:kern w:val="2"/>
                <w:sz w:val="24"/>
                <w:szCs w:val="24"/>
                <w:lang w:bidi="ar-SA"/>
              </w:rPr>
              <w:sym w:font="Wingdings" w:char="F0A8"/>
            </w:r>
            <w:r w:rsidRPr="00CC51F9">
              <w:rPr>
                <w:rFonts w:ascii="Times New Roman" w:eastAsia="宋体" w:hAnsi="Times New Roman"/>
                <w:bCs/>
                <w:kern w:val="2"/>
                <w:sz w:val="24"/>
                <w:szCs w:val="24"/>
                <w:lang w:bidi="ar-SA"/>
              </w:rPr>
              <w:t xml:space="preserve"> </w:t>
            </w:r>
            <w:r w:rsidR="00E21625" w:rsidRPr="00CC51F9">
              <w:rPr>
                <w:rFonts w:ascii="Times New Roman" w:eastAsia="宋体" w:hAnsi="Times New Roman"/>
                <w:bCs/>
                <w:kern w:val="2"/>
                <w:sz w:val="24"/>
                <w:szCs w:val="24"/>
                <w:lang w:bidi="ar-SA"/>
              </w:rPr>
              <w:t>3</w:t>
            </w:r>
            <w:r w:rsidR="00765061" w:rsidRPr="00CC51F9">
              <w:rPr>
                <w:rFonts w:ascii="Times New Roman" w:eastAsia="宋体" w:hAnsi="Times New Roman" w:hint="eastAsia"/>
                <w:bCs/>
                <w:kern w:val="2"/>
                <w:sz w:val="24"/>
                <w:szCs w:val="24"/>
                <w:lang w:bidi="ar-SA"/>
              </w:rPr>
              <w:t>、</w:t>
            </w:r>
            <w:r w:rsidR="00593948" w:rsidRPr="00593948">
              <w:rPr>
                <w:rFonts w:ascii="Times New Roman" w:eastAsia="宋体" w:hAnsi="Times New Roman" w:hint="eastAsia"/>
                <w:bCs/>
                <w:kern w:val="2"/>
                <w:sz w:val="24"/>
                <w:szCs w:val="24"/>
                <w:lang w:bidi="ar-SA"/>
              </w:rPr>
              <w:t>不在同一相关市场、也不存在上下游关系的参与集中的经营者，在与交易有关的每个市场所占的份额均小于</w:t>
            </w:r>
            <w:r w:rsidR="00593948" w:rsidRPr="00593948">
              <w:rPr>
                <w:rFonts w:ascii="Times New Roman" w:eastAsia="宋体" w:hAnsi="Times New Roman"/>
                <w:bCs/>
                <w:kern w:val="2"/>
                <w:sz w:val="24"/>
                <w:szCs w:val="24"/>
                <w:lang w:bidi="ar-SA"/>
              </w:rPr>
              <w:t>25%</w:t>
            </w:r>
            <w:r w:rsidR="00E21625" w:rsidRPr="00CC51F9">
              <w:rPr>
                <w:rFonts w:ascii="Times New Roman" w:eastAsia="宋体" w:hAnsi="Times New Roman" w:hint="eastAsia"/>
                <w:bCs/>
                <w:kern w:val="2"/>
                <w:sz w:val="24"/>
                <w:szCs w:val="24"/>
                <w:lang w:bidi="ar-SA"/>
              </w:rPr>
              <w:t>。</w:t>
            </w:r>
          </w:p>
        </w:tc>
      </w:tr>
      <w:tr w:rsidR="00FC735A" w:rsidRPr="00AD54FA" w14:paraId="0B648881" w14:textId="77777777" w:rsidTr="00CE283E">
        <w:trPr>
          <w:trHeight w:val="8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61DA52" w14:textId="77777777" w:rsidR="00FC735A" w:rsidRPr="00CC51F9" w:rsidRDefault="00FC735A" w:rsidP="00FC735A">
            <w:pPr>
              <w:adjustRightInd w:val="0"/>
              <w:snapToGrid w:val="0"/>
              <w:spacing w:after="120"/>
              <w:rPr>
                <w:rFonts w:ascii="Times New Roman" w:eastAsia="宋体" w:hAnsi="Times New Roman"/>
                <w:kern w:val="2"/>
                <w:sz w:val="24"/>
                <w:szCs w:val="24"/>
                <w:lang w:bidi="ar-SA"/>
              </w:rPr>
            </w:pPr>
          </w:p>
        </w:tc>
        <w:tc>
          <w:tcPr>
            <w:tcW w:w="6539" w:type="dxa"/>
            <w:gridSpan w:val="2"/>
            <w:tcBorders>
              <w:top w:val="single" w:sz="4" w:space="0" w:color="auto"/>
              <w:left w:val="single" w:sz="4" w:space="0" w:color="auto"/>
              <w:bottom w:val="single" w:sz="4" w:space="0" w:color="auto"/>
              <w:right w:val="single" w:sz="4" w:space="0" w:color="auto"/>
            </w:tcBorders>
            <w:hideMark/>
          </w:tcPr>
          <w:p w14:paraId="4B014944" w14:textId="2EE7A2FC" w:rsidR="00FC735A" w:rsidRPr="00CC51F9" w:rsidRDefault="00FC735A" w:rsidP="00FC735A">
            <w:pPr>
              <w:widowControl w:val="0"/>
              <w:adjustRightInd w:val="0"/>
              <w:snapToGrid w:val="0"/>
              <w:spacing w:after="120"/>
              <w:rPr>
                <w:rFonts w:ascii="Times New Roman" w:eastAsia="宋体" w:hAnsi="Times New Roman"/>
                <w:kern w:val="2"/>
                <w:sz w:val="24"/>
                <w:szCs w:val="24"/>
                <w:lang w:bidi="ar-SA"/>
              </w:rPr>
            </w:pPr>
            <w:r w:rsidRPr="00CC51F9">
              <w:rPr>
                <w:rFonts w:ascii="Times New Roman" w:eastAsia="宋体" w:hAnsi="Times New Roman"/>
                <w:bCs/>
                <w:kern w:val="2"/>
                <w:sz w:val="24"/>
                <w:szCs w:val="24"/>
                <w:lang w:bidi="ar-SA"/>
              </w:rPr>
              <w:sym w:font="Wingdings" w:char="F0A8"/>
            </w:r>
            <w:r w:rsidRPr="00CC51F9">
              <w:rPr>
                <w:rFonts w:ascii="Times New Roman" w:eastAsia="宋体" w:hAnsi="Times New Roman"/>
                <w:bCs/>
                <w:kern w:val="2"/>
                <w:sz w:val="24"/>
                <w:szCs w:val="24"/>
                <w:lang w:bidi="ar-SA"/>
              </w:rPr>
              <w:t xml:space="preserve"> 4</w:t>
            </w:r>
            <w:r w:rsidRPr="00CC51F9">
              <w:rPr>
                <w:rFonts w:ascii="Times New Roman" w:eastAsia="宋体" w:hAnsi="Times New Roman"/>
                <w:bCs/>
                <w:kern w:val="2"/>
                <w:sz w:val="24"/>
                <w:szCs w:val="24"/>
                <w:lang w:bidi="ar-SA"/>
              </w:rPr>
              <w:t>、</w:t>
            </w:r>
            <w:r w:rsidR="00803560" w:rsidRPr="00803560">
              <w:rPr>
                <w:rFonts w:ascii="Times New Roman" w:eastAsia="宋体" w:hAnsi="Times New Roman" w:hint="eastAsia"/>
                <w:bCs/>
                <w:kern w:val="2"/>
                <w:sz w:val="24"/>
                <w:szCs w:val="24"/>
                <w:lang w:bidi="ar-SA"/>
              </w:rPr>
              <w:t>参与集中的经营者在中国境外设立合营企业，合营企业不在中国境内从事经济活动</w:t>
            </w:r>
            <w:r w:rsidRPr="00CC51F9">
              <w:rPr>
                <w:rFonts w:ascii="Times New Roman" w:eastAsia="宋体" w:hAnsi="Times New Roman"/>
                <w:bCs/>
                <w:kern w:val="2"/>
                <w:sz w:val="24"/>
                <w:szCs w:val="24"/>
                <w:lang w:bidi="ar-SA"/>
              </w:rPr>
              <w:t>。</w:t>
            </w:r>
          </w:p>
        </w:tc>
      </w:tr>
      <w:tr w:rsidR="00FC735A" w:rsidRPr="00AD54FA" w14:paraId="3CD42E41" w14:textId="77777777" w:rsidTr="00CE283E">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D56554" w14:textId="77777777" w:rsidR="00FC735A" w:rsidRPr="00CC51F9" w:rsidRDefault="00FC735A" w:rsidP="00FC735A">
            <w:pPr>
              <w:adjustRightInd w:val="0"/>
              <w:snapToGrid w:val="0"/>
              <w:spacing w:after="120"/>
              <w:rPr>
                <w:rFonts w:ascii="Times New Roman" w:eastAsia="宋体" w:hAnsi="Times New Roman"/>
                <w:kern w:val="2"/>
                <w:sz w:val="24"/>
                <w:szCs w:val="24"/>
                <w:lang w:bidi="ar-SA"/>
              </w:rPr>
            </w:pPr>
          </w:p>
        </w:tc>
        <w:tc>
          <w:tcPr>
            <w:tcW w:w="6539" w:type="dxa"/>
            <w:gridSpan w:val="2"/>
            <w:tcBorders>
              <w:top w:val="single" w:sz="4" w:space="0" w:color="auto"/>
              <w:left w:val="single" w:sz="4" w:space="0" w:color="auto"/>
              <w:bottom w:val="single" w:sz="4" w:space="0" w:color="auto"/>
              <w:right w:val="single" w:sz="4" w:space="0" w:color="auto"/>
            </w:tcBorders>
            <w:hideMark/>
          </w:tcPr>
          <w:p w14:paraId="579CFE49" w14:textId="2B243B40" w:rsidR="00FC735A" w:rsidRPr="00CC51F9" w:rsidRDefault="00C82106" w:rsidP="00FC735A">
            <w:pPr>
              <w:widowControl w:val="0"/>
              <w:adjustRightInd w:val="0"/>
              <w:snapToGrid w:val="0"/>
              <w:spacing w:after="120"/>
              <w:rPr>
                <w:rFonts w:ascii="Times New Roman" w:eastAsia="宋体" w:hAnsi="Times New Roman"/>
                <w:kern w:val="2"/>
                <w:sz w:val="24"/>
                <w:szCs w:val="24"/>
                <w:lang w:bidi="ar-SA"/>
              </w:rPr>
            </w:pPr>
            <w:r w:rsidRPr="00CC51F9">
              <w:rPr>
                <w:rFonts w:ascii="Times New Roman" w:eastAsia="宋体" w:hAnsi="Times New Roman"/>
                <w:bCs/>
                <w:kern w:val="2"/>
                <w:sz w:val="24"/>
                <w:szCs w:val="24"/>
                <w:lang w:bidi="ar-SA"/>
              </w:rPr>
              <w:sym w:font="Wingdings" w:char="F0FE"/>
            </w:r>
            <w:r w:rsidR="00FC735A" w:rsidRPr="00CC51F9">
              <w:rPr>
                <w:rFonts w:ascii="Times New Roman" w:eastAsia="宋体" w:hAnsi="Times New Roman"/>
                <w:bCs/>
                <w:kern w:val="2"/>
                <w:sz w:val="24"/>
                <w:szCs w:val="24"/>
                <w:lang w:bidi="ar-SA"/>
              </w:rPr>
              <w:t xml:space="preserve"> 5</w:t>
            </w:r>
            <w:r w:rsidR="00FC735A" w:rsidRPr="00CC51F9">
              <w:rPr>
                <w:rFonts w:ascii="Times New Roman" w:eastAsia="宋体" w:hAnsi="Times New Roman"/>
                <w:bCs/>
                <w:kern w:val="2"/>
                <w:sz w:val="24"/>
                <w:szCs w:val="24"/>
                <w:lang w:bidi="ar-SA"/>
              </w:rPr>
              <w:t>、</w:t>
            </w:r>
            <w:r w:rsidR="00FE0323" w:rsidRPr="00FE0323">
              <w:rPr>
                <w:rFonts w:ascii="Times New Roman" w:eastAsia="宋体" w:hAnsi="Times New Roman" w:hint="eastAsia"/>
                <w:bCs/>
                <w:kern w:val="2"/>
                <w:sz w:val="24"/>
                <w:szCs w:val="24"/>
                <w:lang w:bidi="ar-SA"/>
              </w:rPr>
              <w:t>参与集中的经营者收购境外企业股权或资产的，该境外企业不在中国境内从事经济活动</w:t>
            </w:r>
            <w:r w:rsidR="00FC735A" w:rsidRPr="00CC51F9">
              <w:rPr>
                <w:rFonts w:ascii="Times New Roman" w:eastAsia="宋体" w:hAnsi="Times New Roman"/>
                <w:bCs/>
                <w:kern w:val="2"/>
                <w:sz w:val="24"/>
                <w:szCs w:val="24"/>
                <w:lang w:bidi="ar-SA"/>
              </w:rPr>
              <w:t>。</w:t>
            </w:r>
          </w:p>
        </w:tc>
      </w:tr>
      <w:tr w:rsidR="00FC735A" w:rsidRPr="00AD54FA" w14:paraId="22DE6E4E" w14:textId="77777777" w:rsidTr="00CE283E">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FF577E" w14:textId="77777777" w:rsidR="00FC735A" w:rsidRPr="00CC51F9" w:rsidRDefault="00FC735A" w:rsidP="00FC735A">
            <w:pPr>
              <w:adjustRightInd w:val="0"/>
              <w:snapToGrid w:val="0"/>
              <w:spacing w:after="120"/>
              <w:rPr>
                <w:rFonts w:ascii="Times New Roman" w:eastAsia="宋体" w:hAnsi="Times New Roman"/>
                <w:kern w:val="2"/>
                <w:sz w:val="24"/>
                <w:szCs w:val="24"/>
                <w:lang w:bidi="ar-SA"/>
              </w:rPr>
            </w:pPr>
          </w:p>
        </w:tc>
        <w:tc>
          <w:tcPr>
            <w:tcW w:w="6539" w:type="dxa"/>
            <w:gridSpan w:val="2"/>
            <w:tcBorders>
              <w:top w:val="single" w:sz="4" w:space="0" w:color="auto"/>
              <w:left w:val="single" w:sz="4" w:space="0" w:color="auto"/>
              <w:bottom w:val="single" w:sz="4" w:space="0" w:color="auto"/>
              <w:right w:val="single" w:sz="4" w:space="0" w:color="auto"/>
            </w:tcBorders>
            <w:hideMark/>
          </w:tcPr>
          <w:p w14:paraId="08CC5B7D" w14:textId="592651B8" w:rsidR="00FC735A" w:rsidRPr="00CC51F9" w:rsidRDefault="00FC735A" w:rsidP="00FC735A">
            <w:pPr>
              <w:widowControl w:val="0"/>
              <w:adjustRightInd w:val="0"/>
              <w:snapToGrid w:val="0"/>
              <w:spacing w:after="120"/>
              <w:rPr>
                <w:rFonts w:ascii="Times New Roman" w:eastAsia="宋体" w:hAnsi="Times New Roman"/>
                <w:kern w:val="2"/>
                <w:sz w:val="24"/>
                <w:szCs w:val="24"/>
                <w:lang w:bidi="ar-SA"/>
              </w:rPr>
            </w:pPr>
            <w:r w:rsidRPr="00CC51F9">
              <w:rPr>
                <w:rFonts w:ascii="Times New Roman" w:eastAsia="宋体" w:hAnsi="Times New Roman"/>
                <w:bCs/>
                <w:kern w:val="2"/>
                <w:sz w:val="24"/>
                <w:szCs w:val="24"/>
                <w:lang w:bidi="ar-SA"/>
              </w:rPr>
              <w:sym w:font="Wingdings" w:char="F0A8"/>
            </w:r>
            <w:r w:rsidRPr="00CC51F9">
              <w:rPr>
                <w:rFonts w:ascii="Times New Roman" w:eastAsia="宋体" w:hAnsi="Times New Roman"/>
                <w:kern w:val="2"/>
                <w:sz w:val="24"/>
                <w:szCs w:val="24"/>
                <w:lang w:bidi="ar-SA"/>
              </w:rPr>
              <w:t xml:space="preserve"> 6</w:t>
            </w:r>
            <w:r w:rsidRPr="00CC51F9">
              <w:rPr>
                <w:rFonts w:ascii="Times New Roman" w:eastAsia="宋体" w:hAnsi="Times New Roman"/>
                <w:kern w:val="2"/>
                <w:sz w:val="24"/>
                <w:szCs w:val="24"/>
                <w:lang w:bidi="ar-SA"/>
              </w:rPr>
              <w:t>、由两个以上的经营者共同控制的合营企业，通过集中被其中一个或一个以上经营者控制。</w:t>
            </w:r>
          </w:p>
        </w:tc>
      </w:tr>
      <w:tr w:rsidR="00C03A66" w:rsidRPr="00AD54FA" w14:paraId="0EF6DEDD" w14:textId="77777777" w:rsidTr="00CE283E">
        <w:tc>
          <w:tcPr>
            <w:tcW w:w="1736" w:type="dxa"/>
            <w:tcBorders>
              <w:top w:val="single" w:sz="4" w:space="0" w:color="auto"/>
              <w:left w:val="single" w:sz="4" w:space="0" w:color="auto"/>
              <w:bottom w:val="single" w:sz="4" w:space="0" w:color="auto"/>
              <w:right w:val="single" w:sz="4" w:space="0" w:color="auto"/>
            </w:tcBorders>
            <w:shd w:val="clear" w:color="auto" w:fill="D9D9D9"/>
            <w:hideMark/>
          </w:tcPr>
          <w:p w14:paraId="4A3A5A09" w14:textId="38DD83D5" w:rsidR="00C03A66" w:rsidRPr="00CC51F9" w:rsidRDefault="00FC735A" w:rsidP="00D45D24">
            <w:pPr>
              <w:widowControl w:val="0"/>
              <w:adjustRightInd w:val="0"/>
              <w:snapToGrid w:val="0"/>
              <w:spacing w:after="120"/>
              <w:rPr>
                <w:rFonts w:ascii="Times New Roman" w:eastAsia="宋体" w:hAnsi="Times New Roman"/>
                <w:kern w:val="2"/>
                <w:sz w:val="24"/>
                <w:szCs w:val="24"/>
                <w:lang w:bidi="ar-SA"/>
              </w:rPr>
            </w:pPr>
            <w:r w:rsidRPr="00CC51F9">
              <w:rPr>
                <w:rFonts w:ascii="Times New Roman" w:eastAsia="宋体" w:hAnsi="Times New Roman"/>
                <w:kern w:val="2"/>
                <w:sz w:val="24"/>
                <w:szCs w:val="24"/>
                <w:lang w:bidi="ar-SA"/>
              </w:rPr>
              <w:t>备注</w:t>
            </w:r>
          </w:p>
        </w:tc>
        <w:tc>
          <w:tcPr>
            <w:tcW w:w="6539" w:type="dxa"/>
            <w:gridSpan w:val="2"/>
            <w:tcBorders>
              <w:top w:val="single" w:sz="4" w:space="0" w:color="auto"/>
              <w:left w:val="single" w:sz="4" w:space="0" w:color="auto"/>
              <w:bottom w:val="single" w:sz="4" w:space="0" w:color="auto"/>
              <w:right w:val="single" w:sz="4" w:space="0" w:color="auto"/>
            </w:tcBorders>
          </w:tcPr>
          <w:p w14:paraId="3B9CF1D9" w14:textId="3EE33630" w:rsidR="000B3631" w:rsidRPr="00CC51F9" w:rsidRDefault="001D54C5" w:rsidP="00D45D24">
            <w:pPr>
              <w:widowControl w:val="0"/>
              <w:adjustRightInd w:val="0"/>
              <w:snapToGrid w:val="0"/>
              <w:spacing w:after="120"/>
              <w:rPr>
                <w:rFonts w:ascii="Times New Roman" w:eastAsia="宋体" w:hAnsi="Times New Roman"/>
                <w:kern w:val="2"/>
                <w:sz w:val="24"/>
                <w:szCs w:val="24"/>
                <w:lang w:bidi="ar-SA"/>
              </w:rPr>
            </w:pPr>
            <w:r w:rsidRPr="00CC51F9">
              <w:rPr>
                <w:rFonts w:ascii="Times New Roman" w:eastAsia="宋体" w:hAnsi="Times New Roman" w:hint="eastAsia"/>
                <w:kern w:val="2"/>
                <w:sz w:val="24"/>
                <w:szCs w:val="24"/>
                <w:lang w:bidi="ar-SA"/>
              </w:rPr>
              <w:t>不适用</w:t>
            </w:r>
          </w:p>
        </w:tc>
      </w:tr>
    </w:tbl>
    <w:p w14:paraId="2C2BF227" w14:textId="77777777" w:rsidR="0028726A" w:rsidRPr="00AD54FA" w:rsidRDefault="0028726A" w:rsidP="00D45D24">
      <w:pPr>
        <w:adjustRightInd w:val="0"/>
        <w:snapToGrid w:val="0"/>
        <w:spacing w:after="120"/>
        <w:rPr>
          <w:rFonts w:ascii="Times New Roman" w:hAnsi="Times New Roman"/>
          <w:sz w:val="24"/>
          <w:szCs w:val="24"/>
        </w:rPr>
      </w:pPr>
    </w:p>
    <w:sectPr w:rsidR="0028726A" w:rsidRPr="00AD54F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7B7D8" w14:textId="77777777" w:rsidR="0060079C" w:rsidRDefault="0060079C" w:rsidP="00C03A66">
      <w:r>
        <w:separator/>
      </w:r>
    </w:p>
  </w:endnote>
  <w:endnote w:type="continuationSeparator" w:id="0">
    <w:p w14:paraId="275B2A9B" w14:textId="77777777" w:rsidR="0060079C" w:rsidRDefault="0060079C" w:rsidP="00C03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0904B" w14:textId="77777777" w:rsidR="0060079C" w:rsidRDefault="0060079C" w:rsidP="00C03A66">
      <w:r>
        <w:separator/>
      </w:r>
    </w:p>
  </w:footnote>
  <w:footnote w:type="continuationSeparator" w:id="0">
    <w:p w14:paraId="17A78047" w14:textId="77777777" w:rsidR="0060079C" w:rsidRDefault="0060079C" w:rsidP="00C03A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05B2B"/>
    <w:multiLevelType w:val="hybridMultilevel"/>
    <w:tmpl w:val="859E8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50502"/>
    <w:multiLevelType w:val="multilevel"/>
    <w:tmpl w:val="8A8A5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3F35D5"/>
    <w:multiLevelType w:val="hybridMultilevel"/>
    <w:tmpl w:val="9BF45B56"/>
    <w:lvl w:ilvl="0" w:tplc="FA2645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22723990">
    <w:abstractNumId w:val="0"/>
  </w:num>
  <w:num w:numId="2" w16cid:durableId="962148261">
    <w:abstractNumId w:val="1"/>
  </w:num>
  <w:num w:numId="3" w16cid:durableId="1956478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A66"/>
    <w:rsid w:val="00001AC1"/>
    <w:rsid w:val="00003809"/>
    <w:rsid w:val="0000631D"/>
    <w:rsid w:val="00016071"/>
    <w:rsid w:val="00016134"/>
    <w:rsid w:val="00020180"/>
    <w:rsid w:val="000233E9"/>
    <w:rsid w:val="0003430F"/>
    <w:rsid w:val="00034478"/>
    <w:rsid w:val="000345F0"/>
    <w:rsid w:val="00047F45"/>
    <w:rsid w:val="00053284"/>
    <w:rsid w:val="00053688"/>
    <w:rsid w:val="00056816"/>
    <w:rsid w:val="00064C7A"/>
    <w:rsid w:val="000765C7"/>
    <w:rsid w:val="00080335"/>
    <w:rsid w:val="000868F1"/>
    <w:rsid w:val="000919FC"/>
    <w:rsid w:val="000A52F5"/>
    <w:rsid w:val="000A587C"/>
    <w:rsid w:val="000B267A"/>
    <w:rsid w:val="000B3631"/>
    <w:rsid w:val="000C0BFB"/>
    <w:rsid w:val="000C12D5"/>
    <w:rsid w:val="000C347D"/>
    <w:rsid w:val="000C5EB0"/>
    <w:rsid w:val="000C64AF"/>
    <w:rsid w:val="000C7D1C"/>
    <w:rsid w:val="000C7EF1"/>
    <w:rsid w:val="000D150B"/>
    <w:rsid w:val="000D18ED"/>
    <w:rsid w:val="000D6F23"/>
    <w:rsid w:val="000D7EB5"/>
    <w:rsid w:val="000E0AC8"/>
    <w:rsid w:val="000E18EA"/>
    <w:rsid w:val="000E2C8C"/>
    <w:rsid w:val="000E307E"/>
    <w:rsid w:val="000E3514"/>
    <w:rsid w:val="000E5173"/>
    <w:rsid w:val="000E586D"/>
    <w:rsid w:val="000F4685"/>
    <w:rsid w:val="000F6022"/>
    <w:rsid w:val="0010648A"/>
    <w:rsid w:val="001102CC"/>
    <w:rsid w:val="00114785"/>
    <w:rsid w:val="001147F0"/>
    <w:rsid w:val="001165E7"/>
    <w:rsid w:val="00116BC0"/>
    <w:rsid w:val="001279A8"/>
    <w:rsid w:val="001418DE"/>
    <w:rsid w:val="00141D1F"/>
    <w:rsid w:val="00142570"/>
    <w:rsid w:val="0014519F"/>
    <w:rsid w:val="00147D9A"/>
    <w:rsid w:val="00153078"/>
    <w:rsid w:val="00153384"/>
    <w:rsid w:val="001535E6"/>
    <w:rsid w:val="001562CB"/>
    <w:rsid w:val="001576A6"/>
    <w:rsid w:val="00157928"/>
    <w:rsid w:val="00161C31"/>
    <w:rsid w:val="0016252D"/>
    <w:rsid w:val="00162DB3"/>
    <w:rsid w:val="00166BEC"/>
    <w:rsid w:val="00176023"/>
    <w:rsid w:val="00177F47"/>
    <w:rsid w:val="00181202"/>
    <w:rsid w:val="001842EB"/>
    <w:rsid w:val="00184FE6"/>
    <w:rsid w:val="001859E3"/>
    <w:rsid w:val="0018718A"/>
    <w:rsid w:val="00190083"/>
    <w:rsid w:val="001905BE"/>
    <w:rsid w:val="00191F7D"/>
    <w:rsid w:val="00195F09"/>
    <w:rsid w:val="001A0EEE"/>
    <w:rsid w:val="001A3A2E"/>
    <w:rsid w:val="001A3CBC"/>
    <w:rsid w:val="001A3E84"/>
    <w:rsid w:val="001A40EF"/>
    <w:rsid w:val="001A4BBD"/>
    <w:rsid w:val="001B297A"/>
    <w:rsid w:val="001D398F"/>
    <w:rsid w:val="001D3C12"/>
    <w:rsid w:val="001D54C5"/>
    <w:rsid w:val="001D6E16"/>
    <w:rsid w:val="001E0330"/>
    <w:rsid w:val="001E0EB2"/>
    <w:rsid w:val="001E4E36"/>
    <w:rsid w:val="001F2824"/>
    <w:rsid w:val="001F3576"/>
    <w:rsid w:val="001F46FB"/>
    <w:rsid w:val="001F48AB"/>
    <w:rsid w:val="001F7466"/>
    <w:rsid w:val="001F75C8"/>
    <w:rsid w:val="001F7607"/>
    <w:rsid w:val="00202ED9"/>
    <w:rsid w:val="002118CE"/>
    <w:rsid w:val="00220FD0"/>
    <w:rsid w:val="00231B58"/>
    <w:rsid w:val="00237172"/>
    <w:rsid w:val="002402ED"/>
    <w:rsid w:val="00242460"/>
    <w:rsid w:val="002434F0"/>
    <w:rsid w:val="00246389"/>
    <w:rsid w:val="00246915"/>
    <w:rsid w:val="00247ABE"/>
    <w:rsid w:val="002502C5"/>
    <w:rsid w:val="00256E35"/>
    <w:rsid w:val="00261B96"/>
    <w:rsid w:val="00271DF8"/>
    <w:rsid w:val="00274C2E"/>
    <w:rsid w:val="002750F4"/>
    <w:rsid w:val="00281320"/>
    <w:rsid w:val="002832FB"/>
    <w:rsid w:val="00283718"/>
    <w:rsid w:val="00286A5D"/>
    <w:rsid w:val="0028726A"/>
    <w:rsid w:val="002945F2"/>
    <w:rsid w:val="00295959"/>
    <w:rsid w:val="002A629F"/>
    <w:rsid w:val="002A6394"/>
    <w:rsid w:val="002A7D1C"/>
    <w:rsid w:val="002B06E5"/>
    <w:rsid w:val="002B089A"/>
    <w:rsid w:val="002B13F8"/>
    <w:rsid w:val="002B1EBD"/>
    <w:rsid w:val="002B2A16"/>
    <w:rsid w:val="002C522B"/>
    <w:rsid w:val="002C7140"/>
    <w:rsid w:val="002D2768"/>
    <w:rsid w:val="002D2BB1"/>
    <w:rsid w:val="002E1886"/>
    <w:rsid w:val="002E1DF5"/>
    <w:rsid w:val="002F5410"/>
    <w:rsid w:val="002F5BAD"/>
    <w:rsid w:val="002F6989"/>
    <w:rsid w:val="00303929"/>
    <w:rsid w:val="00307E12"/>
    <w:rsid w:val="00307EA7"/>
    <w:rsid w:val="003128FF"/>
    <w:rsid w:val="003233E5"/>
    <w:rsid w:val="003322AB"/>
    <w:rsid w:val="00335C9E"/>
    <w:rsid w:val="00343AB9"/>
    <w:rsid w:val="003444BD"/>
    <w:rsid w:val="003501DE"/>
    <w:rsid w:val="00372A86"/>
    <w:rsid w:val="003738D2"/>
    <w:rsid w:val="00375F69"/>
    <w:rsid w:val="00376507"/>
    <w:rsid w:val="003867D6"/>
    <w:rsid w:val="00387AFF"/>
    <w:rsid w:val="003A3E79"/>
    <w:rsid w:val="003A51DE"/>
    <w:rsid w:val="003A5FBE"/>
    <w:rsid w:val="003A72C7"/>
    <w:rsid w:val="003A7624"/>
    <w:rsid w:val="003B570E"/>
    <w:rsid w:val="003B7D47"/>
    <w:rsid w:val="003C319C"/>
    <w:rsid w:val="003D5487"/>
    <w:rsid w:val="003D5BE2"/>
    <w:rsid w:val="003E2461"/>
    <w:rsid w:val="003F3E65"/>
    <w:rsid w:val="003F7EAA"/>
    <w:rsid w:val="004005C2"/>
    <w:rsid w:val="004056A6"/>
    <w:rsid w:val="0040750E"/>
    <w:rsid w:val="0041083C"/>
    <w:rsid w:val="00415F5B"/>
    <w:rsid w:val="00417054"/>
    <w:rsid w:val="00417122"/>
    <w:rsid w:val="004231B0"/>
    <w:rsid w:val="00431DAF"/>
    <w:rsid w:val="0043725D"/>
    <w:rsid w:val="00437FE4"/>
    <w:rsid w:val="0044696B"/>
    <w:rsid w:val="00462180"/>
    <w:rsid w:val="00463DBF"/>
    <w:rsid w:val="00465222"/>
    <w:rsid w:val="00471566"/>
    <w:rsid w:val="00473B1C"/>
    <w:rsid w:val="00474E1F"/>
    <w:rsid w:val="00483F47"/>
    <w:rsid w:val="0048772B"/>
    <w:rsid w:val="004B3221"/>
    <w:rsid w:val="004B397A"/>
    <w:rsid w:val="004B4C9C"/>
    <w:rsid w:val="004B7AAC"/>
    <w:rsid w:val="004C2632"/>
    <w:rsid w:val="004C591F"/>
    <w:rsid w:val="004C7648"/>
    <w:rsid w:val="004D1DE0"/>
    <w:rsid w:val="004D3E49"/>
    <w:rsid w:val="004E3413"/>
    <w:rsid w:val="004E6502"/>
    <w:rsid w:val="004E70A6"/>
    <w:rsid w:val="004F00C2"/>
    <w:rsid w:val="004F1E72"/>
    <w:rsid w:val="004F3E51"/>
    <w:rsid w:val="004F5984"/>
    <w:rsid w:val="004F7CFC"/>
    <w:rsid w:val="0051367F"/>
    <w:rsid w:val="00515C33"/>
    <w:rsid w:val="00523D80"/>
    <w:rsid w:val="00524FDF"/>
    <w:rsid w:val="0053652F"/>
    <w:rsid w:val="00541733"/>
    <w:rsid w:val="00542199"/>
    <w:rsid w:val="0054649F"/>
    <w:rsid w:val="00560917"/>
    <w:rsid w:val="0056183D"/>
    <w:rsid w:val="00570B0D"/>
    <w:rsid w:val="005774EC"/>
    <w:rsid w:val="00577904"/>
    <w:rsid w:val="00577F66"/>
    <w:rsid w:val="00581D5A"/>
    <w:rsid w:val="00585613"/>
    <w:rsid w:val="005858F5"/>
    <w:rsid w:val="00585F5A"/>
    <w:rsid w:val="00590C40"/>
    <w:rsid w:val="00591564"/>
    <w:rsid w:val="00593948"/>
    <w:rsid w:val="00594C2E"/>
    <w:rsid w:val="005A0196"/>
    <w:rsid w:val="005A1967"/>
    <w:rsid w:val="005A5167"/>
    <w:rsid w:val="005A5866"/>
    <w:rsid w:val="005B0072"/>
    <w:rsid w:val="005B5C0A"/>
    <w:rsid w:val="005B5EF9"/>
    <w:rsid w:val="005B64FC"/>
    <w:rsid w:val="005B75DC"/>
    <w:rsid w:val="005C2974"/>
    <w:rsid w:val="005C4D42"/>
    <w:rsid w:val="005C65A4"/>
    <w:rsid w:val="005D0045"/>
    <w:rsid w:val="005D0450"/>
    <w:rsid w:val="005D05AA"/>
    <w:rsid w:val="005D4A5B"/>
    <w:rsid w:val="005D78D2"/>
    <w:rsid w:val="005E1004"/>
    <w:rsid w:val="005E1E32"/>
    <w:rsid w:val="005E3AF0"/>
    <w:rsid w:val="005E6C87"/>
    <w:rsid w:val="005F08C8"/>
    <w:rsid w:val="005F11B4"/>
    <w:rsid w:val="005F194D"/>
    <w:rsid w:val="005F4293"/>
    <w:rsid w:val="005F4E16"/>
    <w:rsid w:val="005F7118"/>
    <w:rsid w:val="0060079C"/>
    <w:rsid w:val="0060132F"/>
    <w:rsid w:val="00601A7C"/>
    <w:rsid w:val="00613FFC"/>
    <w:rsid w:val="00615DA0"/>
    <w:rsid w:val="00616A29"/>
    <w:rsid w:val="00620283"/>
    <w:rsid w:val="006203E4"/>
    <w:rsid w:val="006208E8"/>
    <w:rsid w:val="00631B2E"/>
    <w:rsid w:val="0063227D"/>
    <w:rsid w:val="00641861"/>
    <w:rsid w:val="00647656"/>
    <w:rsid w:val="0065625D"/>
    <w:rsid w:val="0065766D"/>
    <w:rsid w:val="00660C8D"/>
    <w:rsid w:val="00660ED2"/>
    <w:rsid w:val="006649A1"/>
    <w:rsid w:val="006673F1"/>
    <w:rsid w:val="00670591"/>
    <w:rsid w:val="00671D94"/>
    <w:rsid w:val="006805AA"/>
    <w:rsid w:val="00681AC7"/>
    <w:rsid w:val="0068593E"/>
    <w:rsid w:val="00692BF8"/>
    <w:rsid w:val="006A15A8"/>
    <w:rsid w:val="006A52F1"/>
    <w:rsid w:val="006A7932"/>
    <w:rsid w:val="006B2D53"/>
    <w:rsid w:val="006C182E"/>
    <w:rsid w:val="006C1C7D"/>
    <w:rsid w:val="006C5ECC"/>
    <w:rsid w:val="006C75A3"/>
    <w:rsid w:val="006E04AB"/>
    <w:rsid w:val="006E104C"/>
    <w:rsid w:val="006F13B5"/>
    <w:rsid w:val="006F166E"/>
    <w:rsid w:val="006F535E"/>
    <w:rsid w:val="00700A03"/>
    <w:rsid w:val="00702742"/>
    <w:rsid w:val="0070694B"/>
    <w:rsid w:val="007139A0"/>
    <w:rsid w:val="00714C5A"/>
    <w:rsid w:val="00721B43"/>
    <w:rsid w:val="00724531"/>
    <w:rsid w:val="007251D3"/>
    <w:rsid w:val="00726918"/>
    <w:rsid w:val="007278F6"/>
    <w:rsid w:val="0073398A"/>
    <w:rsid w:val="007360F6"/>
    <w:rsid w:val="00736B02"/>
    <w:rsid w:val="00744C62"/>
    <w:rsid w:val="00750F1E"/>
    <w:rsid w:val="0075428C"/>
    <w:rsid w:val="00763461"/>
    <w:rsid w:val="00765061"/>
    <w:rsid w:val="007654F5"/>
    <w:rsid w:val="00766AB2"/>
    <w:rsid w:val="00767B3F"/>
    <w:rsid w:val="00771DDE"/>
    <w:rsid w:val="00774BF3"/>
    <w:rsid w:val="00780236"/>
    <w:rsid w:val="00784623"/>
    <w:rsid w:val="0078559F"/>
    <w:rsid w:val="007902B9"/>
    <w:rsid w:val="007943D9"/>
    <w:rsid w:val="00795F11"/>
    <w:rsid w:val="007A1DB2"/>
    <w:rsid w:val="007A440A"/>
    <w:rsid w:val="007A74A9"/>
    <w:rsid w:val="007B2281"/>
    <w:rsid w:val="007B25AA"/>
    <w:rsid w:val="007B28B8"/>
    <w:rsid w:val="007B4E8F"/>
    <w:rsid w:val="007C0A76"/>
    <w:rsid w:val="007C2322"/>
    <w:rsid w:val="007C506D"/>
    <w:rsid w:val="007C77D6"/>
    <w:rsid w:val="007D0315"/>
    <w:rsid w:val="007D0386"/>
    <w:rsid w:val="007D09D8"/>
    <w:rsid w:val="007D46EB"/>
    <w:rsid w:val="007D6D0E"/>
    <w:rsid w:val="007E0127"/>
    <w:rsid w:val="007E28F2"/>
    <w:rsid w:val="007E292A"/>
    <w:rsid w:val="007E4362"/>
    <w:rsid w:val="007F1E70"/>
    <w:rsid w:val="007F266F"/>
    <w:rsid w:val="007F430C"/>
    <w:rsid w:val="007F59C2"/>
    <w:rsid w:val="00800383"/>
    <w:rsid w:val="00802622"/>
    <w:rsid w:val="008031E1"/>
    <w:rsid w:val="0080350C"/>
    <w:rsid w:val="00803560"/>
    <w:rsid w:val="00804588"/>
    <w:rsid w:val="008062EB"/>
    <w:rsid w:val="00812BED"/>
    <w:rsid w:val="008175E7"/>
    <w:rsid w:val="00817B22"/>
    <w:rsid w:val="0082482C"/>
    <w:rsid w:val="008253DE"/>
    <w:rsid w:val="00826B9D"/>
    <w:rsid w:val="00836176"/>
    <w:rsid w:val="00836556"/>
    <w:rsid w:val="00840C72"/>
    <w:rsid w:val="0084160A"/>
    <w:rsid w:val="008449BD"/>
    <w:rsid w:val="00851978"/>
    <w:rsid w:val="00852DD6"/>
    <w:rsid w:val="00860D36"/>
    <w:rsid w:val="00863655"/>
    <w:rsid w:val="00871405"/>
    <w:rsid w:val="0087407B"/>
    <w:rsid w:val="00876123"/>
    <w:rsid w:val="00882D14"/>
    <w:rsid w:val="00890196"/>
    <w:rsid w:val="00894186"/>
    <w:rsid w:val="008945BA"/>
    <w:rsid w:val="008A7A56"/>
    <w:rsid w:val="008B01AE"/>
    <w:rsid w:val="008B12FC"/>
    <w:rsid w:val="008B4999"/>
    <w:rsid w:val="008B5A77"/>
    <w:rsid w:val="008B6F01"/>
    <w:rsid w:val="008C2490"/>
    <w:rsid w:val="008C4E22"/>
    <w:rsid w:val="008C4E41"/>
    <w:rsid w:val="008E4465"/>
    <w:rsid w:val="008E75DC"/>
    <w:rsid w:val="008F5E89"/>
    <w:rsid w:val="008F7F2F"/>
    <w:rsid w:val="009025D6"/>
    <w:rsid w:val="00910ED6"/>
    <w:rsid w:val="009116F4"/>
    <w:rsid w:val="00922E7D"/>
    <w:rsid w:val="00936344"/>
    <w:rsid w:val="00956C04"/>
    <w:rsid w:val="0096008F"/>
    <w:rsid w:val="009662BD"/>
    <w:rsid w:val="00966B4C"/>
    <w:rsid w:val="0097298A"/>
    <w:rsid w:val="009763D3"/>
    <w:rsid w:val="00980819"/>
    <w:rsid w:val="0098418D"/>
    <w:rsid w:val="00985653"/>
    <w:rsid w:val="0098683D"/>
    <w:rsid w:val="00993238"/>
    <w:rsid w:val="0099333F"/>
    <w:rsid w:val="00993F97"/>
    <w:rsid w:val="00995F06"/>
    <w:rsid w:val="0099631E"/>
    <w:rsid w:val="009967B0"/>
    <w:rsid w:val="009A010D"/>
    <w:rsid w:val="009A1805"/>
    <w:rsid w:val="009A18D8"/>
    <w:rsid w:val="009A53AF"/>
    <w:rsid w:val="009B343C"/>
    <w:rsid w:val="009B3C44"/>
    <w:rsid w:val="009C285C"/>
    <w:rsid w:val="009C398C"/>
    <w:rsid w:val="009C5A1C"/>
    <w:rsid w:val="009D0E64"/>
    <w:rsid w:val="009D1103"/>
    <w:rsid w:val="009D680B"/>
    <w:rsid w:val="009D6D57"/>
    <w:rsid w:val="009E3E24"/>
    <w:rsid w:val="009F0060"/>
    <w:rsid w:val="009F5587"/>
    <w:rsid w:val="009F7721"/>
    <w:rsid w:val="00A003E8"/>
    <w:rsid w:val="00A02388"/>
    <w:rsid w:val="00A04A42"/>
    <w:rsid w:val="00A05865"/>
    <w:rsid w:val="00A07521"/>
    <w:rsid w:val="00A11201"/>
    <w:rsid w:val="00A11297"/>
    <w:rsid w:val="00A12328"/>
    <w:rsid w:val="00A13720"/>
    <w:rsid w:val="00A16183"/>
    <w:rsid w:val="00A224A4"/>
    <w:rsid w:val="00A279E7"/>
    <w:rsid w:val="00A30761"/>
    <w:rsid w:val="00A30F26"/>
    <w:rsid w:val="00A34290"/>
    <w:rsid w:val="00A37BF6"/>
    <w:rsid w:val="00A42EF5"/>
    <w:rsid w:val="00A506D0"/>
    <w:rsid w:val="00A53964"/>
    <w:rsid w:val="00A63872"/>
    <w:rsid w:val="00A6604F"/>
    <w:rsid w:val="00A7256A"/>
    <w:rsid w:val="00A74B97"/>
    <w:rsid w:val="00A9462A"/>
    <w:rsid w:val="00A95E21"/>
    <w:rsid w:val="00AA4408"/>
    <w:rsid w:val="00AA6315"/>
    <w:rsid w:val="00AA6F3E"/>
    <w:rsid w:val="00AB3FF0"/>
    <w:rsid w:val="00AB6510"/>
    <w:rsid w:val="00AC4B34"/>
    <w:rsid w:val="00AD0E45"/>
    <w:rsid w:val="00AD2F90"/>
    <w:rsid w:val="00AD356B"/>
    <w:rsid w:val="00AD3B31"/>
    <w:rsid w:val="00AD41CB"/>
    <w:rsid w:val="00AD54FA"/>
    <w:rsid w:val="00AE3748"/>
    <w:rsid w:val="00AE463B"/>
    <w:rsid w:val="00AF59E7"/>
    <w:rsid w:val="00AF616A"/>
    <w:rsid w:val="00B0026F"/>
    <w:rsid w:val="00B01FEA"/>
    <w:rsid w:val="00B02D82"/>
    <w:rsid w:val="00B0740D"/>
    <w:rsid w:val="00B105FE"/>
    <w:rsid w:val="00B10CD9"/>
    <w:rsid w:val="00B115C9"/>
    <w:rsid w:val="00B13A1D"/>
    <w:rsid w:val="00B14CDA"/>
    <w:rsid w:val="00B1548E"/>
    <w:rsid w:val="00B24528"/>
    <w:rsid w:val="00B25DA4"/>
    <w:rsid w:val="00B33322"/>
    <w:rsid w:val="00B33E21"/>
    <w:rsid w:val="00B47F67"/>
    <w:rsid w:val="00B53CFB"/>
    <w:rsid w:val="00B546BE"/>
    <w:rsid w:val="00B5640F"/>
    <w:rsid w:val="00B57907"/>
    <w:rsid w:val="00B624D3"/>
    <w:rsid w:val="00B635EC"/>
    <w:rsid w:val="00B70415"/>
    <w:rsid w:val="00B71282"/>
    <w:rsid w:val="00B905B6"/>
    <w:rsid w:val="00B96664"/>
    <w:rsid w:val="00BA7EFE"/>
    <w:rsid w:val="00BB3E91"/>
    <w:rsid w:val="00BB4F8B"/>
    <w:rsid w:val="00BB7CF0"/>
    <w:rsid w:val="00BC01AD"/>
    <w:rsid w:val="00BC078C"/>
    <w:rsid w:val="00BC0AE3"/>
    <w:rsid w:val="00BC655C"/>
    <w:rsid w:val="00BD29FB"/>
    <w:rsid w:val="00BD57E7"/>
    <w:rsid w:val="00BF36BB"/>
    <w:rsid w:val="00BF3751"/>
    <w:rsid w:val="00BF5191"/>
    <w:rsid w:val="00C02005"/>
    <w:rsid w:val="00C03A66"/>
    <w:rsid w:val="00C10F1B"/>
    <w:rsid w:val="00C110BB"/>
    <w:rsid w:val="00C15187"/>
    <w:rsid w:val="00C173D9"/>
    <w:rsid w:val="00C266B4"/>
    <w:rsid w:val="00C27E95"/>
    <w:rsid w:val="00C35FB5"/>
    <w:rsid w:val="00C46EAA"/>
    <w:rsid w:val="00C52398"/>
    <w:rsid w:val="00C52DEF"/>
    <w:rsid w:val="00C55BD4"/>
    <w:rsid w:val="00C60634"/>
    <w:rsid w:val="00C61024"/>
    <w:rsid w:val="00C7144B"/>
    <w:rsid w:val="00C71770"/>
    <w:rsid w:val="00C71D1F"/>
    <w:rsid w:val="00C75958"/>
    <w:rsid w:val="00C813DD"/>
    <w:rsid w:val="00C81F31"/>
    <w:rsid w:val="00C82106"/>
    <w:rsid w:val="00C92C69"/>
    <w:rsid w:val="00C93A81"/>
    <w:rsid w:val="00C94B73"/>
    <w:rsid w:val="00CA3F9B"/>
    <w:rsid w:val="00CA4733"/>
    <w:rsid w:val="00CA50C8"/>
    <w:rsid w:val="00CB26E9"/>
    <w:rsid w:val="00CB32DB"/>
    <w:rsid w:val="00CB38C4"/>
    <w:rsid w:val="00CB552C"/>
    <w:rsid w:val="00CB7C8E"/>
    <w:rsid w:val="00CC130B"/>
    <w:rsid w:val="00CC51F9"/>
    <w:rsid w:val="00CD09B0"/>
    <w:rsid w:val="00CD2262"/>
    <w:rsid w:val="00CD31C8"/>
    <w:rsid w:val="00CD38BF"/>
    <w:rsid w:val="00CD4120"/>
    <w:rsid w:val="00CE1B03"/>
    <w:rsid w:val="00CE283E"/>
    <w:rsid w:val="00CE7451"/>
    <w:rsid w:val="00CF61AD"/>
    <w:rsid w:val="00CF6EC6"/>
    <w:rsid w:val="00D007B0"/>
    <w:rsid w:val="00D01025"/>
    <w:rsid w:val="00D02701"/>
    <w:rsid w:val="00D10592"/>
    <w:rsid w:val="00D1156B"/>
    <w:rsid w:val="00D15099"/>
    <w:rsid w:val="00D16194"/>
    <w:rsid w:val="00D16AD1"/>
    <w:rsid w:val="00D213B6"/>
    <w:rsid w:val="00D22D42"/>
    <w:rsid w:val="00D241CE"/>
    <w:rsid w:val="00D255AC"/>
    <w:rsid w:val="00D26A02"/>
    <w:rsid w:val="00D30F39"/>
    <w:rsid w:val="00D31576"/>
    <w:rsid w:val="00D317EF"/>
    <w:rsid w:val="00D31A30"/>
    <w:rsid w:val="00D31B09"/>
    <w:rsid w:val="00D44A80"/>
    <w:rsid w:val="00D45D24"/>
    <w:rsid w:val="00D53E07"/>
    <w:rsid w:val="00D60215"/>
    <w:rsid w:val="00D60B2D"/>
    <w:rsid w:val="00D6272A"/>
    <w:rsid w:val="00D64CC9"/>
    <w:rsid w:val="00D76295"/>
    <w:rsid w:val="00D83832"/>
    <w:rsid w:val="00D83EB7"/>
    <w:rsid w:val="00D90F9E"/>
    <w:rsid w:val="00D95232"/>
    <w:rsid w:val="00D97BD4"/>
    <w:rsid w:val="00DA04FE"/>
    <w:rsid w:val="00DA2155"/>
    <w:rsid w:val="00DA2B89"/>
    <w:rsid w:val="00DA5202"/>
    <w:rsid w:val="00DB6246"/>
    <w:rsid w:val="00DB684E"/>
    <w:rsid w:val="00DC631B"/>
    <w:rsid w:val="00DD1AAF"/>
    <w:rsid w:val="00DD47C4"/>
    <w:rsid w:val="00DD5685"/>
    <w:rsid w:val="00DD74DD"/>
    <w:rsid w:val="00DE07C2"/>
    <w:rsid w:val="00DE0C66"/>
    <w:rsid w:val="00DE3031"/>
    <w:rsid w:val="00DE75CF"/>
    <w:rsid w:val="00DE7713"/>
    <w:rsid w:val="00DE7EBA"/>
    <w:rsid w:val="00DF0D77"/>
    <w:rsid w:val="00DF25A9"/>
    <w:rsid w:val="00DF2F1A"/>
    <w:rsid w:val="00DF34B8"/>
    <w:rsid w:val="00DF4C78"/>
    <w:rsid w:val="00DF54A6"/>
    <w:rsid w:val="00DF60CC"/>
    <w:rsid w:val="00DF60E1"/>
    <w:rsid w:val="00DF60E2"/>
    <w:rsid w:val="00DF7ED3"/>
    <w:rsid w:val="00E003EA"/>
    <w:rsid w:val="00E012C8"/>
    <w:rsid w:val="00E03535"/>
    <w:rsid w:val="00E11251"/>
    <w:rsid w:val="00E1780A"/>
    <w:rsid w:val="00E20692"/>
    <w:rsid w:val="00E21625"/>
    <w:rsid w:val="00E228E0"/>
    <w:rsid w:val="00E23BDC"/>
    <w:rsid w:val="00E27569"/>
    <w:rsid w:val="00E32236"/>
    <w:rsid w:val="00E33ACF"/>
    <w:rsid w:val="00E33BD1"/>
    <w:rsid w:val="00E40258"/>
    <w:rsid w:val="00E44851"/>
    <w:rsid w:val="00E45B4B"/>
    <w:rsid w:val="00E612A0"/>
    <w:rsid w:val="00E621AC"/>
    <w:rsid w:val="00E661A0"/>
    <w:rsid w:val="00E66A19"/>
    <w:rsid w:val="00E7236B"/>
    <w:rsid w:val="00E75BD7"/>
    <w:rsid w:val="00E76898"/>
    <w:rsid w:val="00E9275D"/>
    <w:rsid w:val="00E93713"/>
    <w:rsid w:val="00E97422"/>
    <w:rsid w:val="00EA03EC"/>
    <w:rsid w:val="00EA0738"/>
    <w:rsid w:val="00EA53D8"/>
    <w:rsid w:val="00EA744B"/>
    <w:rsid w:val="00EB04D9"/>
    <w:rsid w:val="00EB6471"/>
    <w:rsid w:val="00EB7F60"/>
    <w:rsid w:val="00EC0783"/>
    <w:rsid w:val="00EC3FE9"/>
    <w:rsid w:val="00EC665A"/>
    <w:rsid w:val="00ED4B44"/>
    <w:rsid w:val="00ED4DE9"/>
    <w:rsid w:val="00EE15B1"/>
    <w:rsid w:val="00EE554F"/>
    <w:rsid w:val="00EF0205"/>
    <w:rsid w:val="00EF0271"/>
    <w:rsid w:val="00EF04C7"/>
    <w:rsid w:val="00EF564F"/>
    <w:rsid w:val="00EF73A8"/>
    <w:rsid w:val="00EF7B97"/>
    <w:rsid w:val="00F02FC9"/>
    <w:rsid w:val="00F04890"/>
    <w:rsid w:val="00F14D16"/>
    <w:rsid w:val="00F2296B"/>
    <w:rsid w:val="00F26FD2"/>
    <w:rsid w:val="00F30E46"/>
    <w:rsid w:val="00F32553"/>
    <w:rsid w:val="00F35C93"/>
    <w:rsid w:val="00F35CBD"/>
    <w:rsid w:val="00F40019"/>
    <w:rsid w:val="00F41988"/>
    <w:rsid w:val="00F42CBB"/>
    <w:rsid w:val="00F465DF"/>
    <w:rsid w:val="00F46D5B"/>
    <w:rsid w:val="00F56576"/>
    <w:rsid w:val="00F57C05"/>
    <w:rsid w:val="00F6253F"/>
    <w:rsid w:val="00F6362E"/>
    <w:rsid w:val="00F650BB"/>
    <w:rsid w:val="00F660D2"/>
    <w:rsid w:val="00F667BE"/>
    <w:rsid w:val="00F66B31"/>
    <w:rsid w:val="00F7037F"/>
    <w:rsid w:val="00F74621"/>
    <w:rsid w:val="00F7661D"/>
    <w:rsid w:val="00F76CE1"/>
    <w:rsid w:val="00F824C6"/>
    <w:rsid w:val="00F90164"/>
    <w:rsid w:val="00F951E6"/>
    <w:rsid w:val="00F9666F"/>
    <w:rsid w:val="00FA364D"/>
    <w:rsid w:val="00FA4B1D"/>
    <w:rsid w:val="00FA6401"/>
    <w:rsid w:val="00FA674A"/>
    <w:rsid w:val="00FA7556"/>
    <w:rsid w:val="00FB02E2"/>
    <w:rsid w:val="00FB553E"/>
    <w:rsid w:val="00FB695B"/>
    <w:rsid w:val="00FB76A9"/>
    <w:rsid w:val="00FC7231"/>
    <w:rsid w:val="00FC735A"/>
    <w:rsid w:val="00FC7512"/>
    <w:rsid w:val="00FD1871"/>
    <w:rsid w:val="00FD1D48"/>
    <w:rsid w:val="00FD2D34"/>
    <w:rsid w:val="00FD697F"/>
    <w:rsid w:val="00FD7CAE"/>
    <w:rsid w:val="00FE0323"/>
    <w:rsid w:val="00FE094B"/>
    <w:rsid w:val="00FE4FAD"/>
    <w:rsid w:val="00FE62C2"/>
    <w:rsid w:val="00FE7562"/>
    <w:rsid w:val="00FF09D4"/>
    <w:rsid w:val="00FF645C"/>
    <w:rsid w:val="00FF67B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E34FE"/>
  <w15:chartTrackingRefBased/>
  <w15:docId w15:val="{ED4C7F2A-703E-4C0A-AE22-BDCD150A0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F06"/>
    <w:pPr>
      <w:spacing w:after="0" w:line="240" w:lineRule="auto"/>
    </w:pPr>
    <w:rPr>
      <w:rFonts w:ascii="Calibri" w:eastAsia="MS Mincho" w:hAnsi="Calibri" w:cs="Times New Roman"/>
      <w:sz w:val="20"/>
      <w:szCs w:val="20"/>
      <w:lang w:val="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3A66"/>
    <w:pPr>
      <w:tabs>
        <w:tab w:val="center" w:pos="4153"/>
        <w:tab w:val="right" w:pos="8306"/>
      </w:tabs>
    </w:pPr>
    <w:rPr>
      <w:rFonts w:asciiTheme="minorHAnsi" w:eastAsiaTheme="minorEastAsia" w:hAnsiTheme="minorHAnsi" w:cstheme="minorBidi"/>
      <w:sz w:val="22"/>
      <w:szCs w:val="22"/>
      <w:lang w:val="en-GB" w:bidi="ar-SA"/>
    </w:rPr>
  </w:style>
  <w:style w:type="character" w:customStyle="1" w:styleId="HeaderChar">
    <w:name w:val="Header Char"/>
    <w:basedOn w:val="DefaultParagraphFont"/>
    <w:link w:val="Header"/>
    <w:uiPriority w:val="99"/>
    <w:rsid w:val="00C03A66"/>
  </w:style>
  <w:style w:type="paragraph" w:styleId="Footer">
    <w:name w:val="footer"/>
    <w:basedOn w:val="Normal"/>
    <w:link w:val="FooterChar"/>
    <w:uiPriority w:val="99"/>
    <w:unhideWhenUsed/>
    <w:rsid w:val="00C03A66"/>
    <w:pPr>
      <w:tabs>
        <w:tab w:val="center" w:pos="4153"/>
        <w:tab w:val="right" w:pos="8306"/>
      </w:tabs>
    </w:pPr>
    <w:rPr>
      <w:rFonts w:asciiTheme="minorHAnsi" w:eastAsiaTheme="minorEastAsia" w:hAnsiTheme="minorHAnsi" w:cstheme="minorBidi"/>
      <w:sz w:val="22"/>
      <w:szCs w:val="22"/>
      <w:lang w:val="en-GB" w:bidi="ar-SA"/>
    </w:rPr>
  </w:style>
  <w:style w:type="character" w:customStyle="1" w:styleId="FooterChar">
    <w:name w:val="Footer Char"/>
    <w:basedOn w:val="DefaultParagraphFont"/>
    <w:link w:val="Footer"/>
    <w:uiPriority w:val="99"/>
    <w:rsid w:val="00C03A66"/>
  </w:style>
  <w:style w:type="paragraph" w:styleId="Revision">
    <w:name w:val="Revision"/>
    <w:hidden/>
    <w:uiPriority w:val="99"/>
    <w:semiHidden/>
    <w:rsid w:val="009C285C"/>
    <w:pPr>
      <w:spacing w:after="0" w:line="240" w:lineRule="auto"/>
    </w:pPr>
    <w:rPr>
      <w:rFonts w:ascii="Calibri" w:eastAsia="MS Mincho" w:hAnsi="Calibri" w:cs="Times New Roman"/>
      <w:sz w:val="20"/>
      <w:szCs w:val="20"/>
      <w:lang w:val="en-US" w:bidi="he-IL"/>
    </w:rPr>
  </w:style>
  <w:style w:type="paragraph" w:styleId="BalloonText">
    <w:name w:val="Balloon Text"/>
    <w:basedOn w:val="Normal"/>
    <w:link w:val="BalloonTextChar"/>
    <w:uiPriority w:val="99"/>
    <w:semiHidden/>
    <w:unhideWhenUsed/>
    <w:rsid w:val="009C28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85C"/>
    <w:rPr>
      <w:rFonts w:ascii="Segoe UI" w:eastAsia="MS Mincho" w:hAnsi="Segoe UI" w:cs="Segoe UI"/>
      <w:sz w:val="18"/>
      <w:szCs w:val="18"/>
      <w:lang w:val="en-US" w:bidi="he-IL"/>
    </w:rPr>
  </w:style>
  <w:style w:type="paragraph" w:styleId="BodyText">
    <w:name w:val="Body Text"/>
    <w:basedOn w:val="Normal"/>
    <w:link w:val="BodyTextChar"/>
    <w:qFormat/>
    <w:rsid w:val="0054649F"/>
    <w:pPr>
      <w:spacing w:after="240"/>
      <w:jc w:val="both"/>
    </w:pPr>
    <w:rPr>
      <w:rFonts w:ascii="Times New Roman" w:eastAsiaTheme="minorEastAsia" w:hAnsi="Times New Roman" w:cs="Simplified Arabic"/>
      <w:sz w:val="24"/>
      <w:szCs w:val="24"/>
      <w:lang w:val="en-GB" w:eastAsia="en-GB" w:bidi="ar-AE"/>
    </w:rPr>
  </w:style>
  <w:style w:type="character" w:customStyle="1" w:styleId="BodyTextChar">
    <w:name w:val="Body Text Char"/>
    <w:basedOn w:val="DefaultParagraphFont"/>
    <w:link w:val="BodyText"/>
    <w:rsid w:val="0054649F"/>
    <w:rPr>
      <w:rFonts w:ascii="Times New Roman" w:hAnsi="Times New Roman" w:cs="Simplified Arabic"/>
      <w:sz w:val="24"/>
      <w:szCs w:val="24"/>
      <w:lang w:eastAsia="en-GB" w:bidi="ar-AE"/>
    </w:rPr>
  </w:style>
  <w:style w:type="character" w:styleId="CommentReference">
    <w:name w:val="annotation reference"/>
    <w:basedOn w:val="DefaultParagraphFont"/>
    <w:uiPriority w:val="99"/>
    <w:semiHidden/>
    <w:unhideWhenUsed/>
    <w:rsid w:val="00591564"/>
    <w:rPr>
      <w:sz w:val="16"/>
      <w:szCs w:val="16"/>
    </w:rPr>
  </w:style>
  <w:style w:type="paragraph" w:styleId="CommentText">
    <w:name w:val="annotation text"/>
    <w:basedOn w:val="Normal"/>
    <w:link w:val="CommentTextChar"/>
    <w:uiPriority w:val="99"/>
    <w:unhideWhenUsed/>
    <w:rsid w:val="00591564"/>
  </w:style>
  <w:style w:type="character" w:customStyle="1" w:styleId="CommentTextChar">
    <w:name w:val="Comment Text Char"/>
    <w:basedOn w:val="DefaultParagraphFont"/>
    <w:link w:val="CommentText"/>
    <w:uiPriority w:val="99"/>
    <w:rsid w:val="00591564"/>
    <w:rPr>
      <w:rFonts w:ascii="Calibri" w:eastAsia="MS Mincho" w:hAnsi="Calibri" w:cs="Times New Roman"/>
      <w:sz w:val="20"/>
      <w:szCs w:val="20"/>
      <w:lang w:val="en-US" w:bidi="he-IL"/>
    </w:rPr>
  </w:style>
  <w:style w:type="paragraph" w:styleId="CommentSubject">
    <w:name w:val="annotation subject"/>
    <w:basedOn w:val="CommentText"/>
    <w:next w:val="CommentText"/>
    <w:link w:val="CommentSubjectChar"/>
    <w:uiPriority w:val="99"/>
    <w:semiHidden/>
    <w:unhideWhenUsed/>
    <w:rsid w:val="00591564"/>
    <w:rPr>
      <w:b/>
      <w:bCs/>
    </w:rPr>
  </w:style>
  <w:style w:type="character" w:customStyle="1" w:styleId="CommentSubjectChar">
    <w:name w:val="Comment Subject Char"/>
    <w:basedOn w:val="CommentTextChar"/>
    <w:link w:val="CommentSubject"/>
    <w:uiPriority w:val="99"/>
    <w:semiHidden/>
    <w:rsid w:val="00591564"/>
    <w:rPr>
      <w:rFonts w:ascii="Calibri" w:eastAsia="MS Mincho" w:hAnsi="Calibri" w:cs="Times New Roman"/>
      <w:b/>
      <w:bCs/>
      <w:sz w:val="20"/>
      <w:szCs w:val="20"/>
      <w:lang w:val="en-US" w:bidi="he-IL"/>
    </w:rPr>
  </w:style>
  <w:style w:type="paragraph" w:styleId="ListParagraph">
    <w:name w:val="List Paragraph"/>
    <w:aliases w:val="#Listenabsatz"/>
    <w:basedOn w:val="Normal"/>
    <w:link w:val="ListParagraphChar"/>
    <w:uiPriority w:val="34"/>
    <w:unhideWhenUsed/>
    <w:qFormat/>
    <w:rsid w:val="00A53964"/>
    <w:pPr>
      <w:ind w:left="720"/>
      <w:contextualSpacing/>
    </w:pPr>
  </w:style>
  <w:style w:type="character" w:customStyle="1" w:styleId="ListParagraphChar">
    <w:name w:val="List Paragraph Char"/>
    <w:aliases w:val="#Listenabsatz Char"/>
    <w:link w:val="ListParagraph"/>
    <w:uiPriority w:val="34"/>
    <w:locked/>
    <w:rsid w:val="00A53964"/>
    <w:rPr>
      <w:rFonts w:ascii="Calibri" w:eastAsia="MS Mincho" w:hAnsi="Calibri" w:cs="Times New Roman"/>
      <w:sz w:val="20"/>
      <w:szCs w:val="20"/>
      <w:lang w:val="en-US" w:bidi="he-IL"/>
    </w:rPr>
  </w:style>
  <w:style w:type="paragraph" w:customStyle="1" w:styleId="Body">
    <w:name w:val="Body"/>
    <w:basedOn w:val="Normal"/>
    <w:rsid w:val="00AB6510"/>
    <w:pPr>
      <w:spacing w:after="140" w:line="290" w:lineRule="auto"/>
      <w:jc w:val="both"/>
    </w:pPr>
    <w:rPr>
      <w:rFonts w:ascii="Arial" w:eastAsia="宋体" w:hAnsi="Arial"/>
      <w:kern w:val="20"/>
      <w:szCs w:val="24"/>
      <w:lang w:val="en-GB" w:eastAsia="en-US" w:bidi="ar-SA"/>
    </w:rPr>
  </w:style>
  <w:style w:type="paragraph" w:customStyle="1" w:styleId="TableParagraph">
    <w:name w:val="Table Paragraph"/>
    <w:basedOn w:val="Normal"/>
    <w:uiPriority w:val="1"/>
    <w:qFormat/>
    <w:rsid w:val="00FC735A"/>
    <w:pPr>
      <w:widowControl w:val="0"/>
      <w:autoSpaceDE w:val="0"/>
      <w:autoSpaceDN w:val="0"/>
    </w:pPr>
    <w:rPr>
      <w:rFonts w:ascii="微软雅黑" w:eastAsia="微软雅黑" w:hAnsi="微软雅黑" w:cs="微软雅黑"/>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516705">
      <w:bodyDiv w:val="1"/>
      <w:marLeft w:val="0"/>
      <w:marRight w:val="0"/>
      <w:marTop w:val="0"/>
      <w:marBottom w:val="0"/>
      <w:divBdr>
        <w:top w:val="none" w:sz="0" w:space="0" w:color="auto"/>
        <w:left w:val="none" w:sz="0" w:space="0" w:color="auto"/>
        <w:bottom w:val="none" w:sz="0" w:space="0" w:color="auto"/>
        <w:right w:val="none" w:sz="0" w:space="0" w:color="auto"/>
      </w:divBdr>
    </w:div>
    <w:div w:id="357242784">
      <w:bodyDiv w:val="1"/>
      <w:marLeft w:val="0"/>
      <w:marRight w:val="0"/>
      <w:marTop w:val="0"/>
      <w:marBottom w:val="0"/>
      <w:divBdr>
        <w:top w:val="none" w:sz="0" w:space="0" w:color="auto"/>
        <w:left w:val="none" w:sz="0" w:space="0" w:color="auto"/>
        <w:bottom w:val="none" w:sz="0" w:space="0" w:color="auto"/>
        <w:right w:val="none" w:sz="0" w:space="0" w:color="auto"/>
      </w:divBdr>
    </w:div>
    <w:div w:id="799344078">
      <w:bodyDiv w:val="1"/>
      <w:marLeft w:val="0"/>
      <w:marRight w:val="0"/>
      <w:marTop w:val="0"/>
      <w:marBottom w:val="0"/>
      <w:divBdr>
        <w:top w:val="none" w:sz="0" w:space="0" w:color="auto"/>
        <w:left w:val="none" w:sz="0" w:space="0" w:color="auto"/>
        <w:bottom w:val="none" w:sz="0" w:space="0" w:color="auto"/>
        <w:right w:val="none" w:sz="0" w:space="0" w:color="auto"/>
      </w:divBdr>
    </w:div>
    <w:div w:id="1611087715">
      <w:bodyDiv w:val="1"/>
      <w:marLeft w:val="0"/>
      <w:marRight w:val="0"/>
      <w:marTop w:val="0"/>
      <w:marBottom w:val="0"/>
      <w:divBdr>
        <w:top w:val="none" w:sz="0" w:space="0" w:color="auto"/>
        <w:left w:val="none" w:sz="0" w:space="0" w:color="auto"/>
        <w:bottom w:val="none" w:sz="0" w:space="0" w:color="auto"/>
        <w:right w:val="none" w:sz="0" w:space="0" w:color="auto"/>
      </w:divBdr>
    </w:div>
    <w:div w:id="1885212799">
      <w:bodyDiv w:val="1"/>
      <w:marLeft w:val="0"/>
      <w:marRight w:val="0"/>
      <w:marTop w:val="0"/>
      <w:marBottom w:val="0"/>
      <w:divBdr>
        <w:top w:val="none" w:sz="0" w:space="0" w:color="auto"/>
        <w:left w:val="none" w:sz="0" w:space="0" w:color="auto"/>
        <w:bottom w:val="none" w:sz="0" w:space="0" w:color="auto"/>
        <w:right w:val="none" w:sz="0" w:space="0" w:color="auto"/>
      </w:divBdr>
    </w:div>
    <w:div w:id="189827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Policy xmlns:p="office.server.policy" id="" local="true">
  <p:Name>Legal Document</p:Name>
  <p:Description/>
  <p:Statement/>
  <p:PolicyItems>
    <p:PolicyItem featureId="Microsoft.Office.RecordsManagement.PolicyFeatures.PolicyLabel" staticId="0x01010066AAA4A189E15340A8F90A14B5E3178D010093B0E8CA13B14C41BAFE6564DDF24F70|689439171" UniqueId="dae32e3f-24d4-4675-9401-233fbc0c37a8">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_dlc_DocId</segment>
          <segment type="literal">-v</segment>
          <segment type="metadata">_UIVersionString</segment>
        </label>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a97c454-82a7-458e-b02b-a23c149c4c8f" ContentTypeId="0x01010066AAA4A189E15340A8F90A14B5E3178D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Legal Document" ma:contentTypeID="0x01010066AAA4A189E15340A8F90A14B5E3178D010093B0E8CA13B14C41BAFE6564DDF24F70" ma:contentTypeVersion="10" ma:contentTypeDescription="Stores client and matter information common to all Legal Documents" ma:contentTypeScope="" ma:versionID="55d8de168f3016d4409b2f23f92bc6fa">
  <xsd:schema xmlns:xsd="http://www.w3.org/2001/XMLSchema" xmlns:xs="http://www.w3.org/2001/XMLSchema" xmlns:p="http://schemas.microsoft.com/office/2006/metadata/properties" xmlns:ns1="http://schemas.microsoft.com/sharepoint/v3" xmlns:ns2="http://schema.microsoft.com/sharepoint/v3/fields" xmlns:ns3="84e8189d-2f07-4d07-be7d-de46b9fe3006" xmlns:ns4="2346a981-3d4d-4356-9bea-698e0ff2abfd" xmlns:ns5="abe85721-301c-4cdd-bb97-abd071f66392" targetNamespace="http://schemas.microsoft.com/office/2006/metadata/properties" ma:root="true" ma:fieldsID="fa1843d975238ecc664f6d4a15c8169a" ns1:_="" ns2:_="" ns3:_="" ns4:_="" ns5:_="">
    <xsd:import namespace="http://schemas.microsoft.com/sharepoint/v3"/>
    <xsd:import namespace="http://schema.microsoft.com/sharepoint/v3/fields"/>
    <xsd:import namespace="84e8189d-2f07-4d07-be7d-de46b9fe3006"/>
    <xsd:import namespace="2346a981-3d4d-4356-9bea-698e0ff2abfd"/>
    <xsd:import namespace="abe85721-301c-4cdd-bb97-abd071f66392"/>
    <xsd:element name="properties">
      <xsd:complexType>
        <xsd:sequence>
          <xsd:element name="documentManagement">
            <xsd:complexType>
              <xsd:all>
                <xsd:element ref="ns2:DocumentOwner" minOccurs="0"/>
                <xsd:element ref="ns2:LegacyDocumentID" minOccurs="0"/>
                <xsd:element ref="ns2:LegacyInformation" minOccurs="0"/>
                <xsd:element ref="ns2:ConfigListSynch" minOccurs="0"/>
                <xsd:element ref="ns2:KeyDocument" minOccurs="0"/>
                <xsd:element ref="ns3:LegalTopicTaxHTField0" minOccurs="0"/>
                <xsd:element ref="ns3:LegalDocumentTypeTaxHTField0" minOccurs="0"/>
                <xsd:element ref="ns3:JurisdictionTaxHTField0" minOccurs="0"/>
                <xsd:element ref="ns2:MatterNumber" minOccurs="0"/>
                <xsd:element ref="ns2:MatterName" minOccurs="0"/>
                <xsd:element ref="ns2:MatterStatus" minOccurs="0"/>
                <xsd:element ref="ns2:ClientNumber" minOccurs="0"/>
                <xsd:element ref="ns2:ClientName" minOccurs="0"/>
                <xsd:element ref="ns2:ClientReference" minOccurs="0"/>
                <xsd:element ref="ns2:CCOffice" minOccurs="0"/>
                <xsd:element ref="ns2:PracticeArea" minOccurs="0"/>
                <xsd:element ref="ns2:PracticeGroup" minOccurs="0"/>
                <xsd:element ref="ns3:SectorTaxHTField0" minOccurs="0"/>
                <xsd:element ref="ns2:DocumentIcons" minOccurs="0"/>
                <xsd:element ref="ns3:_dlc_DocId" minOccurs="0"/>
                <xsd:element ref="ns3:_dlc_DocIdUrl" minOccurs="0"/>
                <xsd:element ref="ns3:_dlc_DocIdPersistId" minOccurs="0"/>
                <xsd:element ref="ns2:WorkType" minOccurs="0"/>
                <xsd:element ref="ns4:TaxCatchAll"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microsoft.com/sharepoint/v3/fields" elementFormDefault="qualified">
    <xsd:import namespace="http://schemas.microsoft.com/office/2006/documentManagement/types"/>
    <xsd:import namespace="http://schemas.microsoft.com/office/infopath/2007/PartnerControls"/>
    <xsd:element name="DocumentOwner" ma:index="8" nillable="true" ma:displayName="Document Owner" ma:list="UserInfo"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DocumentID" ma:index="9" nillable="true" ma:displayName="Legacy Document ID" ma:hidden="true" ma:internalName="LegacyDocumentID">
      <xsd:simpleType>
        <xsd:restriction base="dms:Text">
          <xsd:maxLength value="255"/>
        </xsd:restriction>
      </xsd:simpleType>
    </xsd:element>
    <xsd:element name="LegacyInformation" ma:index="10" nillable="true" ma:displayName="Legacy Information" ma:hidden="true" ma:internalName="LegacyInformation">
      <xsd:simpleType>
        <xsd:restriction base="dms:Note"/>
      </xsd:simpleType>
    </xsd:element>
    <xsd:element name="ConfigListSynch" ma:index="11" nillable="true" ma:displayName="Config List Synch" ma:format="DateTime" ma:hidden="true" ma:internalName="ConfigListSynch">
      <xsd:simpleType>
        <xsd:restriction base="dms:DateTime"/>
      </xsd:simpleType>
    </xsd:element>
    <xsd:element name="KeyDocument" ma:index="12" nillable="true" ma:displayName="Key Document" ma:default="0" ma:internalName="KeyDocument">
      <xsd:simpleType>
        <xsd:restriction base="dms:Boolean"/>
      </xsd:simpleType>
    </xsd:element>
    <xsd:element name="MatterNumber" ma:index="19" nillable="true" ma:displayName="Matter Number" ma:default="CN-2000-02-OFF2" ma:hidden="true" ma:internalName="MatterNumber">
      <xsd:simpleType>
        <xsd:restriction base="dms:Text">
          <xsd:maxLength value="15"/>
        </xsd:restriction>
      </xsd:simpleType>
    </xsd:element>
    <xsd:element name="MatterName" ma:index="20" nillable="true" ma:displayName="Matter Name" ma:default="Corporate office documents 2015" ma:hidden="true" ma:internalName="MatterName">
      <xsd:simpleType>
        <xsd:restriction base="dms:Text">
          <xsd:maxLength value="255"/>
        </xsd:restriction>
      </xsd:simpleType>
    </xsd:element>
    <xsd:element name="MatterStatus" ma:index="21" nillable="true" ma:displayName="Matter Status" ma:default="Current" ma:hidden="true" ma:internalName="MatterStatus">
      <xsd:simpleType>
        <xsd:restriction base="dms:Choice">
          <xsd:enumeration value="Current"/>
          <xsd:enumeration value="Dormant"/>
        </xsd:restriction>
      </xsd:simpleType>
    </xsd:element>
    <xsd:element name="ClientNumber" ma:index="22" nillable="true" ma:displayName="Client Number" ma:hidden="true" ma:internalName="ClientNumber">
      <xsd:simpleType>
        <xsd:restriction base="dms:Text">
          <xsd:maxLength value="50"/>
        </xsd:restriction>
      </xsd:simpleType>
    </xsd:element>
    <xsd:element name="ClientName" ma:index="23" nillable="true" ma:displayName="Client Name" ma:hidden="true" ma:internalName="ClientName">
      <xsd:simpleType>
        <xsd:restriction base="dms:Text">
          <xsd:maxLength value="255"/>
        </xsd:restriction>
      </xsd:simpleType>
    </xsd:element>
    <xsd:element name="ClientReference" ma:index="24" nillable="true" ma:displayName="Client Reference" ma:hidden="true" ma:internalName="ClientReference">
      <xsd:simpleType>
        <xsd:restriction base="dms:Text">
          <xsd:maxLength value="255"/>
        </xsd:restriction>
      </xsd:simpleType>
    </xsd:element>
    <xsd:element name="CCOffice" ma:index="25" nillable="true" ma:displayName="CC Office" ma:default="Beijing" ma:hidden="true" ma:internalName="CCOffice">
      <xsd:simpleType>
        <xsd:restriction base="dms:Text">
          <xsd:maxLength value="255"/>
        </xsd:restriction>
      </xsd:simpleType>
    </xsd:element>
    <xsd:element name="PracticeArea" ma:index="26" nillable="true" ma:displayName="Practice Area" ma:default="Corporate" ma:hidden="true" ma:internalName="PracticeArea">
      <xsd:simpleType>
        <xsd:restriction base="dms:Text">
          <xsd:maxLength value="255"/>
        </xsd:restriction>
      </xsd:simpleType>
    </xsd:element>
    <xsd:element name="PracticeGroup" ma:index="27" nillable="true" ma:displayName="Practice Group" ma:default="Corporate Group" ma:hidden="true" ma:internalName="PracticeGroup">
      <xsd:simpleType>
        <xsd:restriction base="dms:Text">
          <xsd:maxLength value="255"/>
        </xsd:restriction>
      </xsd:simpleType>
    </xsd:element>
    <xsd:element name="DocumentIcons" ma:index="30" nillable="true" ma:displayName="Relationship Icons" ma:internalName="DocumentIcons" ma:readOnly="true">
      <xsd:simpleType>
        <xsd:restriction base="dms:Note"/>
      </xsd:simpleType>
    </xsd:element>
    <xsd:element name="WorkType" ma:index="34" nillable="true" ma:displayName="Work Type" ma:internalName="Work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e8189d-2f07-4d07-be7d-de46b9fe3006" elementFormDefault="qualified">
    <xsd:import namespace="http://schemas.microsoft.com/office/2006/documentManagement/types"/>
    <xsd:import namespace="http://schemas.microsoft.com/office/infopath/2007/PartnerControls"/>
    <xsd:element name="LegalTopicTaxHTField0" ma:index="13" nillable="true" ma:taxonomy="true" ma:internalName="LegalTopicTaxHTField0" ma:taxonomyFieldName="LegalTopic" ma:displayName="Legal Topic" ma:fieldId="{298694be-6880-4cab-a213-05b418c55f8d}" ma:taxonomyMulti="true" ma:sspId="da97c454-82a7-458e-b02b-a23c149c4c8f" ma:termSetId="4eade391-4385-4947-91c4-c7e0045c62f5" ma:anchorId="00000000-0000-0000-0000-000000000000" ma:open="false" ma:isKeyword="false">
      <xsd:complexType>
        <xsd:sequence>
          <xsd:element ref="pc:Terms" minOccurs="0" maxOccurs="1"/>
        </xsd:sequence>
      </xsd:complexType>
    </xsd:element>
    <xsd:element name="LegalDocumentTypeTaxHTField0" ma:index="15" nillable="true" ma:taxonomy="true" ma:internalName="LegalDocumentTypeTaxHTField0" ma:taxonomyFieldName="LegalDocumentType" ma:displayName="Legal Document Type" ma:fieldId="{cee04788-c694-4d93-868f-7a1bb6a22dc9}" ma:taxonomyMulti="true" ma:sspId="da97c454-82a7-458e-b02b-a23c149c4c8f" ma:termSetId="3893581f-22c8-437d-8e06-6a9355261526" ma:anchorId="00000000-0000-0000-0000-000000000000" ma:open="false" ma:isKeyword="false">
      <xsd:complexType>
        <xsd:sequence>
          <xsd:element ref="pc:Terms" minOccurs="0" maxOccurs="1"/>
        </xsd:sequence>
      </xsd:complexType>
    </xsd:element>
    <xsd:element name="JurisdictionTaxHTField0" ma:index="17" nillable="true" ma:taxonomy="true" ma:internalName="JurisdictionTaxHTField0" ma:taxonomyFieldName="Jurisdiction" ma:displayName="Jurisdiction" ma:fieldId="{9a9a92f4-56e3-4d35-a012-d7b34af74b8b}" ma:sspId="da97c454-82a7-458e-b02b-a23c149c4c8f" ma:termSetId="fb719a8b-b148-4c96-bf3d-16d5d6b87eba" ma:anchorId="00000000-0000-0000-0000-000000000000" ma:open="false" ma:isKeyword="false">
      <xsd:complexType>
        <xsd:sequence>
          <xsd:element ref="pc:Terms" minOccurs="0" maxOccurs="1"/>
        </xsd:sequence>
      </xsd:complexType>
    </xsd:element>
    <xsd:element name="SectorTaxHTField0" ma:index="28" nillable="true" ma:taxonomy="true" ma:internalName="SectorTaxHTField0" ma:taxonomyFieldName="Sector" ma:displayName="Sector" ma:default="" ma:fieldId="{593f98d8-f2a9-43f5-ba02-84af10bfacc9}" ma:sspId="da97c454-82a7-458e-b02b-a23c149c4c8f" ma:termSetId="ecebdddb-d213-4950-88a7-c092025248aa" ma:anchorId="00000000-0000-0000-0000-000000000000" ma:open="false" ma:isKeyword="false">
      <xsd:complexType>
        <xsd:sequence>
          <xsd:element ref="pc:Terms" minOccurs="0" maxOccurs="1"/>
        </xsd:sequence>
      </xsd:complexType>
    </xsd:element>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346a981-3d4d-4356-9bea-698e0ff2abfd" elementFormDefault="qualified">
    <xsd:import namespace="http://schemas.microsoft.com/office/2006/documentManagement/types"/>
    <xsd:import namespace="http://schemas.microsoft.com/office/infopath/2007/PartnerControls"/>
    <xsd:element name="TaxCatchAll" ma:index="35" nillable="true" ma:displayName="Taxonomy Catch All Column" ma:hidden="true" ma:list="{99a01833-94aa-498a-b909-6e06adff7963}" ma:internalName="TaxCatchAll" ma:showField="CatchAllData" ma:web="2346a981-3d4d-4356-9bea-698e0ff2ab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e85721-301c-4cdd-bb97-abd071f66392" elementFormDefault="qualified">
    <xsd:import namespace="http://schemas.microsoft.com/office/2006/documentManagement/types"/>
    <xsd:import namespace="http://schemas.microsoft.com/office/infopath/2007/PartnerControls"/>
    <xsd:element name="DLCPolicyLabelValue" ma:index="37"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8"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9"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egacyInformation xmlns="http://schema.microsoft.com/sharepoint/v3/fields" xsi:nil="true"/>
    <MatterName xmlns="http://schema.microsoft.com/sharepoint/v3/fields">Corporate office documents 2015</MatterName>
    <LegalTopicTaxHTField0 xmlns="84e8189d-2f07-4d07-be7d-de46b9fe3006">
      <Terms xmlns="http://schemas.microsoft.com/office/infopath/2007/PartnerControls"/>
    </LegalTopicTaxHTField0>
    <JurisdictionTaxHTField0 xmlns="84e8189d-2f07-4d07-be7d-de46b9fe3006">
      <Terms xmlns="http://schemas.microsoft.com/office/infopath/2007/PartnerControls"/>
    </JurisdictionTaxHTField0>
    <ClientNumber xmlns="http://schema.microsoft.com/sharepoint/v3/fields" xsi:nil="true"/>
    <DLCPolicyLabelClientValue xmlns="abe85721-301c-4cdd-bb97-abd071f66392">516440-4-9814-v{_UIVersionString}</DLCPolicyLabelClientValue>
    <KeyDocument xmlns="http://schema.microsoft.com/sharepoint/v3/fields">false</KeyDocument>
    <ClientReference xmlns="http://schema.microsoft.com/sharepoint/v3/fields" xsi:nil="true"/>
    <WorkType xmlns="http://schema.microsoft.com/sharepoint/v3/fields" xsi:nil="true"/>
    <LegacyDocumentID xmlns="http://schema.microsoft.com/sharepoint/v3/fields" xsi:nil="true"/>
    <ClientName xmlns="http://schema.microsoft.com/sharepoint/v3/fields" xsi:nil="true"/>
    <ConfigListSynch xmlns="http://schema.microsoft.com/sharepoint/v3/fields">2019-08-30T15:39:11+00:00</ConfigListSynch>
    <CCOffice xmlns="http://schema.microsoft.com/sharepoint/v3/fields">Beijing</CCOffice>
    <TaxCatchAll xmlns="2346a981-3d4d-4356-9bea-698e0ff2abfd"/>
    <LegalDocumentTypeTaxHTField0 xmlns="84e8189d-2f07-4d07-be7d-de46b9fe3006">
      <Terms xmlns="http://schemas.microsoft.com/office/infopath/2007/PartnerControls"/>
    </LegalDocumentTypeTaxHTField0>
    <SectorTaxHTField0 xmlns="84e8189d-2f07-4d07-be7d-de46b9fe3006">
      <Terms xmlns="http://schemas.microsoft.com/office/infopath/2007/PartnerControls"/>
    </SectorTaxHTField0>
    <DocumentOwner xmlns="http://schema.microsoft.com/sharepoint/v3/fields">
      <UserInfo>
        <DisplayName>Wang, Pengfei (Antitrust-BEI)</DisplayName>
        <AccountId>1301</AccountId>
        <AccountType/>
      </UserInfo>
    </DocumentOwner>
    <MatterStatus xmlns="http://schema.microsoft.com/sharepoint/v3/fields">Current</MatterStatus>
    <MatterNumber xmlns="http://schema.microsoft.com/sharepoint/v3/fields">CN-2000-02-OFF2</MatterNumber>
    <PracticeArea xmlns="http://schema.microsoft.com/sharepoint/v3/fields">Corporate</PracticeArea>
    <PracticeGroup xmlns="http://schema.microsoft.com/sharepoint/v3/fields">Corporate Group</PracticeGroup>
    <DLCPolicyLabelLock xmlns="abe85721-301c-4cdd-bb97-abd071f66392" xsi:nil="true"/>
    <_dlc_DocId xmlns="84e8189d-2f07-4d07-be7d-de46b9fe3006">516440-4-9814</_dlc_DocId>
    <_dlc_DocIdUrl xmlns="84e8189d-2f07-4d07-be7d-de46b9fe3006">
      <Url>http://spr3.intranet.cliffordchance.com/sites/CN-2000-02-OFF2/_layouts/DocIdRedir.aspx?ID=516440-4-9814</Url>
      <Description>516440-4-9814</Description>
    </_dlc_DocIdUrl>
    <DLCPolicyLabelValue xmlns="abe85721-301c-4cdd-bb97-abd071f66392">516440-4-9814-v0.2</DLCPolicyLabelValue>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DMA Social Events</Name>
    <Synchronization>Synchronous</Synchronization>
    <Type>10001</Type>
    <SequenceNumber>1001</SequenceNumber>
    <Assembly>MCS.Documents.Server.IA, Version=1.0.0.0, Culture=neutral, PublicKeyToken=203fdb9dda4562ff</Assembly>
    <Class>MCS.Documents.Server.IA.SocialDataReceiver</Class>
    <Data/>
    <Filter/>
  </Receiver>
  <Receiver>
    <Name>DMA Social Events</Name>
    <Synchronization>Synchronous</Synchronization>
    <Type>10002</Type>
    <SequenceNumber>1002</SequenceNumber>
    <Assembly>MCS.Documents.Server.IA, Version=1.0.0.0, Culture=neutral, PublicKeyToken=203fdb9dda4562ff</Assembly>
    <Class>MCS.Documents.Server.IA.SocialDataReceiver</Class>
    <Data/>
    <Filter/>
  </Receiver>
  <Receiver>
    <Name>DMA Social Events</Name>
    <Synchronization>Synchronous</Synchronization>
    <Type>10005</Type>
    <SequenceNumber>1003</SequenceNumber>
    <Assembly>MCS.Documents.Server.IA, Version=1.0.0.0, Culture=neutral, PublicKeyToken=203fdb9dda4562ff</Assembly>
    <Class>MCS.Documents.Server.IA.SocialDataReceiver</Class>
    <Data/>
    <Filter/>
  </Receiver>
  <Receiver>
    <Name>DMA Social Events</Name>
    <Synchronization>Synchronous</Synchronization>
    <Type>10004</Type>
    <SequenceNumber>1004</SequenceNumber>
    <Assembly>MCS.Documents.Server.IA, Version=1.0.0.0, Culture=neutral, PublicKeyToken=203fdb9dda4562ff</Assembly>
    <Class>MCS.Documents.Server.IA.SocialDataReceiver</Class>
    <Data/>
    <Filter/>
  </Receiver>
</spe:Receivers>
</file>

<file path=customXml/item8.xml><?xml version="1.0" encoding="utf-8"?>
<properties xmlns="http://www.imanage.com/work/xmlschema">
  <documentid>AMERICAS!24011418586.2</documentid>
  <senderid>620644</senderid>
  <senderemail>CHLOE.BARCLAY@CLIFFORDCHANCE.COM</senderemail>
  <lastmodified>2024-09-11T18:09:00.0000000+01:00</lastmodified>
  <database>AMERICAS</database>
</properties>
</file>

<file path=customXml/itemProps1.xml><?xml version="1.0" encoding="utf-8"?>
<ds:datastoreItem xmlns:ds="http://schemas.openxmlformats.org/officeDocument/2006/customXml" ds:itemID="{543E1638-0D33-4AD6-9DA5-127EFD9D8B80}">
  <ds:schemaRefs>
    <ds:schemaRef ds:uri="office.server.policy"/>
  </ds:schemaRefs>
</ds:datastoreItem>
</file>

<file path=customXml/itemProps2.xml><?xml version="1.0" encoding="utf-8"?>
<ds:datastoreItem xmlns:ds="http://schemas.openxmlformats.org/officeDocument/2006/customXml" ds:itemID="{8136E086-62D4-4DEF-BA3C-9336C271C4C0}">
  <ds:schemaRefs>
    <ds:schemaRef ds:uri="http://schemas.microsoft.com/sharepoint/v3/contenttype/forms"/>
  </ds:schemaRefs>
</ds:datastoreItem>
</file>

<file path=customXml/itemProps3.xml><?xml version="1.0" encoding="utf-8"?>
<ds:datastoreItem xmlns:ds="http://schemas.openxmlformats.org/officeDocument/2006/customXml" ds:itemID="{832D90BB-58AE-425B-9C28-9DAF98060895}">
  <ds:schemaRefs>
    <ds:schemaRef ds:uri="Microsoft.SharePoint.Taxonomy.ContentTypeSync"/>
  </ds:schemaRefs>
</ds:datastoreItem>
</file>

<file path=customXml/itemProps4.xml><?xml version="1.0" encoding="utf-8"?>
<ds:datastoreItem xmlns:ds="http://schemas.openxmlformats.org/officeDocument/2006/customXml" ds:itemID="{EC353E08-2663-4CDC-A8CB-6115AB545A17}">
  <ds:schemaRefs>
    <ds:schemaRef ds:uri="http://schemas.openxmlformats.org/officeDocument/2006/bibliography"/>
  </ds:schemaRefs>
</ds:datastoreItem>
</file>

<file path=customXml/itemProps5.xml><?xml version="1.0" encoding="utf-8"?>
<ds:datastoreItem xmlns:ds="http://schemas.openxmlformats.org/officeDocument/2006/customXml" ds:itemID="{529C6EEE-03E7-4FD3-9602-3673F4413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microsoft.com/sharepoint/v3/fields"/>
    <ds:schemaRef ds:uri="84e8189d-2f07-4d07-be7d-de46b9fe3006"/>
    <ds:schemaRef ds:uri="2346a981-3d4d-4356-9bea-698e0ff2abfd"/>
    <ds:schemaRef ds:uri="abe85721-301c-4cdd-bb97-abd071f66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9BCE6D0-F6FC-40C8-8194-DD1F6E81736F}">
  <ds:schemaRefs>
    <ds:schemaRef ds:uri="http://schemas.microsoft.com/office/2006/metadata/properties"/>
    <ds:schemaRef ds:uri="http://schemas.microsoft.com/office/infopath/2007/PartnerControls"/>
    <ds:schemaRef ds:uri="http://schema.microsoft.com/sharepoint/v3/fields"/>
    <ds:schemaRef ds:uri="84e8189d-2f07-4d07-be7d-de46b9fe3006"/>
    <ds:schemaRef ds:uri="abe85721-301c-4cdd-bb97-abd071f66392"/>
    <ds:schemaRef ds:uri="2346a981-3d4d-4356-9bea-698e0ff2abfd"/>
  </ds:schemaRefs>
</ds:datastoreItem>
</file>

<file path=customXml/itemProps7.xml><?xml version="1.0" encoding="utf-8"?>
<ds:datastoreItem xmlns:ds="http://schemas.openxmlformats.org/officeDocument/2006/customXml" ds:itemID="{323A3D86-E01D-4A56-84B2-246EC69D1318}">
  <ds:schemaRefs>
    <ds:schemaRef ds:uri="http://schemas.microsoft.com/sharepoint/events"/>
  </ds:schemaRefs>
</ds:datastoreItem>
</file>

<file path=customXml/itemProps8.xml><?xml version="1.0" encoding="utf-8"?>
<ds:datastoreItem xmlns:ds="http://schemas.openxmlformats.org/officeDocument/2006/customXml" ds:itemID="{E6DC8E71-FEF7-4D85-B1C1-E7FFFA3B6075}">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466</Words>
  <Characters>481</Characters>
  <Application>Microsoft Office Word</Application>
  <DocSecurity>0</DocSecurity>
  <Lines>37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Pengfei (Intern-BEI)</dc:creator>
  <cp:keywords/>
  <dc:description/>
  <cp:lastModifiedBy>Clifford Chance Antitrust</cp:lastModifiedBy>
  <cp:revision>81</cp:revision>
  <dcterms:created xsi:type="dcterms:W3CDTF">2025-05-13T09:00:00Z</dcterms:created>
  <dcterms:modified xsi:type="dcterms:W3CDTF">2025-09-22T13:24:00Z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Language">
    <vt:lpwstr>en-GB</vt:lpwstr>
  </property>
  <property fmtid="{D5CDD505-2E9C-101B-9397-08002B2CF9AE}" pid="3" name="CCOffice">
    <vt:lpwstr>ln</vt:lpwstr>
  </property>
  <property fmtid="{D5CDD505-2E9C-101B-9397-08002B2CF9AE}" pid="4" name="ContentTypeId">
    <vt:lpwstr>0x01010066AAA4A189E15340A8F90A14B5E3178D010093B0E8CA13B14C41BAFE6564DDF24F70</vt:lpwstr>
  </property>
  <property fmtid="{D5CDD505-2E9C-101B-9397-08002B2CF9AE}" pid="5" name="Jurisdiction">
    <vt:lpwstr/>
  </property>
  <property fmtid="{D5CDD505-2E9C-101B-9397-08002B2CF9AE}" pid="6" name="LegalDocumentType">
    <vt:lpwstr/>
  </property>
  <property fmtid="{D5CDD505-2E9C-101B-9397-08002B2CF9AE}" pid="7" name="_dlc_DocIdItemGuid">
    <vt:lpwstr>1cbaef6c-356b-47f9-8544-af48a221c02d</vt:lpwstr>
  </property>
  <property fmtid="{D5CDD505-2E9C-101B-9397-08002B2CF9AE}" pid="8" name="LegalTopic">
    <vt:lpwstr/>
  </property>
  <property fmtid="{D5CDD505-2E9C-101B-9397-08002B2CF9AE}" pid="9" name="GrammarlyDocumentId">
    <vt:lpwstr>d1f1faed70778304323e9b458ab9a174a2fafd3e58824c22c634cba0b0e9f08a</vt:lpwstr>
  </property>
  <property fmtid="{D5CDD505-2E9C-101B-9397-08002B2CF9AE}" pid="10" name="DOCXDOCID">
    <vt:lpwstr>Project Sydney - Public notice form for simple case - CN - As-filed 29.08.25 - 22/09/2025 21:24:01</vt:lpwstr>
  </property>
  <property fmtid="{D5CDD505-2E9C-101B-9397-08002B2CF9AE}" pid="11" name="CCDocID">
    <vt:lpwstr>24011418586-v2</vt:lpwstr>
  </property>
  <property fmtid="{D5CDD505-2E9C-101B-9397-08002B2CF9AE}" pid="12" name="CCMatter">
    <vt:lpwstr>81-41078569</vt:lpwstr>
  </property>
</Properties>
</file>