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D119" w14:textId="07CED5C1" w:rsidR="00074D3D" w:rsidRPr="000F612E" w:rsidRDefault="002D0254" w:rsidP="00B91BA3">
      <w:pPr>
        <w:snapToGrid w:val="0"/>
        <w:jc w:val="center"/>
        <w:rPr>
          <w:rFonts w:ascii="Times New Roman" w:eastAsia="黑体" w:hAnsi="Times New Roman"/>
          <w:sz w:val="36"/>
          <w:szCs w:val="36"/>
        </w:rPr>
      </w:pPr>
      <w:r w:rsidRPr="000F612E">
        <w:rPr>
          <w:rFonts w:ascii="Times New Roman" w:eastAsia="黑体" w:hAnsi="Times New Roman"/>
          <w:sz w:val="36"/>
          <w:szCs w:val="36"/>
        </w:rPr>
        <w:t>经营者集中简易案件公示表</w:t>
      </w:r>
    </w:p>
    <w:p w14:paraId="3847809A" w14:textId="77777777" w:rsidR="00074D3D" w:rsidRPr="000F612E" w:rsidRDefault="00074D3D" w:rsidP="00B91BA3">
      <w:pPr>
        <w:snapToGrid w:val="0"/>
        <w:rPr>
          <w:rFonts w:ascii="Times New Roman" w:eastAsia="仿宋_GB2312" w:hAnsi="Times New Roman"/>
          <w:sz w:val="22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1740"/>
        <w:gridCol w:w="5077"/>
      </w:tblGrid>
      <w:tr w:rsidR="00B54D86" w:rsidRPr="000F612E" w14:paraId="220035A7" w14:textId="77777777" w:rsidTr="00325FE4">
        <w:trPr>
          <w:trHeight w:val="795"/>
        </w:trPr>
        <w:tc>
          <w:tcPr>
            <w:tcW w:w="1941" w:type="dxa"/>
            <w:shd w:val="clear" w:color="auto" w:fill="D9D9D9"/>
            <w:vAlign w:val="center"/>
          </w:tcPr>
          <w:p w14:paraId="39F040E7" w14:textId="4B8D0FB7" w:rsidR="00B54D86" w:rsidRPr="000F612E" w:rsidRDefault="002D0254" w:rsidP="00325FE4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817" w:type="dxa"/>
            <w:gridSpan w:val="2"/>
            <w:vAlign w:val="center"/>
          </w:tcPr>
          <w:p w14:paraId="50F6AAB8" w14:textId="663E091A" w:rsidR="00B54D86" w:rsidRPr="000F612E" w:rsidRDefault="00AC648D" w:rsidP="00B91BA3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蚂蚁国际科技（香港）控股有限公司与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 xml:space="preserve">DSST Dana </w:t>
            </w:r>
            <w:proofErr w:type="spellStart"/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Gemilang</w:t>
            </w:r>
            <w:proofErr w:type="spellEnd"/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公司收购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Artha Prima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金融公司股权案</w:t>
            </w:r>
          </w:p>
        </w:tc>
      </w:tr>
      <w:tr w:rsidR="00B54D86" w:rsidRPr="000F612E" w14:paraId="7316D1B3" w14:textId="77777777" w:rsidTr="00325FE4">
        <w:trPr>
          <w:trHeight w:val="2819"/>
        </w:trPr>
        <w:tc>
          <w:tcPr>
            <w:tcW w:w="1941" w:type="dxa"/>
            <w:shd w:val="clear" w:color="auto" w:fill="D9D9D9"/>
            <w:vAlign w:val="center"/>
          </w:tcPr>
          <w:p w14:paraId="7995DF1B" w14:textId="5ABD0DC2" w:rsidR="00B54D86" w:rsidRPr="000F612E" w:rsidRDefault="002D0254" w:rsidP="00325FE4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交易概况（限</w:t>
            </w:r>
            <w:r w:rsidR="00795BFD" w:rsidRPr="000F612E">
              <w:rPr>
                <w:rFonts w:ascii="Times New Roman" w:eastAsiaTheme="minorEastAsia" w:hAnsi="Times New Roman"/>
                <w:sz w:val="24"/>
                <w:szCs w:val="24"/>
              </w:rPr>
              <w:t>200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字内）</w:t>
            </w:r>
          </w:p>
        </w:tc>
        <w:tc>
          <w:tcPr>
            <w:tcW w:w="6817" w:type="dxa"/>
            <w:gridSpan w:val="2"/>
            <w:vAlign w:val="center"/>
          </w:tcPr>
          <w:p w14:paraId="059D0007" w14:textId="36C1CE93" w:rsidR="00B91BA3" w:rsidRPr="000F612E" w:rsidRDefault="00EB7282" w:rsidP="000F612E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蚂蚁国际科技（香港）控股有限公司（</w:t>
            </w:r>
            <w:r w:rsidR="00165689" w:rsidRPr="000F612E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r w:rsidRPr="000F612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AIT</w:t>
            </w:r>
            <w:r w:rsidR="00165689" w:rsidRPr="000F612E">
              <w:rPr>
                <w:rFonts w:ascii="Times New Roman" w:eastAsiaTheme="minorEastAsia" w:hAnsi="Times New Roman"/>
                <w:sz w:val="24"/>
                <w:szCs w:val="24"/>
              </w:rPr>
              <w:t>”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）</w:t>
            </w:r>
            <w:r w:rsidR="002D606D" w:rsidRPr="000F612E">
              <w:rPr>
                <w:rFonts w:ascii="Times New Roman" w:eastAsiaTheme="minorEastAsia" w:hAnsi="Times New Roman"/>
                <w:sz w:val="24"/>
                <w:szCs w:val="24"/>
              </w:rPr>
              <w:t>、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  <w:t xml:space="preserve">DSST Dana </w:t>
            </w:r>
            <w:proofErr w:type="spellStart"/>
            <w:r w:rsidRPr="000F612E"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  <w:t>Gemilang</w:t>
            </w:r>
            <w:proofErr w:type="spellEnd"/>
            <w:r w:rsidRPr="000F612E"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  <w:t>公司（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  <w:t>“</w:t>
            </w:r>
            <w:r w:rsidRPr="000F612E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n-GB"/>
              </w:rPr>
              <w:t>DSST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  <w:t>”</w:t>
            </w:r>
            <w:r w:rsidR="00290E69" w:rsidRPr="000F612E"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  <w:t>）、</w:t>
            </w:r>
            <w:r w:rsidR="00290E69" w:rsidRPr="000F612E"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  <w:t>Buana Sejahtera</w:t>
            </w:r>
            <w:r w:rsidR="00290E69" w:rsidRPr="000F612E"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  <w:t>公司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  <w:t>（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  <w:t>“</w:t>
            </w:r>
            <w:r w:rsidR="00506C25" w:rsidRPr="000F612E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n-GB"/>
              </w:rPr>
              <w:t>Buana Sejahtera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  <w:t>”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  <w:t>）</w:t>
            </w:r>
            <w:r w:rsidR="00290E69" w:rsidRPr="000F612E"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  <w:t>、</w:t>
            </w:r>
            <w:r w:rsidR="00290E69" w:rsidRPr="000F612E"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  <w:t>Dunia</w:t>
            </w:r>
            <w:r w:rsidR="00290E69" w:rsidRPr="000F612E">
              <w:rPr>
                <w:rFonts w:ascii="Times New Roman" w:eastAsiaTheme="minorEastAsia" w:hAnsi="Times New Roman"/>
                <w:sz w:val="24"/>
                <w:szCs w:val="24"/>
              </w:rPr>
              <w:t xml:space="preserve"> Sejahtera</w:t>
            </w:r>
            <w:r w:rsidR="00290E69" w:rsidRPr="000F612E"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  <w:t>公司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  <w:t>（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  <w:t>“</w:t>
            </w:r>
            <w:r w:rsidR="00506C25" w:rsidRPr="000F612E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n-GB"/>
              </w:rPr>
              <w:t>Dunia</w:t>
            </w:r>
            <w:r w:rsidR="00506C25" w:rsidRPr="000F612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Sejahtera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  <w:t>”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  <w:t>）</w:t>
            </w:r>
            <w:r w:rsidR="00727C80" w:rsidRPr="000F612E">
              <w:rPr>
                <w:rFonts w:ascii="Times New Roman" w:eastAsiaTheme="minorEastAsia" w:hAnsi="Times New Roman"/>
                <w:sz w:val="24"/>
                <w:szCs w:val="24"/>
              </w:rPr>
              <w:t>签署</w:t>
            </w:r>
            <w:r w:rsidR="005452D8" w:rsidRPr="000F612E">
              <w:rPr>
                <w:rFonts w:ascii="Times New Roman" w:eastAsiaTheme="minorEastAsia" w:hAnsi="Times New Roman"/>
                <w:sz w:val="24"/>
                <w:szCs w:val="24"/>
              </w:rPr>
              <w:t>协议，</w:t>
            </w:r>
            <w:r w:rsidR="00290E69" w:rsidRPr="000F612E">
              <w:rPr>
                <w:rFonts w:ascii="Times New Roman" w:eastAsiaTheme="minorEastAsia" w:hAnsi="Times New Roman"/>
                <w:sz w:val="24"/>
                <w:szCs w:val="24"/>
              </w:rPr>
              <w:t>AIT</w:t>
            </w:r>
            <w:r w:rsidR="00727C80" w:rsidRPr="000F612E">
              <w:rPr>
                <w:rFonts w:ascii="Times New Roman" w:eastAsiaTheme="minorEastAsia" w:hAnsi="Times New Roman"/>
                <w:sz w:val="24"/>
                <w:szCs w:val="24"/>
              </w:rPr>
              <w:t>与</w:t>
            </w:r>
            <w:r w:rsidR="00290E69" w:rsidRPr="000F612E">
              <w:rPr>
                <w:rFonts w:ascii="Times New Roman" w:eastAsiaTheme="minorEastAsia" w:hAnsi="Times New Roman"/>
                <w:sz w:val="24"/>
                <w:szCs w:val="24"/>
                <w:lang w:val="en-GB"/>
              </w:rPr>
              <w:t>DSST</w:t>
            </w:r>
            <w:r w:rsidR="005452D8" w:rsidRPr="000F612E">
              <w:rPr>
                <w:rFonts w:ascii="Times New Roman" w:eastAsiaTheme="minorEastAsia" w:hAnsi="Times New Roman"/>
                <w:sz w:val="24"/>
                <w:szCs w:val="24"/>
              </w:rPr>
              <w:t>收购</w:t>
            </w:r>
            <w:r w:rsidR="00CE4218" w:rsidRPr="000F612E">
              <w:rPr>
                <w:rFonts w:ascii="Times New Roman" w:eastAsiaTheme="minorEastAsia" w:hAnsi="Times New Roman"/>
                <w:sz w:val="24"/>
                <w:szCs w:val="24"/>
              </w:rPr>
              <w:t>Artha Prima</w:t>
            </w:r>
            <w:r w:rsidR="00CE4218" w:rsidRPr="000F612E">
              <w:rPr>
                <w:rFonts w:ascii="Times New Roman" w:eastAsiaTheme="minorEastAsia" w:hAnsi="Times New Roman"/>
                <w:sz w:val="24"/>
                <w:szCs w:val="24"/>
              </w:rPr>
              <w:t>金融</w:t>
            </w:r>
            <w:r w:rsidR="00727C80" w:rsidRPr="000F612E">
              <w:rPr>
                <w:rFonts w:ascii="Times New Roman" w:eastAsiaTheme="minorEastAsia" w:hAnsi="Times New Roman"/>
                <w:sz w:val="24"/>
                <w:szCs w:val="24"/>
              </w:rPr>
              <w:t>公司</w:t>
            </w:r>
            <w:r w:rsidR="00CE4218" w:rsidRPr="000F612E">
              <w:rPr>
                <w:rFonts w:ascii="Times New Roman" w:eastAsiaTheme="minorEastAsia" w:hAnsi="Times New Roman"/>
                <w:sz w:val="24"/>
                <w:szCs w:val="24"/>
              </w:rPr>
              <w:t>（</w:t>
            </w:r>
            <w:r w:rsidR="00CE4218" w:rsidRPr="000F612E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r w:rsidR="00CE4218" w:rsidRPr="000F612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Artha Prima</w:t>
            </w:r>
            <w:r w:rsidR="00CE4218" w:rsidRPr="000F612E">
              <w:rPr>
                <w:rFonts w:ascii="Times New Roman" w:eastAsiaTheme="minorEastAsia" w:hAnsi="Times New Roman"/>
                <w:sz w:val="24"/>
                <w:szCs w:val="24"/>
              </w:rPr>
              <w:t>”</w:t>
            </w:r>
            <w:r w:rsidR="00CE4218" w:rsidRPr="000F612E">
              <w:rPr>
                <w:rFonts w:ascii="Times New Roman" w:eastAsiaTheme="minorEastAsia" w:hAnsi="Times New Roman"/>
                <w:sz w:val="24"/>
                <w:szCs w:val="24"/>
              </w:rPr>
              <w:t>）</w:t>
            </w:r>
            <w:r w:rsidR="00727C80" w:rsidRPr="000F612E">
              <w:rPr>
                <w:rFonts w:ascii="Times New Roman" w:eastAsiaTheme="minorEastAsia" w:hAnsi="Times New Roman"/>
                <w:sz w:val="24"/>
                <w:szCs w:val="24"/>
              </w:rPr>
              <w:t>共计</w:t>
            </w:r>
            <w:r w:rsidR="00CE4218" w:rsidRPr="000F612E"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  <w:r w:rsidR="005452D8" w:rsidRPr="000F612E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  <w:r w:rsidR="005452D8" w:rsidRPr="000F612E">
              <w:rPr>
                <w:rFonts w:ascii="Times New Roman" w:eastAsiaTheme="minorEastAsia" w:hAnsi="Times New Roman"/>
                <w:sz w:val="24"/>
                <w:szCs w:val="24"/>
              </w:rPr>
              <w:t>的</w:t>
            </w:r>
            <w:r w:rsidR="002D606D" w:rsidRPr="000F612E">
              <w:rPr>
                <w:rFonts w:ascii="Times New Roman" w:eastAsiaTheme="minorEastAsia" w:hAnsi="Times New Roman"/>
                <w:sz w:val="24"/>
                <w:szCs w:val="24"/>
              </w:rPr>
              <w:t>股权</w:t>
            </w:r>
            <w:r w:rsidR="005452D8" w:rsidRPr="000F612E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  <w:r w:rsidR="002D606D" w:rsidRPr="000F612E">
              <w:rPr>
                <w:rFonts w:ascii="Times New Roman" w:eastAsiaTheme="minorEastAsia" w:hAnsi="Times New Roman"/>
                <w:sz w:val="24"/>
                <w:szCs w:val="24"/>
              </w:rPr>
              <w:t>Artha Prima</w:t>
            </w:r>
            <w:r w:rsidR="002D606D" w:rsidRPr="000F612E">
              <w:rPr>
                <w:rFonts w:ascii="Times New Roman" w:eastAsiaTheme="minorEastAsia" w:hAnsi="Times New Roman"/>
                <w:sz w:val="24"/>
                <w:szCs w:val="24"/>
              </w:rPr>
              <w:t>主要在印度尼西亚从事汽车融资服务和保理服务业务</w:t>
            </w:r>
            <w:r w:rsidR="00CE4218" w:rsidRPr="000F612E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  <w:r w:rsidR="005452D8" w:rsidRPr="000F612E">
              <w:rPr>
                <w:rFonts w:ascii="Times New Roman" w:eastAsiaTheme="minorEastAsia" w:hAnsi="Times New Roman"/>
                <w:sz w:val="24"/>
                <w:szCs w:val="24"/>
              </w:rPr>
              <w:t>交易前，</w:t>
            </w:r>
            <w:bookmarkStart w:id="0" w:name="_Hlk212201332"/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Buana Sejahtera</w:t>
            </w:r>
            <w:bookmarkEnd w:id="0"/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持有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Artha Prima 75%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的股权，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Dunia Sejahtera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持有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Artha Prima 25%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的股权，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Artha Prima</w:t>
            </w:r>
            <w:r w:rsidR="000F612E" w:rsidRPr="000F612E">
              <w:rPr>
                <w:rFonts w:ascii="Times New Roman" w:eastAsiaTheme="minorEastAsia" w:hAnsi="Times New Roman"/>
                <w:sz w:val="24"/>
                <w:szCs w:val="24"/>
              </w:rPr>
              <w:t>的最终控制人为自然人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。交易后，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AIT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将持有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Artha Prima 51%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的股权，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DSST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将持有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Artha Prima 49%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的股权，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AIT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和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DSST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将共同控制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Artha Prima</w:t>
            </w:r>
            <w:r w:rsidR="00506C25" w:rsidRPr="000F612E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</w:tc>
      </w:tr>
      <w:tr w:rsidR="00EA1633" w:rsidRPr="000F612E" w14:paraId="62CF687B" w14:textId="77777777" w:rsidTr="00325FE4">
        <w:trPr>
          <w:trHeight w:val="3256"/>
        </w:trPr>
        <w:tc>
          <w:tcPr>
            <w:tcW w:w="1941" w:type="dxa"/>
            <w:vMerge w:val="restart"/>
            <w:shd w:val="clear" w:color="auto" w:fill="D9D9D9"/>
            <w:vAlign w:val="center"/>
          </w:tcPr>
          <w:p w14:paraId="371C9AEA" w14:textId="77777777" w:rsidR="002D0254" w:rsidRPr="000F612E" w:rsidRDefault="002D0254" w:rsidP="00325FE4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参与集中的经营</w:t>
            </w:r>
          </w:p>
          <w:p w14:paraId="5F6FCC36" w14:textId="77777777" w:rsidR="002D0254" w:rsidRPr="000F612E" w:rsidRDefault="002D0254" w:rsidP="00325FE4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者简介（每个限</w:t>
            </w:r>
          </w:p>
          <w:p w14:paraId="4D77B2F8" w14:textId="7CF19002" w:rsidR="00EA1633" w:rsidRPr="000F612E" w:rsidRDefault="006826F6" w:rsidP="00325FE4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  <w:r w:rsidR="002D0254" w:rsidRPr="000F612E">
              <w:rPr>
                <w:rFonts w:ascii="Times New Roman" w:eastAsiaTheme="minorEastAsia" w:hAnsi="Times New Roman"/>
                <w:sz w:val="24"/>
                <w:szCs w:val="24"/>
              </w:rPr>
              <w:t>字以内）</w:t>
            </w:r>
          </w:p>
        </w:tc>
        <w:tc>
          <w:tcPr>
            <w:tcW w:w="1740" w:type="dxa"/>
            <w:vAlign w:val="center"/>
          </w:tcPr>
          <w:p w14:paraId="0419A026" w14:textId="57B945D8" w:rsidR="00EA1633" w:rsidRPr="000F612E" w:rsidRDefault="00EB7282" w:rsidP="00E552B7"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AIT</w:t>
            </w:r>
          </w:p>
        </w:tc>
        <w:tc>
          <w:tcPr>
            <w:tcW w:w="5077" w:type="dxa"/>
            <w:vAlign w:val="center"/>
          </w:tcPr>
          <w:p w14:paraId="6DA3A126" w14:textId="77777777" w:rsidR="00E552B7" w:rsidRDefault="0039485F" w:rsidP="00880995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AIT</w:t>
            </w:r>
            <w:r w:rsidR="00E552B7" w:rsidRPr="000F612E">
              <w:rPr>
                <w:rFonts w:ascii="Times New Roman" w:eastAsiaTheme="minorEastAsia" w:hAnsi="Times New Roman"/>
                <w:sz w:val="24"/>
                <w:szCs w:val="24"/>
              </w:rPr>
              <w:t>于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2022</w:t>
            </w:r>
            <w:r w:rsidR="00E552B7" w:rsidRPr="000F612E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="00E552B7" w:rsidRPr="000F612E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 w:rsidR="00E552B7" w:rsidRPr="000F612E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E552B7" w:rsidRPr="000F612E">
              <w:rPr>
                <w:rFonts w:ascii="Times New Roman" w:eastAsiaTheme="minorEastAsia" w:hAnsi="Times New Roman"/>
                <w:sz w:val="24"/>
                <w:szCs w:val="24"/>
              </w:rPr>
              <w:t>日</w:t>
            </w:r>
            <w:r w:rsidR="009709D9" w:rsidRPr="000F612E">
              <w:rPr>
                <w:rFonts w:ascii="Times New Roman" w:eastAsiaTheme="minorEastAsia" w:hAnsi="Times New Roman"/>
                <w:sz w:val="24"/>
                <w:szCs w:val="24"/>
              </w:rPr>
              <w:t>成立于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中国香港</w:t>
            </w:r>
            <w:r w:rsidR="009709D9" w:rsidRPr="000F612E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 w:rsidR="00BE278E" w:rsidRPr="000F612E">
              <w:rPr>
                <w:rFonts w:ascii="Times New Roman" w:eastAsiaTheme="minorEastAsia" w:hAnsi="Times New Roman"/>
                <w:sz w:val="24"/>
                <w:szCs w:val="24"/>
              </w:rPr>
              <w:t>其所属的蚂蚁国际集团</w:t>
            </w:r>
            <w:r w:rsidR="009709D9" w:rsidRPr="000F612E">
              <w:rPr>
                <w:rFonts w:ascii="Times New Roman" w:eastAsiaTheme="minorEastAsia" w:hAnsi="Times New Roman"/>
                <w:sz w:val="24"/>
                <w:szCs w:val="24"/>
              </w:rPr>
              <w:t>主要业务为</w:t>
            </w:r>
            <w:r w:rsidR="00157CAA" w:rsidRPr="000F612E">
              <w:rPr>
                <w:rFonts w:ascii="Times New Roman" w:eastAsiaTheme="minorEastAsia" w:hAnsi="Times New Roman"/>
                <w:sz w:val="24"/>
                <w:szCs w:val="24"/>
              </w:rPr>
              <w:t>在中国大陆以外开发并提供</w:t>
            </w:r>
            <w:r w:rsidR="00BE278E" w:rsidRPr="000F612E">
              <w:rPr>
                <w:rFonts w:ascii="Times New Roman" w:eastAsiaTheme="minorEastAsia" w:hAnsi="Times New Roman"/>
                <w:sz w:val="24"/>
                <w:szCs w:val="24"/>
              </w:rPr>
              <w:t>跨境支付、金融和数字化服务</w:t>
            </w:r>
            <w:r w:rsidR="00240F4E" w:rsidRPr="000F612E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  <w:p w14:paraId="280BABED" w14:textId="0CDCE3B1" w:rsidR="005F658A" w:rsidRPr="000F612E" w:rsidRDefault="005F658A" w:rsidP="00880995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F658A">
              <w:rPr>
                <w:rFonts w:ascii="Times New Roman" w:eastAsiaTheme="minorEastAsia" w:hAnsi="Times New Roman" w:hint="eastAsia"/>
                <w:sz w:val="24"/>
                <w:szCs w:val="24"/>
              </w:rPr>
              <w:t>根据中国经营者集中审查制度，蚂蚁科技集团股份有限公司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（“</w:t>
            </w:r>
            <w:r w:rsidRPr="005F658A">
              <w:rPr>
                <w:rFonts w:ascii="Times New Roman" w:eastAsiaTheme="minorEastAsia" w:hAnsi="Times New Roman" w:hint="eastAsia"/>
                <w:b/>
                <w:bCs/>
                <w:sz w:val="24"/>
                <w:szCs w:val="24"/>
              </w:rPr>
              <w:t>蚂蚁集团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”）</w:t>
            </w:r>
            <w:r w:rsidRPr="005F658A">
              <w:rPr>
                <w:rFonts w:ascii="Times New Roman" w:eastAsiaTheme="minorEastAsia" w:hAnsi="Times New Roman" w:hint="eastAsia"/>
                <w:sz w:val="24"/>
                <w:szCs w:val="24"/>
              </w:rPr>
              <w:t>被视为对蚂蚁国际有决定性影响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。蚂蚁集团</w:t>
            </w:r>
            <w:r w:rsidRPr="005F658A">
              <w:rPr>
                <w:rFonts w:ascii="Times New Roman" w:eastAsiaTheme="minorEastAsia" w:hAnsi="Times New Roman" w:hint="eastAsia"/>
                <w:sz w:val="24"/>
                <w:szCs w:val="24"/>
              </w:rPr>
              <w:t>主要业务为移动支付、医疗健康、金融等。</w:t>
            </w:r>
          </w:p>
        </w:tc>
      </w:tr>
      <w:tr w:rsidR="00EA1633" w:rsidRPr="000F612E" w14:paraId="58CC1516" w14:textId="77777777" w:rsidTr="00325FE4">
        <w:trPr>
          <w:trHeight w:val="3529"/>
        </w:trPr>
        <w:tc>
          <w:tcPr>
            <w:tcW w:w="1941" w:type="dxa"/>
            <w:vMerge/>
            <w:shd w:val="clear" w:color="auto" w:fill="D9D9D9"/>
            <w:vAlign w:val="center"/>
          </w:tcPr>
          <w:p w14:paraId="49E8182A" w14:textId="77777777" w:rsidR="00EA1633" w:rsidRPr="000F612E" w:rsidRDefault="00EA1633" w:rsidP="00325FE4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67F3E928" w14:textId="2159DDA4" w:rsidR="00EA1633" w:rsidRPr="000F612E" w:rsidRDefault="00EB7282" w:rsidP="00CE54E5"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bCs/>
                <w:kern w:val="0"/>
                <w:sz w:val="24"/>
                <w:szCs w:val="24"/>
                <w:lang w:val="de-DE"/>
              </w:rPr>
              <w:t>DSST</w:t>
            </w:r>
          </w:p>
        </w:tc>
        <w:tc>
          <w:tcPr>
            <w:tcW w:w="5077" w:type="dxa"/>
            <w:vAlign w:val="center"/>
          </w:tcPr>
          <w:p w14:paraId="575F2287" w14:textId="47A39FEC" w:rsidR="00724C73" w:rsidRPr="000F612E" w:rsidRDefault="00451CBE" w:rsidP="00CE54E5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bCs/>
                <w:kern w:val="0"/>
                <w:sz w:val="24"/>
                <w:szCs w:val="24"/>
                <w:lang w:val="de-DE"/>
              </w:rPr>
              <w:t>DSST</w:t>
            </w:r>
            <w:r w:rsidR="00E552B7" w:rsidRPr="000F612E">
              <w:rPr>
                <w:rFonts w:ascii="Times New Roman" w:eastAsiaTheme="minorEastAsia" w:hAnsi="Times New Roman"/>
                <w:sz w:val="24"/>
                <w:szCs w:val="24"/>
              </w:rPr>
              <w:t>于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2021</w:t>
            </w:r>
            <w:r w:rsidR="00E552B7" w:rsidRPr="000F612E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  <w:r w:rsidR="00E552B7" w:rsidRPr="000F612E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  <w:r w:rsidR="00E552B7" w:rsidRPr="000F612E">
              <w:rPr>
                <w:rFonts w:ascii="Times New Roman" w:eastAsiaTheme="minorEastAsia" w:hAnsi="Times New Roman"/>
                <w:sz w:val="24"/>
                <w:szCs w:val="24"/>
              </w:rPr>
              <w:t>日</w:t>
            </w:r>
            <w:r w:rsidR="00E95FAE" w:rsidRPr="000F612E">
              <w:rPr>
                <w:rFonts w:ascii="Times New Roman" w:eastAsiaTheme="minorEastAsia" w:hAnsi="Times New Roman"/>
                <w:sz w:val="24"/>
                <w:szCs w:val="24"/>
              </w:rPr>
              <w:t>成立于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印度尼西亚</w:t>
            </w:r>
            <w:r w:rsidR="00E95FAE" w:rsidRPr="000F612E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 w:rsidR="003B2584" w:rsidRPr="000F612E">
              <w:rPr>
                <w:rFonts w:ascii="Times New Roman" w:eastAsiaTheme="minorEastAsia" w:hAnsi="Times New Roman"/>
                <w:sz w:val="24"/>
                <w:szCs w:val="24"/>
              </w:rPr>
              <w:t>隶属于</w:t>
            </w:r>
            <w:r w:rsidR="003B2584" w:rsidRPr="000F612E">
              <w:rPr>
                <w:rFonts w:ascii="Times New Roman" w:eastAsiaTheme="minorEastAsia" w:hAnsi="Times New Roman"/>
                <w:sz w:val="24"/>
                <w:szCs w:val="24"/>
              </w:rPr>
              <w:t>Dian Swastatika Sentosa</w:t>
            </w:r>
            <w:r w:rsidR="003B2584" w:rsidRPr="000F612E">
              <w:rPr>
                <w:rFonts w:ascii="Times New Roman" w:eastAsiaTheme="minorEastAsia" w:hAnsi="Times New Roman"/>
                <w:sz w:val="24"/>
                <w:szCs w:val="24"/>
              </w:rPr>
              <w:t>公司（</w:t>
            </w:r>
            <w:r w:rsidR="003B2584" w:rsidRPr="000F612E">
              <w:rPr>
                <w:rFonts w:ascii="Times New Roman" w:eastAsiaTheme="minorEastAsia" w:hAnsi="Times New Roman"/>
                <w:sz w:val="24"/>
                <w:szCs w:val="24"/>
              </w:rPr>
              <w:t>“</w:t>
            </w:r>
            <w:r w:rsidR="003B2584" w:rsidRPr="000F612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DSS</w:t>
            </w:r>
            <w:r w:rsidR="003B2584" w:rsidRPr="000F612E">
              <w:rPr>
                <w:rFonts w:ascii="Times New Roman" w:eastAsiaTheme="minorEastAsia" w:hAnsi="Times New Roman"/>
                <w:sz w:val="24"/>
                <w:szCs w:val="24"/>
              </w:rPr>
              <w:t>”</w:t>
            </w:r>
            <w:r w:rsidR="003B2584" w:rsidRPr="000F612E">
              <w:rPr>
                <w:rFonts w:ascii="Times New Roman" w:eastAsiaTheme="minorEastAsia" w:hAnsi="Times New Roman"/>
                <w:sz w:val="24"/>
                <w:szCs w:val="24"/>
              </w:rPr>
              <w:t>）</w:t>
            </w:r>
            <w:r w:rsidR="005D1172">
              <w:rPr>
                <w:rFonts w:ascii="Times New Roman" w:eastAsiaTheme="minorEastAsia" w:hAnsi="Times New Roman" w:hint="eastAsia"/>
                <w:sz w:val="24"/>
                <w:szCs w:val="24"/>
              </w:rPr>
              <w:t>，</w:t>
            </w:r>
            <w:r w:rsidR="003B2584" w:rsidRPr="000F612E">
              <w:rPr>
                <w:rFonts w:ascii="Times New Roman" w:eastAsiaTheme="minorEastAsia" w:hAnsi="Times New Roman"/>
                <w:sz w:val="24"/>
                <w:szCs w:val="24"/>
              </w:rPr>
              <w:t>DSS</w:t>
            </w:r>
            <w:r w:rsidR="003B2584" w:rsidRPr="000F612E">
              <w:rPr>
                <w:rFonts w:ascii="Times New Roman" w:eastAsiaTheme="minorEastAsia" w:hAnsi="Times New Roman"/>
                <w:sz w:val="24"/>
                <w:szCs w:val="24"/>
              </w:rPr>
              <w:t>集团主要业务为采矿、新能源</w:t>
            </w:r>
            <w:r w:rsidR="005D1172">
              <w:rPr>
                <w:rFonts w:ascii="Times New Roman" w:eastAsiaTheme="minorEastAsia" w:hAnsi="Times New Roman" w:hint="eastAsia"/>
                <w:sz w:val="24"/>
                <w:szCs w:val="24"/>
              </w:rPr>
              <w:t>和可再生能源</w:t>
            </w:r>
            <w:r w:rsidR="003B2584" w:rsidRPr="000F612E">
              <w:rPr>
                <w:rFonts w:ascii="Times New Roman" w:eastAsiaTheme="minorEastAsia" w:hAnsi="Times New Roman"/>
                <w:sz w:val="24"/>
                <w:szCs w:val="24"/>
              </w:rPr>
              <w:t>、数字基础设施和技术、化学品以及投资。</w:t>
            </w:r>
          </w:p>
          <w:p w14:paraId="6CD87C69" w14:textId="388F329B" w:rsidR="00F71184" w:rsidRPr="000F612E" w:rsidRDefault="00C43B78" w:rsidP="006A2BFE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bCs/>
                <w:kern w:val="0"/>
                <w:sz w:val="24"/>
                <w:szCs w:val="24"/>
                <w:lang w:val="de-DE"/>
              </w:rPr>
              <w:t>DSST</w:t>
            </w:r>
            <w:r w:rsidR="006A2BFE" w:rsidRPr="000F612E">
              <w:rPr>
                <w:rFonts w:ascii="Times New Roman" w:eastAsiaTheme="minorEastAsia" w:hAnsi="Times New Roman"/>
                <w:sz w:val="24"/>
                <w:szCs w:val="24"/>
              </w:rPr>
              <w:t>的最终控制人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为自然人</w:t>
            </w:r>
            <w:r w:rsidR="006A2BFE" w:rsidRPr="000F612E">
              <w:rPr>
                <w:rFonts w:ascii="Times New Roman" w:eastAsiaTheme="minorEastAsia" w:hAnsi="Times New Roman"/>
                <w:sz w:val="24"/>
                <w:szCs w:val="24"/>
              </w:rPr>
              <w:t>，</w:t>
            </w:r>
            <w:r w:rsidR="00630AB5" w:rsidRPr="000F612E">
              <w:rPr>
                <w:rFonts w:ascii="Times New Roman" w:eastAsiaTheme="minorEastAsia" w:hAnsi="Times New Roman"/>
                <w:sz w:val="24"/>
                <w:szCs w:val="24"/>
              </w:rPr>
              <w:t>主要</w:t>
            </w:r>
            <w:r w:rsidR="00F71184" w:rsidRPr="000F612E">
              <w:rPr>
                <w:rFonts w:ascii="Times New Roman" w:eastAsiaTheme="minorEastAsia" w:hAnsi="Times New Roman"/>
                <w:sz w:val="24"/>
                <w:szCs w:val="24"/>
              </w:rPr>
              <w:t>通过</w:t>
            </w:r>
            <w:r w:rsidR="00F71184" w:rsidRPr="000F612E">
              <w:rPr>
                <w:rFonts w:ascii="Times New Roman" w:eastAsiaTheme="minorEastAsia" w:hAnsi="Times New Roman"/>
                <w:sz w:val="24"/>
                <w:szCs w:val="24"/>
              </w:rPr>
              <w:t>DSS</w:t>
            </w:r>
            <w:r w:rsidR="00F71184" w:rsidRPr="000F612E">
              <w:rPr>
                <w:rFonts w:ascii="Times New Roman" w:eastAsiaTheme="minorEastAsia" w:hAnsi="Times New Roman"/>
                <w:sz w:val="24"/>
                <w:szCs w:val="24"/>
              </w:rPr>
              <w:t>以及该自然人控制的其他实体开展业务。</w:t>
            </w:r>
          </w:p>
          <w:p w14:paraId="4F285184" w14:textId="51F16DA3" w:rsidR="00E552B7" w:rsidRPr="000F612E" w:rsidRDefault="00E552B7" w:rsidP="006A2BFE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A1633" w:rsidRPr="000F612E" w14:paraId="01FC5B43" w14:textId="77777777" w:rsidTr="00325FE4">
        <w:trPr>
          <w:trHeight w:val="3529"/>
        </w:trPr>
        <w:tc>
          <w:tcPr>
            <w:tcW w:w="1941" w:type="dxa"/>
            <w:vMerge/>
            <w:shd w:val="clear" w:color="auto" w:fill="D9D9D9"/>
            <w:vAlign w:val="center"/>
          </w:tcPr>
          <w:p w14:paraId="3D3C2B74" w14:textId="77777777" w:rsidR="00EA1633" w:rsidRPr="000F612E" w:rsidRDefault="00EA1633" w:rsidP="00325FE4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85BD549" w14:textId="50E04246" w:rsidR="00EA1633" w:rsidRPr="000F612E" w:rsidRDefault="00EB7282" w:rsidP="00CE54E5">
            <w:pPr>
              <w:numPr>
                <w:ilvl w:val="0"/>
                <w:numId w:val="1"/>
              </w:num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Artha Prima</w:t>
            </w:r>
          </w:p>
        </w:tc>
        <w:tc>
          <w:tcPr>
            <w:tcW w:w="5077" w:type="dxa"/>
            <w:vAlign w:val="center"/>
          </w:tcPr>
          <w:p w14:paraId="245D79E7" w14:textId="4FE833DE" w:rsidR="000F612E" w:rsidRDefault="00470514" w:rsidP="00147390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Artha Prima</w:t>
            </w:r>
            <w:r w:rsidR="000B7E17" w:rsidRPr="000F612E">
              <w:rPr>
                <w:rFonts w:ascii="Times New Roman" w:eastAsiaTheme="minorEastAsia" w:hAnsi="Times New Roman"/>
                <w:sz w:val="24"/>
                <w:szCs w:val="24"/>
              </w:rPr>
              <w:t>于</w:t>
            </w:r>
            <w:r w:rsidR="000221B2" w:rsidRPr="000F612E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0221B2">
              <w:rPr>
                <w:rFonts w:ascii="Times New Roman" w:eastAsiaTheme="minorEastAsia" w:hAnsi="Times New Roman" w:hint="eastAsia"/>
                <w:sz w:val="24"/>
                <w:szCs w:val="24"/>
              </w:rPr>
              <w:t>0</w:t>
            </w:r>
            <w:r w:rsidR="000221B2" w:rsidRPr="000F612E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0B7E17" w:rsidRPr="000F612E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 w:rsidR="000B7E17" w:rsidRPr="000F612E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  <w:r w:rsidR="000B7E17" w:rsidRPr="000F612E">
              <w:rPr>
                <w:rFonts w:ascii="Times New Roman" w:eastAsiaTheme="minorEastAsia" w:hAnsi="Times New Roman"/>
                <w:sz w:val="24"/>
                <w:szCs w:val="24"/>
              </w:rPr>
              <w:t>日成立于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印度尼西亚</w:t>
            </w:r>
            <w:r w:rsidR="000B7E17" w:rsidRPr="000F612E">
              <w:rPr>
                <w:rFonts w:ascii="Times New Roman" w:eastAsiaTheme="minorEastAsia" w:hAnsi="Times New Roman"/>
                <w:sz w:val="24"/>
                <w:szCs w:val="24"/>
              </w:rPr>
              <w:t>，主要业务为</w:t>
            </w:r>
            <w:r w:rsidR="00753F31" w:rsidRPr="000F612E">
              <w:rPr>
                <w:rFonts w:ascii="Times New Roman" w:eastAsiaTheme="minorEastAsia" w:hAnsi="Times New Roman"/>
                <w:sz w:val="24"/>
                <w:szCs w:val="24"/>
              </w:rPr>
              <w:t>印度尼西亚的汽车融资服务和保理服务</w:t>
            </w:r>
            <w:r w:rsidR="00C41E8A" w:rsidRPr="000F612E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  <w:p w14:paraId="06122AB0" w14:textId="09FF5B47" w:rsidR="00FF546E" w:rsidRPr="000F612E" w:rsidRDefault="00C41E8A" w:rsidP="00147390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Artha Prima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的</w:t>
            </w:r>
            <w:r w:rsidR="000B7E17" w:rsidRPr="000F612E">
              <w:rPr>
                <w:rFonts w:ascii="Times New Roman" w:eastAsiaTheme="minorEastAsia" w:hAnsi="Times New Roman"/>
                <w:sz w:val="24"/>
                <w:szCs w:val="24"/>
              </w:rPr>
              <w:t>最终控制人</w:t>
            </w:r>
            <w:r w:rsidR="00835D78" w:rsidRPr="000F612E">
              <w:rPr>
                <w:rFonts w:ascii="Times New Roman" w:eastAsiaTheme="minorEastAsia" w:hAnsi="Times New Roman"/>
                <w:sz w:val="24"/>
                <w:szCs w:val="24"/>
              </w:rPr>
              <w:t>为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自然人，</w:t>
            </w:r>
            <w:r w:rsidR="00FF546E" w:rsidRPr="000F612E">
              <w:rPr>
                <w:rFonts w:ascii="Times New Roman" w:eastAsiaTheme="minorEastAsia" w:hAnsi="Times New Roman"/>
                <w:sz w:val="24"/>
                <w:szCs w:val="24"/>
              </w:rPr>
              <w:t>主要业务为</w:t>
            </w: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多元金融、酒店、汽车经销等</w:t>
            </w:r>
            <w:r w:rsidR="00C175BD" w:rsidRPr="000F612E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</w:tc>
      </w:tr>
      <w:tr w:rsidR="00B54D86" w:rsidRPr="000F612E" w14:paraId="3CC1419D" w14:textId="77777777" w:rsidTr="00325FE4">
        <w:trPr>
          <w:trHeight w:val="113"/>
        </w:trPr>
        <w:tc>
          <w:tcPr>
            <w:tcW w:w="1941" w:type="dxa"/>
            <w:vMerge w:val="restart"/>
            <w:shd w:val="clear" w:color="auto" w:fill="D9D9D9"/>
            <w:vAlign w:val="center"/>
          </w:tcPr>
          <w:p w14:paraId="2E47CE50" w14:textId="77777777" w:rsidR="002D0254" w:rsidRPr="000F612E" w:rsidRDefault="002D0254" w:rsidP="00325FE4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简易案件理由</w:t>
            </w:r>
          </w:p>
          <w:p w14:paraId="13C2AAF5" w14:textId="77777777" w:rsidR="002D0254" w:rsidRPr="000F612E" w:rsidRDefault="002D0254" w:rsidP="00325FE4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（可以单选，也</w:t>
            </w:r>
          </w:p>
          <w:p w14:paraId="2AE9C11D" w14:textId="2E252EF4" w:rsidR="00B54D86" w:rsidRPr="000F612E" w:rsidRDefault="002D0254" w:rsidP="00325FE4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可以多选）</w:t>
            </w:r>
          </w:p>
        </w:tc>
        <w:tc>
          <w:tcPr>
            <w:tcW w:w="6817" w:type="dxa"/>
            <w:gridSpan w:val="2"/>
            <w:vAlign w:val="center"/>
          </w:tcPr>
          <w:p w14:paraId="64A22DBB" w14:textId="533C0A00" w:rsidR="00B54D86" w:rsidRPr="000F612E" w:rsidRDefault="00A3619E" w:rsidP="00CE54E5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sym w:font="Wingdings" w:char="00A8"/>
            </w:r>
            <w:r w:rsidR="008A3804" w:rsidRPr="000F612E">
              <w:rPr>
                <w:rFonts w:ascii="Times New Roman" w:eastAsiaTheme="minorEastAsia" w:hAnsi="Times New Roman"/>
                <w:sz w:val="24"/>
                <w:szCs w:val="24"/>
              </w:rPr>
              <w:t xml:space="preserve"> 1.</w:t>
            </w:r>
            <w:r w:rsidR="008A3804" w:rsidRPr="000F612E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在同一相关市场，参与集中的经营者所占的市场份额之和小于</w:t>
            </w:r>
            <w:r w:rsidR="008A3804" w:rsidRPr="000F612E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15%</w:t>
            </w:r>
            <w:r w:rsidR="008A3804" w:rsidRPr="000F612E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。</w:t>
            </w:r>
          </w:p>
        </w:tc>
      </w:tr>
      <w:tr w:rsidR="00B54D86" w:rsidRPr="000F612E" w14:paraId="12ACFF66" w14:textId="77777777" w:rsidTr="00325FE4">
        <w:trPr>
          <w:trHeight w:val="113"/>
        </w:trPr>
        <w:tc>
          <w:tcPr>
            <w:tcW w:w="1941" w:type="dxa"/>
            <w:vMerge/>
            <w:shd w:val="clear" w:color="auto" w:fill="D9D9D9"/>
            <w:vAlign w:val="center"/>
          </w:tcPr>
          <w:p w14:paraId="5CFF0657" w14:textId="77777777" w:rsidR="00B54D86" w:rsidRPr="000F612E" w:rsidRDefault="00B54D86" w:rsidP="00325FE4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17" w:type="dxa"/>
            <w:gridSpan w:val="2"/>
            <w:vAlign w:val="center"/>
          </w:tcPr>
          <w:p w14:paraId="3EA31D6F" w14:textId="7B34B188" w:rsidR="00B54D86" w:rsidRPr="000F612E" w:rsidRDefault="00B54D86" w:rsidP="00CE54E5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sym w:font="Wingdings" w:char="00A8"/>
            </w:r>
            <w:r w:rsidR="008A3804" w:rsidRPr="000F612E">
              <w:rPr>
                <w:rFonts w:ascii="Times New Roman" w:eastAsiaTheme="minorEastAsia" w:hAnsi="Times New Roman"/>
                <w:sz w:val="24"/>
                <w:szCs w:val="24"/>
              </w:rPr>
              <w:t xml:space="preserve"> 2.</w:t>
            </w:r>
            <w:r w:rsidR="008A3804" w:rsidRPr="000F612E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在上下游市场，参与集中的经营者所占的市场份额均小于</w:t>
            </w:r>
            <w:r w:rsidR="008A3804" w:rsidRPr="000F612E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25%</w:t>
            </w:r>
            <w:r w:rsidR="008A3804" w:rsidRPr="000F612E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。</w:t>
            </w:r>
          </w:p>
        </w:tc>
      </w:tr>
      <w:tr w:rsidR="00B54D86" w:rsidRPr="000F612E" w14:paraId="1B4105CF" w14:textId="77777777" w:rsidTr="00325FE4">
        <w:trPr>
          <w:trHeight w:val="113"/>
        </w:trPr>
        <w:tc>
          <w:tcPr>
            <w:tcW w:w="1941" w:type="dxa"/>
            <w:vMerge/>
            <w:shd w:val="clear" w:color="auto" w:fill="D9D9D9"/>
            <w:vAlign w:val="center"/>
          </w:tcPr>
          <w:p w14:paraId="11CE97E4" w14:textId="77777777" w:rsidR="00B54D86" w:rsidRPr="000F612E" w:rsidRDefault="00B54D86" w:rsidP="00325FE4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17" w:type="dxa"/>
            <w:gridSpan w:val="2"/>
            <w:vAlign w:val="center"/>
          </w:tcPr>
          <w:p w14:paraId="3DA5C345" w14:textId="1C1BB8FF" w:rsidR="00B54D86" w:rsidRPr="000F612E" w:rsidRDefault="00A3619E" w:rsidP="008A3804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sym w:font="Wingdings" w:char="00A8"/>
            </w:r>
            <w:r w:rsidR="008A3804" w:rsidRPr="000F612E">
              <w:rPr>
                <w:rFonts w:ascii="Times New Roman" w:eastAsiaTheme="minorEastAsia" w:hAnsi="Times New Roman"/>
                <w:sz w:val="24"/>
                <w:szCs w:val="24"/>
              </w:rPr>
              <w:t xml:space="preserve"> 3.</w:t>
            </w:r>
            <w:r w:rsidR="008A3804" w:rsidRPr="000F612E">
              <w:rPr>
                <w:rFonts w:ascii="Times New Roman" w:eastAsiaTheme="minorEastAsia" w:hAnsi="Times New Roman"/>
                <w:sz w:val="24"/>
                <w:szCs w:val="24"/>
              </w:rPr>
              <w:t>不在同一相关市场也不存在上下游关系的参与集中的经营者，在与交易有关的每个市场所占的市场份额均小于</w:t>
            </w:r>
            <w:r w:rsidR="008A3804" w:rsidRPr="000F612E">
              <w:rPr>
                <w:rFonts w:ascii="Times New Roman" w:eastAsiaTheme="minorEastAsia" w:hAnsi="Times New Roman"/>
                <w:sz w:val="24"/>
                <w:szCs w:val="24"/>
              </w:rPr>
              <w:t>25%</w:t>
            </w:r>
            <w:r w:rsidR="008A3804" w:rsidRPr="000F612E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</w:tc>
      </w:tr>
      <w:tr w:rsidR="00B54D86" w:rsidRPr="000F612E" w14:paraId="347EDD74" w14:textId="77777777" w:rsidTr="00325FE4">
        <w:trPr>
          <w:trHeight w:val="113"/>
        </w:trPr>
        <w:tc>
          <w:tcPr>
            <w:tcW w:w="1941" w:type="dxa"/>
            <w:vMerge/>
            <w:shd w:val="clear" w:color="auto" w:fill="D9D9D9"/>
            <w:vAlign w:val="center"/>
          </w:tcPr>
          <w:p w14:paraId="2888A493" w14:textId="77777777" w:rsidR="00B54D86" w:rsidRPr="000F612E" w:rsidRDefault="00B54D86" w:rsidP="00325FE4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17" w:type="dxa"/>
            <w:gridSpan w:val="2"/>
            <w:vAlign w:val="center"/>
          </w:tcPr>
          <w:p w14:paraId="1D1E7518" w14:textId="5C913C93" w:rsidR="00B54D86" w:rsidRPr="000F612E" w:rsidRDefault="00B54D86" w:rsidP="008A3804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sym w:font="Wingdings" w:char="00A8"/>
            </w:r>
            <w:r w:rsidR="008A3804" w:rsidRPr="000F612E">
              <w:rPr>
                <w:rFonts w:ascii="Times New Roman" w:eastAsiaTheme="minorEastAsia" w:hAnsi="Times New Roman"/>
                <w:sz w:val="24"/>
                <w:szCs w:val="24"/>
              </w:rPr>
              <w:t xml:space="preserve"> 4.</w:t>
            </w:r>
            <w:r w:rsidR="008A3804" w:rsidRPr="000F612E">
              <w:rPr>
                <w:rFonts w:ascii="Times New Roman" w:eastAsiaTheme="minorEastAsia" w:hAnsi="Times New Roman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B54D86" w:rsidRPr="000F612E" w14:paraId="30DC4995" w14:textId="77777777" w:rsidTr="00325FE4">
        <w:trPr>
          <w:trHeight w:val="113"/>
        </w:trPr>
        <w:tc>
          <w:tcPr>
            <w:tcW w:w="1941" w:type="dxa"/>
            <w:vMerge/>
            <w:shd w:val="clear" w:color="auto" w:fill="D9D9D9"/>
            <w:vAlign w:val="center"/>
          </w:tcPr>
          <w:p w14:paraId="02028CC7" w14:textId="77777777" w:rsidR="00B54D86" w:rsidRPr="000F612E" w:rsidRDefault="00B54D86" w:rsidP="00325FE4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17" w:type="dxa"/>
            <w:gridSpan w:val="2"/>
            <w:vAlign w:val="center"/>
          </w:tcPr>
          <w:p w14:paraId="36DF5568" w14:textId="0493C305" w:rsidR="00B54D86" w:rsidRPr="000F612E" w:rsidRDefault="00A3619E" w:rsidP="008A3804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sym w:font="Wingdings" w:char="F0FE"/>
            </w:r>
            <w:r w:rsidR="008A3804" w:rsidRPr="000F612E">
              <w:rPr>
                <w:rFonts w:ascii="Times New Roman" w:eastAsiaTheme="minorEastAsia" w:hAnsi="Times New Roman"/>
                <w:sz w:val="24"/>
                <w:szCs w:val="24"/>
              </w:rPr>
              <w:t xml:space="preserve"> 5.</w:t>
            </w:r>
            <w:r w:rsidR="008A3804" w:rsidRPr="000F612E">
              <w:rPr>
                <w:rFonts w:ascii="Times New Roman" w:eastAsiaTheme="minorEastAsia" w:hAnsi="Times New Roman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B54D86" w:rsidRPr="000F612E" w14:paraId="58EF9014" w14:textId="77777777" w:rsidTr="00325FE4">
        <w:trPr>
          <w:trHeight w:val="113"/>
        </w:trPr>
        <w:tc>
          <w:tcPr>
            <w:tcW w:w="1941" w:type="dxa"/>
            <w:vMerge/>
            <w:shd w:val="clear" w:color="auto" w:fill="D9D9D9"/>
            <w:vAlign w:val="center"/>
          </w:tcPr>
          <w:p w14:paraId="0DFF9899" w14:textId="77777777" w:rsidR="00B54D86" w:rsidRPr="000F612E" w:rsidRDefault="00B54D86" w:rsidP="00325FE4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17" w:type="dxa"/>
            <w:gridSpan w:val="2"/>
            <w:vAlign w:val="center"/>
          </w:tcPr>
          <w:p w14:paraId="218DD34A" w14:textId="7A7B5897" w:rsidR="00B54D86" w:rsidRPr="000F612E" w:rsidRDefault="000D116F" w:rsidP="008A3804">
            <w:pPr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sym w:font="Wingdings" w:char="00A8"/>
            </w:r>
            <w:r w:rsidR="008A3804" w:rsidRPr="000F612E">
              <w:rPr>
                <w:rFonts w:ascii="Times New Roman" w:eastAsiaTheme="minorEastAsia" w:hAnsi="Times New Roman"/>
                <w:sz w:val="24"/>
                <w:szCs w:val="24"/>
              </w:rPr>
              <w:t xml:space="preserve"> 6.</w:t>
            </w:r>
            <w:r w:rsidR="008A3804" w:rsidRPr="000F612E">
              <w:rPr>
                <w:rFonts w:ascii="Times New Roman" w:eastAsiaTheme="minorEastAsia" w:hAnsi="Times New Roman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B54D86" w:rsidRPr="000F612E" w14:paraId="4074172B" w14:textId="77777777" w:rsidTr="004C101C">
        <w:trPr>
          <w:trHeight w:val="799"/>
        </w:trPr>
        <w:tc>
          <w:tcPr>
            <w:tcW w:w="1941" w:type="dxa"/>
            <w:shd w:val="clear" w:color="auto" w:fill="D9D9D9"/>
            <w:vAlign w:val="center"/>
          </w:tcPr>
          <w:p w14:paraId="79773311" w14:textId="7EB5E850" w:rsidR="00B54D86" w:rsidRPr="000F612E" w:rsidRDefault="002D0254" w:rsidP="004C101C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备注</w:t>
            </w:r>
          </w:p>
        </w:tc>
        <w:tc>
          <w:tcPr>
            <w:tcW w:w="6817" w:type="dxa"/>
            <w:gridSpan w:val="2"/>
            <w:vAlign w:val="center"/>
          </w:tcPr>
          <w:p w14:paraId="57CBCC93" w14:textId="58484178" w:rsidR="00374817" w:rsidRPr="000F612E" w:rsidRDefault="00211EF0" w:rsidP="004C101C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F612E">
              <w:rPr>
                <w:rFonts w:ascii="Times New Roman" w:eastAsiaTheme="minorEastAsia" w:hAnsi="Times New Roman"/>
                <w:sz w:val="24"/>
                <w:szCs w:val="24"/>
              </w:rPr>
              <w:t>不适用</w:t>
            </w:r>
          </w:p>
        </w:tc>
      </w:tr>
    </w:tbl>
    <w:p w14:paraId="636C7827" w14:textId="77777777" w:rsidR="00074D3D" w:rsidRPr="000F612E" w:rsidRDefault="00074D3D" w:rsidP="00B91BA3">
      <w:pPr>
        <w:snapToGrid w:val="0"/>
        <w:rPr>
          <w:rFonts w:ascii="Times New Roman" w:eastAsia="仿宋_GB2312" w:hAnsi="Times New Roman"/>
          <w:sz w:val="22"/>
        </w:rPr>
      </w:pPr>
    </w:p>
    <w:p w14:paraId="1FA0F3BE" w14:textId="77777777" w:rsidR="00716957" w:rsidRPr="000F612E" w:rsidRDefault="00716957" w:rsidP="00B91BA3">
      <w:pPr>
        <w:snapToGrid w:val="0"/>
        <w:rPr>
          <w:rFonts w:ascii="Times New Roman" w:hAnsi="Times New Roman"/>
          <w:sz w:val="22"/>
        </w:rPr>
      </w:pPr>
    </w:p>
    <w:sectPr w:rsidR="00716957" w:rsidRPr="000F612E">
      <w:headerReference w:type="default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4AA3" w14:textId="77777777" w:rsidR="00571A96" w:rsidRDefault="00571A96">
      <w:r>
        <w:separator/>
      </w:r>
    </w:p>
  </w:endnote>
  <w:endnote w:type="continuationSeparator" w:id="0">
    <w:p w14:paraId="32D45FBD" w14:textId="77777777" w:rsidR="00571A96" w:rsidRDefault="0057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8C517D5-06E0-4CAD-8931-F15FA6288710}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5FA0" w14:textId="1B5360BD" w:rsidR="00716957" w:rsidRPr="00716957" w:rsidRDefault="00716957" w:rsidP="00716957">
    <w:pPr>
      <w:tabs>
        <w:tab w:val="right" w:pos="8300"/>
      </w:tabs>
      <w:rPr>
        <w:rFonts w:ascii="Times New Roman" w:hAnsi="Times New Roman"/>
        <w:sz w:val="15"/>
      </w:rPr>
    </w:pPr>
    <w:r w:rsidRPr="00716957">
      <w:rPr>
        <w:rFonts w:ascii="Times New Roman" w:hAnsi="Times New Roman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F935" w14:textId="7754506D" w:rsidR="00716957" w:rsidRDefault="00716957" w:rsidP="00716957">
    <w:pPr>
      <w:pStyle w:val="a7"/>
    </w:pPr>
  </w:p>
  <w:p w14:paraId="789E4E32" w14:textId="485EE17B" w:rsidR="00716957" w:rsidRPr="00716957" w:rsidRDefault="00716957" w:rsidP="00716957">
    <w:pPr>
      <w:tabs>
        <w:tab w:val="right" w:pos="8300"/>
      </w:tabs>
      <w:rPr>
        <w:rFonts w:ascii="Times New Roman" w:hAnsi="Times New Roman"/>
        <w:sz w:val="15"/>
      </w:rPr>
    </w:pPr>
    <w:r w:rsidRPr="00716957">
      <w:rPr>
        <w:rFonts w:ascii="Times New Roman" w:hAnsi="Times New Roman"/>
        <w:sz w:val="14"/>
      </w:rPr>
      <w:fldChar w:fldCharType="begin"/>
    </w:r>
    <w:r w:rsidRPr="00716957">
      <w:rPr>
        <w:rFonts w:ascii="Times New Roman" w:hAnsi="Times New Roman"/>
        <w:sz w:val="14"/>
      </w:rPr>
      <w:instrText xml:space="preserve"> DOCPROPERTY DPWPathText \* MERGEFORMAT </w:instrText>
    </w:r>
    <w:r w:rsidRPr="00716957">
      <w:rPr>
        <w:rFonts w:ascii="Times New Roman" w:hAnsi="Times New Roman"/>
        <w:sz w:val="14"/>
      </w:rPr>
      <w:fldChar w:fldCharType="separate"/>
    </w:r>
    <w:r w:rsidR="00B54D86">
      <w:rPr>
        <w:rFonts w:ascii="Times New Roman" w:hAnsi="Times New Roman"/>
        <w:sz w:val="14"/>
      </w:rPr>
      <w:t>#97717177v5</w:t>
    </w:r>
    <w:r w:rsidRPr="00716957">
      <w:rPr>
        <w:rFonts w:ascii="Times New Roman" w:hAnsi="Times New Roman"/>
        <w:sz w:val="14"/>
      </w:rPr>
      <w:fldChar w:fldCharType="end"/>
    </w:r>
    <w:r w:rsidRPr="00716957">
      <w:rPr>
        <w:rFonts w:ascii="Times New Roman" w:hAnsi="Times New Roman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F472" w14:textId="77777777" w:rsidR="00571A96" w:rsidRDefault="00571A96">
      <w:r>
        <w:separator/>
      </w:r>
    </w:p>
  </w:footnote>
  <w:footnote w:type="continuationSeparator" w:id="0">
    <w:p w14:paraId="613A1967" w14:textId="77777777" w:rsidR="00571A96" w:rsidRDefault="0057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5156" w14:textId="77777777" w:rsidR="003A0CA5" w:rsidRDefault="003A0CA5" w:rsidP="00B91BA3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5D0B"/>
    <w:multiLevelType w:val="multilevel"/>
    <w:tmpl w:val="11175D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7029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xMDQGAiMjS1MDYyUdpeDU4uLM/DyQAsNaAAxkURMsAAAA"/>
  </w:docVars>
  <w:rsids>
    <w:rsidRoot w:val="00074D3D"/>
    <w:rsid w:val="000109F1"/>
    <w:rsid w:val="00010F64"/>
    <w:rsid w:val="000136AE"/>
    <w:rsid w:val="0001697C"/>
    <w:rsid w:val="000221B2"/>
    <w:rsid w:val="000240FA"/>
    <w:rsid w:val="00032BA7"/>
    <w:rsid w:val="00036E43"/>
    <w:rsid w:val="000459C1"/>
    <w:rsid w:val="00046287"/>
    <w:rsid w:val="00055251"/>
    <w:rsid w:val="0005556E"/>
    <w:rsid w:val="000604A9"/>
    <w:rsid w:val="00074D3D"/>
    <w:rsid w:val="00082A31"/>
    <w:rsid w:val="0008714A"/>
    <w:rsid w:val="00092C79"/>
    <w:rsid w:val="000A0AA4"/>
    <w:rsid w:val="000A2D7D"/>
    <w:rsid w:val="000A50B3"/>
    <w:rsid w:val="000B7E17"/>
    <w:rsid w:val="000C7915"/>
    <w:rsid w:val="000D116F"/>
    <w:rsid w:val="000E2361"/>
    <w:rsid w:val="000F08C1"/>
    <w:rsid w:val="000F25B0"/>
    <w:rsid w:val="000F612E"/>
    <w:rsid w:val="00104DFE"/>
    <w:rsid w:val="00105E4B"/>
    <w:rsid w:val="00115EDD"/>
    <w:rsid w:val="00127880"/>
    <w:rsid w:val="00131C97"/>
    <w:rsid w:val="001330CB"/>
    <w:rsid w:val="001370A3"/>
    <w:rsid w:val="00137F58"/>
    <w:rsid w:val="00143E42"/>
    <w:rsid w:val="00145258"/>
    <w:rsid w:val="00147390"/>
    <w:rsid w:val="001555A5"/>
    <w:rsid w:val="00157AB4"/>
    <w:rsid w:val="00157CAA"/>
    <w:rsid w:val="00161993"/>
    <w:rsid w:val="00163629"/>
    <w:rsid w:val="00165689"/>
    <w:rsid w:val="00172C77"/>
    <w:rsid w:val="00187255"/>
    <w:rsid w:val="001A2CA0"/>
    <w:rsid w:val="001A2E7E"/>
    <w:rsid w:val="001A7487"/>
    <w:rsid w:val="001B1BAB"/>
    <w:rsid w:val="001B5F85"/>
    <w:rsid w:val="001D5E99"/>
    <w:rsid w:val="001E482A"/>
    <w:rsid w:val="001E5EC9"/>
    <w:rsid w:val="001E7706"/>
    <w:rsid w:val="001F0AA2"/>
    <w:rsid w:val="001F64D6"/>
    <w:rsid w:val="00211EF0"/>
    <w:rsid w:val="00217887"/>
    <w:rsid w:val="00240F4E"/>
    <w:rsid w:val="00250EC6"/>
    <w:rsid w:val="0025285D"/>
    <w:rsid w:val="00255CA4"/>
    <w:rsid w:val="00260379"/>
    <w:rsid w:val="00264D1E"/>
    <w:rsid w:val="00276C72"/>
    <w:rsid w:val="002816E2"/>
    <w:rsid w:val="002856B7"/>
    <w:rsid w:val="002875EE"/>
    <w:rsid w:val="0028794C"/>
    <w:rsid w:val="00290E69"/>
    <w:rsid w:val="00295494"/>
    <w:rsid w:val="002A1561"/>
    <w:rsid w:val="002A17E2"/>
    <w:rsid w:val="002A27D5"/>
    <w:rsid w:val="002A2AFF"/>
    <w:rsid w:val="002B3798"/>
    <w:rsid w:val="002B3A6A"/>
    <w:rsid w:val="002B7E4C"/>
    <w:rsid w:val="002C1DB4"/>
    <w:rsid w:val="002C3658"/>
    <w:rsid w:val="002C4B86"/>
    <w:rsid w:val="002D0254"/>
    <w:rsid w:val="002D490A"/>
    <w:rsid w:val="002D5C60"/>
    <w:rsid w:val="002D606D"/>
    <w:rsid w:val="002E582A"/>
    <w:rsid w:val="002E7C3C"/>
    <w:rsid w:val="002F0F31"/>
    <w:rsid w:val="002F7FE7"/>
    <w:rsid w:val="00320C27"/>
    <w:rsid w:val="00320FF4"/>
    <w:rsid w:val="00325FE4"/>
    <w:rsid w:val="00332AAB"/>
    <w:rsid w:val="00334CE2"/>
    <w:rsid w:val="00351FE5"/>
    <w:rsid w:val="00363D45"/>
    <w:rsid w:val="0036636B"/>
    <w:rsid w:val="00367309"/>
    <w:rsid w:val="00367DAA"/>
    <w:rsid w:val="00370A5E"/>
    <w:rsid w:val="00374817"/>
    <w:rsid w:val="0039111D"/>
    <w:rsid w:val="00391CDD"/>
    <w:rsid w:val="0039485F"/>
    <w:rsid w:val="00395012"/>
    <w:rsid w:val="00396158"/>
    <w:rsid w:val="003A0CA5"/>
    <w:rsid w:val="003A3C98"/>
    <w:rsid w:val="003A40F5"/>
    <w:rsid w:val="003B2584"/>
    <w:rsid w:val="003B3A48"/>
    <w:rsid w:val="003B5A2E"/>
    <w:rsid w:val="003C3255"/>
    <w:rsid w:val="003C6D7E"/>
    <w:rsid w:val="003D21EE"/>
    <w:rsid w:val="003D2F79"/>
    <w:rsid w:val="003D5D20"/>
    <w:rsid w:val="003D75B8"/>
    <w:rsid w:val="003E03EC"/>
    <w:rsid w:val="003E25D4"/>
    <w:rsid w:val="0043515F"/>
    <w:rsid w:val="0044175D"/>
    <w:rsid w:val="00447BFD"/>
    <w:rsid w:val="00450606"/>
    <w:rsid w:val="00451CBE"/>
    <w:rsid w:val="0045462A"/>
    <w:rsid w:val="00455312"/>
    <w:rsid w:val="0046560F"/>
    <w:rsid w:val="00467AD0"/>
    <w:rsid w:val="00470514"/>
    <w:rsid w:val="0047223A"/>
    <w:rsid w:val="00477A03"/>
    <w:rsid w:val="004821D5"/>
    <w:rsid w:val="00486F47"/>
    <w:rsid w:val="004914EC"/>
    <w:rsid w:val="00497F59"/>
    <w:rsid w:val="004C101C"/>
    <w:rsid w:val="004D7723"/>
    <w:rsid w:val="004F1422"/>
    <w:rsid w:val="004F26C2"/>
    <w:rsid w:val="00506C25"/>
    <w:rsid w:val="00513871"/>
    <w:rsid w:val="0051525B"/>
    <w:rsid w:val="00522B8F"/>
    <w:rsid w:val="00525194"/>
    <w:rsid w:val="00526B88"/>
    <w:rsid w:val="005367B8"/>
    <w:rsid w:val="005452D8"/>
    <w:rsid w:val="0054652E"/>
    <w:rsid w:val="005550C2"/>
    <w:rsid w:val="0055706A"/>
    <w:rsid w:val="00570F77"/>
    <w:rsid w:val="00571A96"/>
    <w:rsid w:val="005B37E4"/>
    <w:rsid w:val="005C118C"/>
    <w:rsid w:val="005C7D8C"/>
    <w:rsid w:val="005D0340"/>
    <w:rsid w:val="005D1172"/>
    <w:rsid w:val="005F174E"/>
    <w:rsid w:val="005F658A"/>
    <w:rsid w:val="006064F9"/>
    <w:rsid w:val="00607360"/>
    <w:rsid w:val="00615A86"/>
    <w:rsid w:val="00623F5F"/>
    <w:rsid w:val="00630AB5"/>
    <w:rsid w:val="00632F61"/>
    <w:rsid w:val="00632FBE"/>
    <w:rsid w:val="00644CF3"/>
    <w:rsid w:val="00645AF2"/>
    <w:rsid w:val="00651E72"/>
    <w:rsid w:val="0065404B"/>
    <w:rsid w:val="006608ED"/>
    <w:rsid w:val="00664B10"/>
    <w:rsid w:val="006675AE"/>
    <w:rsid w:val="00675B31"/>
    <w:rsid w:val="006826F6"/>
    <w:rsid w:val="00683070"/>
    <w:rsid w:val="00691CEC"/>
    <w:rsid w:val="006A1BC0"/>
    <w:rsid w:val="006A2BFE"/>
    <w:rsid w:val="006A3BC5"/>
    <w:rsid w:val="006A696B"/>
    <w:rsid w:val="006B32EF"/>
    <w:rsid w:val="006C570F"/>
    <w:rsid w:val="006C6024"/>
    <w:rsid w:val="006C7F4A"/>
    <w:rsid w:val="006D5291"/>
    <w:rsid w:val="006E33DF"/>
    <w:rsid w:val="006E48E6"/>
    <w:rsid w:val="006F5967"/>
    <w:rsid w:val="006F741C"/>
    <w:rsid w:val="007023CF"/>
    <w:rsid w:val="00705078"/>
    <w:rsid w:val="007122F7"/>
    <w:rsid w:val="00716957"/>
    <w:rsid w:val="00723E41"/>
    <w:rsid w:val="00724C73"/>
    <w:rsid w:val="007274E7"/>
    <w:rsid w:val="00727C80"/>
    <w:rsid w:val="0073408A"/>
    <w:rsid w:val="00736014"/>
    <w:rsid w:val="00743137"/>
    <w:rsid w:val="0074597D"/>
    <w:rsid w:val="00753F31"/>
    <w:rsid w:val="0075586F"/>
    <w:rsid w:val="00766225"/>
    <w:rsid w:val="007708BF"/>
    <w:rsid w:val="00782098"/>
    <w:rsid w:val="00787B4E"/>
    <w:rsid w:val="00795BFD"/>
    <w:rsid w:val="007B6168"/>
    <w:rsid w:val="007C05A9"/>
    <w:rsid w:val="007C0C70"/>
    <w:rsid w:val="007C25DB"/>
    <w:rsid w:val="007C28D2"/>
    <w:rsid w:val="007C6977"/>
    <w:rsid w:val="007D41A5"/>
    <w:rsid w:val="007D65ED"/>
    <w:rsid w:val="007F427B"/>
    <w:rsid w:val="007F59DF"/>
    <w:rsid w:val="00801CBA"/>
    <w:rsid w:val="0081054C"/>
    <w:rsid w:val="0082577D"/>
    <w:rsid w:val="0083472D"/>
    <w:rsid w:val="00835197"/>
    <w:rsid w:val="008354FD"/>
    <w:rsid w:val="0083591D"/>
    <w:rsid w:val="00835C35"/>
    <w:rsid w:val="00835D78"/>
    <w:rsid w:val="00837535"/>
    <w:rsid w:val="00847687"/>
    <w:rsid w:val="00867C39"/>
    <w:rsid w:val="00880995"/>
    <w:rsid w:val="008850B2"/>
    <w:rsid w:val="008A3804"/>
    <w:rsid w:val="008D0D38"/>
    <w:rsid w:val="008D1232"/>
    <w:rsid w:val="008D2C4E"/>
    <w:rsid w:val="008E32B9"/>
    <w:rsid w:val="008F494B"/>
    <w:rsid w:val="00905FDE"/>
    <w:rsid w:val="00907516"/>
    <w:rsid w:val="009171D6"/>
    <w:rsid w:val="0093742C"/>
    <w:rsid w:val="00941F2C"/>
    <w:rsid w:val="00944B21"/>
    <w:rsid w:val="00964685"/>
    <w:rsid w:val="009709D9"/>
    <w:rsid w:val="00991E50"/>
    <w:rsid w:val="009B1AB4"/>
    <w:rsid w:val="009C7437"/>
    <w:rsid w:val="009D7DB4"/>
    <w:rsid w:val="009D7DDA"/>
    <w:rsid w:val="009E0B6A"/>
    <w:rsid w:val="009E2CAF"/>
    <w:rsid w:val="009F57EF"/>
    <w:rsid w:val="00A142DC"/>
    <w:rsid w:val="00A162D8"/>
    <w:rsid w:val="00A2578E"/>
    <w:rsid w:val="00A339D8"/>
    <w:rsid w:val="00A343B6"/>
    <w:rsid w:val="00A3619E"/>
    <w:rsid w:val="00A45C82"/>
    <w:rsid w:val="00A607BA"/>
    <w:rsid w:val="00A61B0D"/>
    <w:rsid w:val="00A703C2"/>
    <w:rsid w:val="00A80808"/>
    <w:rsid w:val="00A83519"/>
    <w:rsid w:val="00AA449F"/>
    <w:rsid w:val="00AA47AF"/>
    <w:rsid w:val="00AA676A"/>
    <w:rsid w:val="00AB5BDA"/>
    <w:rsid w:val="00AC2F2E"/>
    <w:rsid w:val="00AC4A79"/>
    <w:rsid w:val="00AC648D"/>
    <w:rsid w:val="00AC7905"/>
    <w:rsid w:val="00AD0529"/>
    <w:rsid w:val="00AE438F"/>
    <w:rsid w:val="00AE5974"/>
    <w:rsid w:val="00AE6AF6"/>
    <w:rsid w:val="00AF45B6"/>
    <w:rsid w:val="00AF623D"/>
    <w:rsid w:val="00AF7030"/>
    <w:rsid w:val="00AF71AA"/>
    <w:rsid w:val="00B0299D"/>
    <w:rsid w:val="00B13DE8"/>
    <w:rsid w:val="00B23483"/>
    <w:rsid w:val="00B23C7E"/>
    <w:rsid w:val="00B2401D"/>
    <w:rsid w:val="00B25085"/>
    <w:rsid w:val="00B30C1E"/>
    <w:rsid w:val="00B33953"/>
    <w:rsid w:val="00B37F9E"/>
    <w:rsid w:val="00B42623"/>
    <w:rsid w:val="00B47780"/>
    <w:rsid w:val="00B54D86"/>
    <w:rsid w:val="00B60A12"/>
    <w:rsid w:val="00B76377"/>
    <w:rsid w:val="00B8127B"/>
    <w:rsid w:val="00B872E0"/>
    <w:rsid w:val="00B90789"/>
    <w:rsid w:val="00B90D83"/>
    <w:rsid w:val="00B91BA3"/>
    <w:rsid w:val="00BA1FBB"/>
    <w:rsid w:val="00BA3A3C"/>
    <w:rsid w:val="00BA7683"/>
    <w:rsid w:val="00BA7898"/>
    <w:rsid w:val="00BB21C9"/>
    <w:rsid w:val="00BB5A1D"/>
    <w:rsid w:val="00BC1B3E"/>
    <w:rsid w:val="00BD3DC8"/>
    <w:rsid w:val="00BD61F0"/>
    <w:rsid w:val="00BE278E"/>
    <w:rsid w:val="00BF0A8C"/>
    <w:rsid w:val="00BF41C5"/>
    <w:rsid w:val="00C051B3"/>
    <w:rsid w:val="00C175BD"/>
    <w:rsid w:val="00C207CA"/>
    <w:rsid w:val="00C20B62"/>
    <w:rsid w:val="00C32A64"/>
    <w:rsid w:val="00C32AA1"/>
    <w:rsid w:val="00C33AE6"/>
    <w:rsid w:val="00C41E8A"/>
    <w:rsid w:val="00C43B78"/>
    <w:rsid w:val="00C57B00"/>
    <w:rsid w:val="00C641D4"/>
    <w:rsid w:val="00C661D7"/>
    <w:rsid w:val="00C856D1"/>
    <w:rsid w:val="00C91B50"/>
    <w:rsid w:val="00C945B7"/>
    <w:rsid w:val="00CA6EAB"/>
    <w:rsid w:val="00CC1B6E"/>
    <w:rsid w:val="00CC2230"/>
    <w:rsid w:val="00CC4B26"/>
    <w:rsid w:val="00CE08D9"/>
    <w:rsid w:val="00CE4218"/>
    <w:rsid w:val="00CE4E97"/>
    <w:rsid w:val="00CE54E5"/>
    <w:rsid w:val="00CF0B02"/>
    <w:rsid w:val="00CF2059"/>
    <w:rsid w:val="00CF309E"/>
    <w:rsid w:val="00CF55B8"/>
    <w:rsid w:val="00D114EB"/>
    <w:rsid w:val="00D32727"/>
    <w:rsid w:val="00D32EF5"/>
    <w:rsid w:val="00D4208C"/>
    <w:rsid w:val="00D554E1"/>
    <w:rsid w:val="00D56FBB"/>
    <w:rsid w:val="00D87A3D"/>
    <w:rsid w:val="00DB74B8"/>
    <w:rsid w:val="00DC2052"/>
    <w:rsid w:val="00DC2636"/>
    <w:rsid w:val="00DD4B15"/>
    <w:rsid w:val="00DE2D3D"/>
    <w:rsid w:val="00DF56E8"/>
    <w:rsid w:val="00E13AB7"/>
    <w:rsid w:val="00E200D4"/>
    <w:rsid w:val="00E223ED"/>
    <w:rsid w:val="00E30980"/>
    <w:rsid w:val="00E4224C"/>
    <w:rsid w:val="00E46556"/>
    <w:rsid w:val="00E47A30"/>
    <w:rsid w:val="00E552B7"/>
    <w:rsid w:val="00E7641C"/>
    <w:rsid w:val="00E76E5C"/>
    <w:rsid w:val="00E84FDB"/>
    <w:rsid w:val="00E86B58"/>
    <w:rsid w:val="00E940C1"/>
    <w:rsid w:val="00E95FAE"/>
    <w:rsid w:val="00EA1633"/>
    <w:rsid w:val="00EA2B4B"/>
    <w:rsid w:val="00EB1401"/>
    <w:rsid w:val="00EB7282"/>
    <w:rsid w:val="00EC0EFF"/>
    <w:rsid w:val="00ED283B"/>
    <w:rsid w:val="00ED4531"/>
    <w:rsid w:val="00EF3644"/>
    <w:rsid w:val="00F06DFB"/>
    <w:rsid w:val="00F17037"/>
    <w:rsid w:val="00F23AE2"/>
    <w:rsid w:val="00F412E2"/>
    <w:rsid w:val="00F46D7A"/>
    <w:rsid w:val="00F513B0"/>
    <w:rsid w:val="00F52177"/>
    <w:rsid w:val="00F56DAF"/>
    <w:rsid w:val="00F57F1C"/>
    <w:rsid w:val="00F71184"/>
    <w:rsid w:val="00F74C85"/>
    <w:rsid w:val="00F801DF"/>
    <w:rsid w:val="00F81FF0"/>
    <w:rsid w:val="00F8261A"/>
    <w:rsid w:val="00F845B8"/>
    <w:rsid w:val="00F9103C"/>
    <w:rsid w:val="00F93D09"/>
    <w:rsid w:val="00F976B9"/>
    <w:rsid w:val="00FA174E"/>
    <w:rsid w:val="00FA4EDB"/>
    <w:rsid w:val="00FA5836"/>
    <w:rsid w:val="00FA5876"/>
    <w:rsid w:val="00FB1B21"/>
    <w:rsid w:val="00FB2044"/>
    <w:rsid w:val="00FC6451"/>
    <w:rsid w:val="00FC7039"/>
    <w:rsid w:val="00FE1719"/>
    <w:rsid w:val="00FE7B3F"/>
    <w:rsid w:val="00FF546E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B0CD45"/>
  <w15:docId w15:val="{1C10BE5E-1EB9-4DF6-BF8C-8178A71D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pPr>
      <w:snapToGrid w:val="0"/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ndnote reference"/>
    <w:uiPriority w:val="99"/>
    <w:semiHidden/>
    <w:unhideWhenUsed/>
    <w:rPr>
      <w:vertAlign w:val="superscript"/>
    </w:rPr>
  </w:style>
  <w:style w:type="character" w:customStyle="1" w:styleId="a4">
    <w:name w:val="尾注文本 字符"/>
    <w:basedOn w:val="a0"/>
    <w:link w:val="a3"/>
    <w:uiPriority w:val="99"/>
    <w:semiHidden/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styleId="ad">
    <w:name w:val="Revision"/>
    <w:hidden/>
    <w:uiPriority w:val="99"/>
    <w:unhideWhenUsed/>
    <w:rPr>
      <w:kern w:val="2"/>
      <w:sz w:val="21"/>
      <w:szCs w:val="22"/>
    </w:rPr>
  </w:style>
  <w:style w:type="paragraph" w:styleId="ae">
    <w:name w:val="annotation text"/>
    <w:basedOn w:val="a"/>
    <w:link w:val="af"/>
    <w:uiPriority w:val="99"/>
    <w:unhideWhenUsed/>
    <w:rsid w:val="00E7641C"/>
    <w:rPr>
      <w:sz w:val="20"/>
      <w:szCs w:val="20"/>
    </w:rPr>
  </w:style>
  <w:style w:type="character" w:customStyle="1" w:styleId="af">
    <w:name w:val="批注文字 字符"/>
    <w:basedOn w:val="a0"/>
    <w:link w:val="ae"/>
    <w:uiPriority w:val="99"/>
    <w:rsid w:val="00E7641C"/>
    <w:rPr>
      <w:kern w:val="2"/>
    </w:rPr>
  </w:style>
  <w:style w:type="character" w:styleId="af0">
    <w:name w:val="annotation reference"/>
    <w:basedOn w:val="a0"/>
    <w:uiPriority w:val="99"/>
    <w:unhideWhenUsed/>
    <w:rsid w:val="00E7641C"/>
    <w:rPr>
      <w:sz w:val="21"/>
      <w:szCs w:val="21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E7641C"/>
    <w:rPr>
      <w:b/>
      <w:bCs/>
    </w:rPr>
  </w:style>
  <w:style w:type="character" w:customStyle="1" w:styleId="af2">
    <w:name w:val="批注主题 字符"/>
    <w:basedOn w:val="af"/>
    <w:link w:val="af1"/>
    <w:uiPriority w:val="99"/>
    <w:semiHidden/>
    <w:rsid w:val="00E7641C"/>
    <w:rPr>
      <w:b/>
      <w:bCs/>
      <w:kern w:val="2"/>
    </w:rPr>
  </w:style>
  <w:style w:type="character" w:styleId="af3">
    <w:name w:val="Subtle Emphasis"/>
    <w:basedOn w:val="a0"/>
    <w:uiPriority w:val="19"/>
    <w:semiHidden/>
    <w:qFormat/>
    <w:rsid w:val="00716957"/>
    <w:rPr>
      <w:i/>
      <w:iCs/>
      <w:color w:val="404040" w:themeColor="text1" w:themeTint="BF"/>
    </w:rPr>
  </w:style>
  <w:style w:type="character" w:styleId="af4">
    <w:name w:val="Emphasis"/>
    <w:basedOn w:val="a0"/>
    <w:uiPriority w:val="20"/>
    <w:semiHidden/>
    <w:qFormat/>
    <w:rsid w:val="00716957"/>
    <w:rPr>
      <w:i/>
      <w:iCs/>
    </w:rPr>
  </w:style>
  <w:style w:type="character" w:styleId="af5">
    <w:name w:val="Intense Emphasis"/>
    <w:basedOn w:val="a0"/>
    <w:uiPriority w:val="21"/>
    <w:semiHidden/>
    <w:qFormat/>
    <w:rsid w:val="00716957"/>
    <w:rPr>
      <w:i/>
      <w:iCs/>
      <w:color w:val="5B9BD5" w:themeColor="accent1"/>
    </w:rPr>
  </w:style>
  <w:style w:type="character" w:styleId="af6">
    <w:name w:val="Strong"/>
    <w:basedOn w:val="a0"/>
    <w:uiPriority w:val="22"/>
    <w:semiHidden/>
    <w:qFormat/>
    <w:rsid w:val="00716957"/>
    <w:rPr>
      <w:b/>
      <w:bCs/>
    </w:rPr>
  </w:style>
  <w:style w:type="paragraph" w:styleId="af7">
    <w:name w:val="Quote"/>
    <w:basedOn w:val="a"/>
    <w:next w:val="a"/>
    <w:link w:val="af8"/>
    <w:uiPriority w:val="99"/>
    <w:semiHidden/>
    <w:unhideWhenUsed/>
    <w:rsid w:val="0071695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8">
    <w:name w:val="引用 字符"/>
    <w:basedOn w:val="a0"/>
    <w:link w:val="af7"/>
    <w:uiPriority w:val="99"/>
    <w:semiHidden/>
    <w:rsid w:val="00716957"/>
    <w:rPr>
      <w:i/>
      <w:iCs/>
      <w:color w:val="404040" w:themeColor="text1" w:themeTint="BF"/>
      <w:kern w:val="2"/>
      <w:sz w:val="21"/>
      <w:szCs w:val="22"/>
    </w:rPr>
  </w:style>
  <w:style w:type="paragraph" w:styleId="af9">
    <w:name w:val="Intense Quote"/>
    <w:basedOn w:val="a"/>
    <w:next w:val="a"/>
    <w:link w:val="afa"/>
    <w:uiPriority w:val="99"/>
    <w:semiHidden/>
    <w:unhideWhenUsed/>
    <w:rsid w:val="0071695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a">
    <w:name w:val="明显引用 字符"/>
    <w:basedOn w:val="a0"/>
    <w:link w:val="af9"/>
    <w:uiPriority w:val="99"/>
    <w:semiHidden/>
    <w:rsid w:val="00716957"/>
    <w:rPr>
      <w:i/>
      <w:iCs/>
      <w:color w:val="5B9BD5" w:themeColor="accent1"/>
      <w:kern w:val="2"/>
      <w:sz w:val="21"/>
      <w:szCs w:val="22"/>
    </w:rPr>
  </w:style>
  <w:style w:type="character" w:styleId="afb">
    <w:name w:val="Subtle Reference"/>
    <w:basedOn w:val="a0"/>
    <w:uiPriority w:val="31"/>
    <w:semiHidden/>
    <w:qFormat/>
    <w:rsid w:val="00716957"/>
    <w:rPr>
      <w:smallCaps/>
      <w:color w:val="5A5A5A" w:themeColor="text1" w:themeTint="A5"/>
    </w:rPr>
  </w:style>
  <w:style w:type="character" w:styleId="afc">
    <w:name w:val="Intense Reference"/>
    <w:basedOn w:val="a0"/>
    <w:uiPriority w:val="32"/>
    <w:semiHidden/>
    <w:qFormat/>
    <w:rsid w:val="00716957"/>
    <w:rPr>
      <w:b/>
      <w:bCs/>
      <w:smallCaps/>
      <w:color w:val="5B9BD5" w:themeColor="accent1"/>
      <w:spacing w:val="5"/>
    </w:rPr>
  </w:style>
  <w:style w:type="character" w:styleId="afd">
    <w:name w:val="Book Title"/>
    <w:basedOn w:val="a0"/>
    <w:uiPriority w:val="33"/>
    <w:semiHidden/>
    <w:qFormat/>
    <w:rsid w:val="00716957"/>
    <w:rPr>
      <w:b/>
      <w:bCs/>
      <w:i/>
      <w:iCs/>
      <w:spacing w:val="5"/>
    </w:rPr>
  </w:style>
  <w:style w:type="paragraph" w:styleId="afe">
    <w:name w:val="List Paragraph"/>
    <w:basedOn w:val="a"/>
    <w:uiPriority w:val="99"/>
    <w:semiHidden/>
    <w:unhideWhenUsed/>
    <w:rsid w:val="00716957"/>
    <w:pPr>
      <w:ind w:left="720"/>
      <w:contextualSpacing/>
    </w:pPr>
  </w:style>
  <w:style w:type="paragraph" w:styleId="aff">
    <w:name w:val="footnote text"/>
    <w:basedOn w:val="a"/>
    <w:link w:val="aff0"/>
    <w:uiPriority w:val="99"/>
    <w:semiHidden/>
    <w:unhideWhenUsed/>
    <w:rsid w:val="00B54D86"/>
    <w:rPr>
      <w:sz w:val="20"/>
      <w:szCs w:val="20"/>
    </w:rPr>
  </w:style>
  <w:style w:type="character" w:customStyle="1" w:styleId="aff0">
    <w:name w:val="脚注文本 字符"/>
    <w:basedOn w:val="a0"/>
    <w:link w:val="aff"/>
    <w:uiPriority w:val="99"/>
    <w:semiHidden/>
    <w:rsid w:val="00B54D86"/>
    <w:rPr>
      <w:kern w:val="2"/>
    </w:rPr>
  </w:style>
  <w:style w:type="character" w:styleId="aff1">
    <w:name w:val="footnote reference"/>
    <w:basedOn w:val="a0"/>
    <w:uiPriority w:val="99"/>
    <w:semiHidden/>
    <w:unhideWhenUsed/>
    <w:rsid w:val="00B54D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 E M E A ! 1 5 2 3 2 2 3 3 3 . 2 < / d o c u m e n t i d >  
     < s e n d e r i d > T A N T U G I < / s e n d e r i d >  
     < s e n d e r e m a i l > G I U S E P P E . T A N T U L L I @ W H I T E C A S E . C O M < / s e n d e r e m a i l >  
     < l a s t m o d i f i e d > 2 0 2 4 - 1 1 - 0 6 T 1 5 : 1 5 : 0 0 . 0 0 0 0 0 0 0 + 0 1 : 0 0 < / l a s t m o d i f i e d >  
     < d a t a b a s e > E M E A 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4C239-4DFD-40A0-93A1-821F439A0FD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DD3179B4-292F-4E40-B63D-1C64A9E4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附件二、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附件二、</dc:title>
  <dc:creator>dell</dc:creator>
  <cp:lastModifiedBy>Fangda</cp:lastModifiedBy>
  <cp:revision>69</cp:revision>
  <dcterms:created xsi:type="dcterms:W3CDTF">2025-10-31T08:35:00Z</dcterms:created>
  <dcterms:modified xsi:type="dcterms:W3CDTF">2026-01-20T02:02:00Z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DPWPathText">
    <vt:lpwstr>#97717177v5</vt:lpwstr>
  </property>
  <property fmtid="{D5CDD505-2E9C-101B-9397-08002B2CF9AE}" pid="4" name="NRT_DocNumber">
    <vt:lpwstr/>
  </property>
  <property fmtid="{D5CDD505-2E9C-101B-9397-08002B2CF9AE}" pid="5" name="NRT_DocVersion">
    <vt:lpwstr/>
  </property>
  <property fmtid="{D5CDD505-2E9C-101B-9397-08002B2CF9AE}" pid="6" name="NRT_DocName">
    <vt:lpwstr/>
  </property>
  <property fmtid="{D5CDD505-2E9C-101B-9397-08002B2CF9AE}" pid="7" name="NRT_AuthorDescription">
    <vt:lpwstr/>
  </property>
  <property fmtid="{D5CDD505-2E9C-101B-9397-08002B2CF9AE}" pid="8" name="NRT_Author">
    <vt:lpwstr/>
  </property>
  <property fmtid="{D5CDD505-2E9C-101B-9397-08002B2CF9AE}" pid="9" name="NRT_Operator">
    <vt:lpwstr/>
  </property>
  <property fmtid="{D5CDD505-2E9C-101B-9397-08002B2CF9AE}" pid="10" name="NRT_Database">
    <vt:lpwstr/>
  </property>
  <property fmtid="{D5CDD505-2E9C-101B-9397-08002B2CF9AE}" pid="11" name="NRT_ELITE_CLIENT">
    <vt:lpwstr/>
  </property>
  <property fmtid="{D5CDD505-2E9C-101B-9397-08002B2CF9AE}" pid="12" name="NRT_ELITE_MATTER">
    <vt:lpwstr/>
  </property>
  <property fmtid="{D5CDD505-2E9C-101B-9397-08002B2CF9AE}" pid="13" name="pDocRef">
    <vt:lpwstr/>
  </property>
  <property fmtid="{D5CDD505-2E9C-101B-9397-08002B2CF9AE}" pid="14" name="pDocNumber">
    <vt:lpwstr/>
  </property>
  <property fmtid="{D5CDD505-2E9C-101B-9397-08002B2CF9AE}" pid="15" name="ModifiedDate">
    <vt:lpwstr/>
  </property>
  <property fmtid="{D5CDD505-2E9C-101B-9397-08002B2CF9AE}" pid="16" name="CreateDate">
    <vt:lpwstr>01/01/0001 01:00:00</vt:lpwstr>
  </property>
  <property fmtid="{D5CDD505-2E9C-101B-9397-08002B2CF9AE}" pid="17" name="FileModifyDate">
    <vt:lpwstr>11/06/2024 12:47:24</vt:lpwstr>
  </property>
  <property fmtid="{D5CDD505-2E9C-101B-9397-08002B2CF9AE}" pid="18" name="FileCreateDate">
    <vt:lpwstr>01/01/0001 01:00:00</vt:lpwstr>
  </property>
</Properties>
</file>