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6DD9A">
      <w:pPr>
        <w:spacing w:before="159" w:line="196" w:lineRule="auto"/>
        <w:jc w:val="center"/>
        <w:outlineLvl w:val="0"/>
        <w:rPr>
          <w:rFonts w:hint="eastAsia" w:ascii="Heiti SC Light" w:hAnsi="Heiti SC Light" w:eastAsia="Heiti SC Light" w:cs="Heiti SC Light"/>
          <w:sz w:val="36"/>
          <w:szCs w:val="36"/>
        </w:rPr>
      </w:pPr>
      <w:r>
        <w:rPr>
          <w:rFonts w:hint="eastAsia" w:ascii="Heiti SC Light" w:hAnsi="Heiti SC Light" w:eastAsia="Heiti SC Light" w:cs="Heiti SC Light"/>
          <w:spacing w:val="9"/>
          <w:sz w:val="36"/>
          <w:szCs w:val="36"/>
        </w:rPr>
        <w:t>经营者集中简易案件公示表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657"/>
        <w:gridCol w:w="6955"/>
      </w:tblGrid>
      <w:tr w14:paraId="7855DEB7">
        <w:tc>
          <w:tcPr>
            <w:tcW w:w="1127" w:type="dxa"/>
            <w:shd w:val="clear" w:color="auto" w:fill="CFCECE" w:themeFill="background2" w:themeFillShade="E5"/>
          </w:tcPr>
          <w:p w14:paraId="4C387B5B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2"/>
                <w:sz w:val="24"/>
              </w:rPr>
              <w:t>案件名称</w:t>
            </w:r>
          </w:p>
        </w:tc>
        <w:tc>
          <w:tcPr>
            <w:tcW w:w="8612" w:type="dxa"/>
            <w:gridSpan w:val="2"/>
          </w:tcPr>
          <w:p w14:paraId="2203248E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5"/>
                <w:sz w:val="24"/>
              </w:rPr>
              <w:t>横店集团得邦照明股份有限公司收购</w:t>
            </w:r>
            <w:r>
              <w:rPr>
                <w:rFonts w:hint="eastAsia" w:asciiTheme="minorEastAsia" w:hAnsiTheme="minorEastAsia" w:cstheme="minorEastAsia"/>
                <w:spacing w:val="-1"/>
                <w:sz w:val="24"/>
              </w:rPr>
              <w:t>浙江嘉利（丽水）工业</w:t>
            </w:r>
            <w:r>
              <w:rPr>
                <w:rFonts w:hint="eastAsia" w:asciiTheme="minorEastAsia" w:hAnsiTheme="minorEastAsia" w:cstheme="minorEastAsia"/>
                <w:spacing w:val="-4"/>
                <w:sz w:val="24"/>
              </w:rPr>
              <w:t>股份有限公司股权案</w:t>
            </w:r>
          </w:p>
        </w:tc>
      </w:tr>
      <w:tr w14:paraId="6F3BDBDB">
        <w:tc>
          <w:tcPr>
            <w:tcW w:w="1127" w:type="dxa"/>
            <w:shd w:val="clear" w:color="auto" w:fill="CFCECE" w:themeFill="background2" w:themeFillShade="E5"/>
          </w:tcPr>
          <w:p w14:paraId="5187A11B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交易概况（ 限 200 字内）</w:t>
            </w:r>
          </w:p>
        </w:tc>
        <w:tc>
          <w:tcPr>
            <w:tcW w:w="8612" w:type="dxa"/>
            <w:gridSpan w:val="2"/>
          </w:tcPr>
          <w:p w14:paraId="677E56EC">
            <w:pPr>
              <w:jc w:val="both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横店集团得邦照明股份有限公司（“得邦照明”）与黄玉琦、黄璜及其他股东签署协议，德邦照明拟以支付现金的方式协议受让浙江嘉利（丽水）工业股份有限公司（“嘉利股份”）现有和新增的共计67.48%的股份。嘉利股份主要从事汽车、摩托车灯具产品的设计、研发、制造和销售等。交易前，黄玉琦、黄璜父女合计持有嘉利股份49.61%的股份，共同控制嘉利股份。交易后，得邦照明将持有嘉利股份的67.48%股份，单独控制嘉利股份。</w:t>
            </w:r>
          </w:p>
        </w:tc>
      </w:tr>
      <w:tr w14:paraId="03EE1F3B">
        <w:tc>
          <w:tcPr>
            <w:tcW w:w="1127" w:type="dxa"/>
            <w:vMerge w:val="restart"/>
            <w:shd w:val="clear" w:color="auto" w:fill="CFCECE" w:themeFill="background2" w:themeFillShade="E5"/>
          </w:tcPr>
          <w:p w14:paraId="05A74341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参与集中的经营者简介（每个限 100 字以内 ）</w:t>
            </w:r>
          </w:p>
        </w:tc>
        <w:tc>
          <w:tcPr>
            <w:tcW w:w="1657" w:type="dxa"/>
          </w:tcPr>
          <w:p w14:paraId="4C7327D0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1.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 xml:space="preserve">得邦照明 </w:t>
            </w:r>
          </w:p>
          <w:p w14:paraId="2F62056C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</w:p>
        </w:tc>
        <w:tc>
          <w:tcPr>
            <w:tcW w:w="6955" w:type="dxa"/>
          </w:tcPr>
          <w:p w14:paraId="2241F653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得邦照明于1996年12月30日成立于浙江省金华市，为上交所上市公司，主要业务为车载业务和通用照明。</w:t>
            </w:r>
          </w:p>
          <w:p w14:paraId="3A9B7BEB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最终控制人为东阳市横店社团经济企业联合会，主要业务为企业资产管理及实业投资。</w:t>
            </w:r>
          </w:p>
        </w:tc>
      </w:tr>
      <w:tr w14:paraId="2CEF3766">
        <w:tc>
          <w:tcPr>
            <w:tcW w:w="1127" w:type="dxa"/>
            <w:vMerge w:val="continue"/>
            <w:shd w:val="clear" w:color="auto" w:fill="CFCECE" w:themeFill="background2" w:themeFillShade="E5"/>
          </w:tcPr>
          <w:p w14:paraId="61760B02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</w:p>
        </w:tc>
        <w:tc>
          <w:tcPr>
            <w:tcW w:w="1657" w:type="dxa"/>
          </w:tcPr>
          <w:p w14:paraId="30557C7D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2.嘉利股份</w:t>
            </w:r>
          </w:p>
        </w:tc>
        <w:tc>
          <w:tcPr>
            <w:tcW w:w="6955" w:type="dxa"/>
          </w:tcPr>
          <w:p w14:paraId="53B80E71">
            <w:pPr>
              <w:pStyle w:val="4"/>
              <w:widowControl/>
              <w:adjustRightInd w:val="0"/>
              <w:snapToGrid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嘉利股份于2006年12月25日成立于浙江省丽水市，为新三板挂牌公司，主要业务为汽车及摩托车车灯的研发、生产和销售。</w:t>
            </w:r>
          </w:p>
          <w:p w14:paraId="4495B786">
            <w:pPr>
              <w:pStyle w:val="4"/>
              <w:widowControl/>
              <w:adjustRightInd w:val="0"/>
              <w:snapToGrid w:val="0"/>
              <w:spacing w:beforeAutospacing="0" w:afterAutospacing="0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最终控制人为自然人黄玉琦、黄璜，主要业务为实业投资及企业管理。</w:t>
            </w:r>
          </w:p>
        </w:tc>
      </w:tr>
      <w:tr w14:paraId="3347AD01">
        <w:tc>
          <w:tcPr>
            <w:tcW w:w="1127" w:type="dxa"/>
            <w:vMerge w:val="restart"/>
            <w:shd w:val="clear" w:color="auto" w:fill="CFCECE" w:themeFill="background2" w:themeFillShade="E5"/>
          </w:tcPr>
          <w:p w14:paraId="6AB63327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45"/>
                <w:sz w:val="24"/>
              </w:rPr>
              <w:t>简易案件理由</w:t>
            </w:r>
            <w:r>
              <w:rPr>
                <w:rFonts w:hint="eastAsia" w:asciiTheme="minorEastAsia" w:hAnsiTheme="minorEastAsia" w:cstheme="minorEastAsia"/>
                <w:spacing w:val="2"/>
                <w:sz w:val="24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pacing w:val="-1"/>
                <w:sz w:val="24"/>
              </w:rPr>
              <w:t>（可以单选</w:t>
            </w:r>
            <w:r>
              <w:rPr>
                <w:rFonts w:hint="eastAsia" w:asciiTheme="minorEastAsia" w:hAnsiTheme="minorEastAsia" w:cstheme="minorEastAsia"/>
                <w:spacing w:val="-26"/>
                <w:sz w:val="24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pacing w:val="-1"/>
                <w:sz w:val="24"/>
              </w:rPr>
              <w:t>，也</w:t>
            </w:r>
            <w:r>
              <w:rPr>
                <w:rFonts w:hint="eastAsia" w:asciiTheme="minorEastAsia" w:hAnsiTheme="minorEastAsia" w:cs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pacing w:val="3"/>
                <w:sz w:val="24"/>
              </w:rPr>
              <w:t>可以多选）</w:t>
            </w:r>
          </w:p>
        </w:tc>
        <w:tc>
          <w:tcPr>
            <w:tcW w:w="8612" w:type="dxa"/>
            <w:gridSpan w:val="2"/>
          </w:tcPr>
          <w:p w14:paraId="1674BECE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sym w:font="Wingdings" w:char="00FE"/>
            </w:r>
            <w:r>
              <w:rPr>
                <w:rFonts w:hint="eastAsia" w:asciiTheme="minorEastAsia" w:hAnsiTheme="minorEastAsia" w:cstheme="minorEastAsia"/>
                <w:sz w:val="24"/>
              </w:rPr>
              <w:t xml:space="preserve"> 1.在同一相关市场，参与集中的经营者所占的市场份额之和小于15%</w:t>
            </w:r>
          </w:p>
        </w:tc>
      </w:tr>
      <w:tr w14:paraId="7A28E831">
        <w:tc>
          <w:tcPr>
            <w:tcW w:w="1127" w:type="dxa"/>
            <w:vMerge w:val="continue"/>
            <w:shd w:val="clear" w:color="auto" w:fill="CFCECE" w:themeFill="background2" w:themeFillShade="E5"/>
          </w:tcPr>
          <w:p w14:paraId="1991AA86">
            <w:pPr>
              <w:adjustRightInd w:val="0"/>
              <w:snapToGrid w:val="0"/>
              <w:rPr>
                <w:rFonts w:hint="eastAsia" w:asciiTheme="minorEastAsia" w:hAnsiTheme="minorEastAsia" w:cstheme="minorEastAsia"/>
                <w:spacing w:val="45"/>
                <w:sz w:val="24"/>
              </w:rPr>
            </w:pPr>
          </w:p>
        </w:tc>
        <w:tc>
          <w:tcPr>
            <w:tcW w:w="8612" w:type="dxa"/>
            <w:gridSpan w:val="2"/>
          </w:tcPr>
          <w:p w14:paraId="3CEA1908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sym w:font="Wingdings" w:char="00FE"/>
            </w:r>
            <w:r>
              <w:rPr>
                <w:rFonts w:hint="eastAsia" w:asciiTheme="minorEastAsia" w:hAnsiTheme="minorEastAsia" w:cstheme="minorEastAsia"/>
                <w:sz w:val="24"/>
              </w:rPr>
              <w:t xml:space="preserve"> 2.在上下游市场，参与集中的经营者所占的市场份额均小于25%</w:t>
            </w:r>
          </w:p>
        </w:tc>
      </w:tr>
      <w:tr w14:paraId="143F7A86">
        <w:tc>
          <w:tcPr>
            <w:tcW w:w="1127" w:type="dxa"/>
            <w:vMerge w:val="continue"/>
            <w:shd w:val="clear" w:color="auto" w:fill="CFCECE" w:themeFill="background2" w:themeFillShade="E5"/>
          </w:tcPr>
          <w:p w14:paraId="0F1C3F77">
            <w:pPr>
              <w:adjustRightInd w:val="0"/>
              <w:snapToGrid w:val="0"/>
              <w:rPr>
                <w:rFonts w:hint="eastAsia" w:asciiTheme="minorEastAsia" w:hAnsiTheme="minorEastAsia" w:cstheme="minorEastAsia"/>
                <w:spacing w:val="45"/>
                <w:sz w:val="24"/>
              </w:rPr>
            </w:pPr>
          </w:p>
        </w:tc>
        <w:tc>
          <w:tcPr>
            <w:tcW w:w="8612" w:type="dxa"/>
            <w:gridSpan w:val="2"/>
          </w:tcPr>
          <w:p w14:paraId="676EF5B6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</w:rPr>
              <w:t xml:space="preserve"> 3.不在同一相关市场也不存在上下游关系的参与集中的经营者，在与交易有关的每个市场所占的市场份额均小于25%</w:t>
            </w:r>
          </w:p>
        </w:tc>
      </w:tr>
      <w:tr w14:paraId="0BF331B5">
        <w:tc>
          <w:tcPr>
            <w:tcW w:w="1127" w:type="dxa"/>
            <w:vMerge w:val="continue"/>
            <w:shd w:val="clear" w:color="auto" w:fill="CFCECE" w:themeFill="background2" w:themeFillShade="E5"/>
          </w:tcPr>
          <w:p w14:paraId="007B2538">
            <w:pPr>
              <w:adjustRightInd w:val="0"/>
              <w:snapToGrid w:val="0"/>
              <w:rPr>
                <w:rFonts w:hint="eastAsia" w:asciiTheme="minorEastAsia" w:hAnsiTheme="minorEastAsia" w:cstheme="minorEastAsia"/>
                <w:spacing w:val="45"/>
                <w:sz w:val="24"/>
              </w:rPr>
            </w:pPr>
          </w:p>
        </w:tc>
        <w:tc>
          <w:tcPr>
            <w:tcW w:w="8612" w:type="dxa"/>
            <w:gridSpan w:val="2"/>
          </w:tcPr>
          <w:p w14:paraId="772757E4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sym w:font="Wingdings" w:char="F0A8"/>
            </w:r>
            <w:r>
              <w:rPr>
                <w:rFonts w:hint="eastAsia" w:asciiTheme="minorEastAsia" w:hAnsiTheme="minorEastAsia" w:cstheme="minorEastAsia"/>
                <w:sz w:val="24"/>
              </w:rPr>
              <w:t xml:space="preserve"> 4.参与集中的经营者在中国境外设立合营企业，合营企业不在中国境内从事经济活动</w:t>
            </w:r>
          </w:p>
        </w:tc>
      </w:tr>
      <w:tr w14:paraId="4D9DBD27">
        <w:tc>
          <w:tcPr>
            <w:tcW w:w="1127" w:type="dxa"/>
            <w:vMerge w:val="continue"/>
            <w:shd w:val="clear" w:color="auto" w:fill="CFCECE" w:themeFill="background2" w:themeFillShade="E5"/>
          </w:tcPr>
          <w:p w14:paraId="20869D79">
            <w:pPr>
              <w:adjustRightInd w:val="0"/>
              <w:snapToGrid w:val="0"/>
              <w:rPr>
                <w:rFonts w:hint="eastAsia" w:asciiTheme="minorEastAsia" w:hAnsiTheme="minorEastAsia" w:cstheme="minorEastAsia"/>
                <w:spacing w:val="45"/>
                <w:sz w:val="24"/>
              </w:rPr>
            </w:pPr>
          </w:p>
        </w:tc>
        <w:tc>
          <w:tcPr>
            <w:tcW w:w="8612" w:type="dxa"/>
            <w:gridSpan w:val="2"/>
          </w:tcPr>
          <w:p w14:paraId="4F27D00F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sym w:font="Wingdings" w:char="F0A8"/>
            </w:r>
            <w:r>
              <w:rPr>
                <w:rFonts w:hint="eastAsia" w:asciiTheme="minorEastAsia" w:hAnsiTheme="minorEastAsia" w:cstheme="minorEastAsia"/>
                <w:sz w:val="24"/>
              </w:rPr>
              <w:t xml:space="preserve"> 5.参与集中的经营者收购境外企业股权或资产，该境外企业不在中国境内从事经济活动</w:t>
            </w:r>
          </w:p>
        </w:tc>
      </w:tr>
      <w:tr w14:paraId="66559D5A">
        <w:tc>
          <w:tcPr>
            <w:tcW w:w="1127" w:type="dxa"/>
            <w:vMerge w:val="continue"/>
            <w:shd w:val="clear" w:color="auto" w:fill="CFCECE" w:themeFill="background2" w:themeFillShade="E5"/>
          </w:tcPr>
          <w:p w14:paraId="69B3D44A">
            <w:pPr>
              <w:adjustRightInd w:val="0"/>
              <w:snapToGrid w:val="0"/>
              <w:rPr>
                <w:rFonts w:hint="eastAsia" w:asciiTheme="minorEastAsia" w:hAnsiTheme="minorEastAsia" w:cstheme="minorEastAsia"/>
                <w:spacing w:val="45"/>
                <w:sz w:val="24"/>
              </w:rPr>
            </w:pPr>
          </w:p>
        </w:tc>
        <w:tc>
          <w:tcPr>
            <w:tcW w:w="8612" w:type="dxa"/>
            <w:gridSpan w:val="2"/>
          </w:tcPr>
          <w:p w14:paraId="6AB38281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sym w:font="Wingdings" w:char="F0A8"/>
            </w:r>
            <w:r>
              <w:rPr>
                <w:rFonts w:hint="eastAsia" w:asciiTheme="minorEastAsia" w:hAnsiTheme="minorEastAsia" w:cstheme="minorEastAsia"/>
                <w:sz w:val="24"/>
              </w:rPr>
              <w:t xml:space="preserve"> 6.由两个以上经营者共同控制的合营企业，通过集中被其中一个或一个以上经营者控制</w:t>
            </w:r>
          </w:p>
        </w:tc>
      </w:tr>
      <w:tr w14:paraId="0CC7CFEB">
        <w:tc>
          <w:tcPr>
            <w:tcW w:w="1127" w:type="dxa"/>
            <w:shd w:val="clear" w:color="auto" w:fill="CFCECE" w:themeFill="background2" w:themeFillShade="E5"/>
          </w:tcPr>
          <w:p w14:paraId="71C7A4B3">
            <w:pPr>
              <w:adjustRightInd w:val="0"/>
              <w:snapToGrid w:val="0"/>
              <w:rPr>
                <w:rFonts w:hint="eastAsia" w:asciiTheme="minorEastAsia" w:hAnsiTheme="minorEastAsia" w:cstheme="minorEastAsia"/>
                <w:spacing w:val="45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45"/>
                <w:sz w:val="24"/>
              </w:rPr>
              <w:t>备注</w:t>
            </w:r>
          </w:p>
        </w:tc>
        <w:tc>
          <w:tcPr>
            <w:tcW w:w="8612" w:type="dxa"/>
            <w:gridSpan w:val="2"/>
          </w:tcPr>
          <w:p w14:paraId="5FDD520E">
            <w:pPr>
              <w:adjustRightInd w:val="0"/>
              <w:snapToGrid w:val="0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横向重叠：</w:t>
            </w:r>
          </w:p>
          <w:p w14:paraId="78953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汽车照明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用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LED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模组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市场</w:t>
            </w:r>
          </w:p>
          <w:p w14:paraId="3CFFF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得邦照明：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[0-5]%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嘉利股份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：[0-5]%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sz w:val="24"/>
              </w:rPr>
              <w:t>双方合计：[0-5]%</w:t>
            </w:r>
          </w:p>
          <w:p w14:paraId="055B4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2024年中国境内汽车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照明用控制器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市场</w:t>
            </w:r>
          </w:p>
          <w:p w14:paraId="518FF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得邦照明：[0-5]%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嘉利股份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：[0-5]%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sz w:val="24"/>
              </w:rPr>
              <w:t>双方合计：[0-5]%</w:t>
            </w:r>
          </w:p>
          <w:p w14:paraId="7EDFE8E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乘用车LED车灯市场</w:t>
            </w:r>
          </w:p>
          <w:p w14:paraId="518CC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得邦照明：[0-5]%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嘉利股份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：[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-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]%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sz w:val="24"/>
              </w:rPr>
              <w:t>双方合计：[5-10]%</w:t>
            </w:r>
          </w:p>
          <w:p w14:paraId="22CB7668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</w:p>
          <w:p w14:paraId="5851A0BC">
            <w:pPr>
              <w:adjustRightInd w:val="0"/>
              <w:snapToGrid w:val="0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纵向关联：</w:t>
            </w:r>
          </w:p>
          <w:p w14:paraId="22C184CF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-AE"/>
              </w:rPr>
              <w:t>第一组</w:t>
            </w:r>
          </w:p>
          <w:p w14:paraId="2AF1DCD4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上游：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</w:t>
            </w:r>
            <w:r>
              <w:rPr>
                <w:rFonts w:hint="eastAsia" w:asciiTheme="minorEastAsia" w:hAnsiTheme="minorEastAsia" w:cstheme="minorEastAsia"/>
                <w:sz w:val="24"/>
              </w:rPr>
              <w:t>汽车照明用</w:t>
            </w:r>
            <w:r>
              <w:rPr>
                <w:rFonts w:asciiTheme="minorEastAsia" w:hAnsiTheme="minorEastAsia" w:cstheme="minorEastAsia"/>
                <w:sz w:val="24"/>
              </w:rPr>
              <w:t>LED</w:t>
            </w:r>
            <w:r>
              <w:rPr>
                <w:rFonts w:hint="eastAsia" w:asciiTheme="minorEastAsia" w:hAnsiTheme="minorEastAsia" w:cstheme="minorEastAsia"/>
                <w:sz w:val="24"/>
              </w:rPr>
              <w:t>模组市场</w:t>
            </w:r>
          </w:p>
          <w:p w14:paraId="6E5CCE4F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得邦照明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 w:val="24"/>
              </w:rPr>
              <w:t>嘉利股份：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如上所述</w:t>
            </w:r>
          </w:p>
          <w:p w14:paraId="0C074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下游：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</w:t>
            </w:r>
            <w:r>
              <w:rPr>
                <w:rFonts w:hint="eastAsia" w:asciiTheme="minorEastAsia" w:hAnsiTheme="minorEastAsia" w:cstheme="minorEastAsia"/>
                <w:sz w:val="24"/>
              </w:rPr>
              <w:t>乘用车LED车灯市场</w:t>
            </w:r>
          </w:p>
          <w:p w14:paraId="3B677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得邦照明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 w:val="24"/>
              </w:rPr>
              <w:t>嘉利股份：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如上所述</w:t>
            </w:r>
            <w:r>
              <w:rPr>
                <w:rFonts w:hint="eastAsia" w:asciiTheme="minorEastAsia" w:hAnsiTheme="minorEastAsia" w:cstheme="minorEastAsia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-AE"/>
              </w:rPr>
              <w:t>第二组</w:t>
            </w:r>
          </w:p>
          <w:p w14:paraId="56876F2B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上游：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2024年中国境内汽车</w:t>
            </w:r>
            <w:r>
              <w:rPr>
                <w:rFonts w:hint="eastAsia" w:asciiTheme="minorEastAsia" w:hAnsiTheme="minorEastAsia" w:cstheme="minorEastAsia"/>
                <w:sz w:val="24"/>
              </w:rPr>
              <w:t>照明用控制器市场</w:t>
            </w:r>
          </w:p>
          <w:p w14:paraId="7610BC5C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得邦照明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 w:val="24"/>
              </w:rPr>
              <w:t>嘉利股份：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如上所述</w:t>
            </w:r>
          </w:p>
          <w:p w14:paraId="5D7E9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下游：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</w:t>
            </w:r>
            <w:r>
              <w:rPr>
                <w:rFonts w:hint="eastAsia" w:asciiTheme="minorEastAsia" w:hAnsiTheme="minorEastAsia" w:cstheme="minorEastAsia"/>
                <w:sz w:val="24"/>
              </w:rPr>
              <w:t>乘用车LED车灯市场</w:t>
            </w:r>
          </w:p>
          <w:p w14:paraId="00DEF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得邦照明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 w:val="24"/>
              </w:rPr>
              <w:t>嘉利股份：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如上所述</w:t>
            </w:r>
          </w:p>
          <w:p w14:paraId="4674E4B7">
            <w:pPr>
              <w:adjustRightInd w:val="0"/>
              <w:snapToGrid w:val="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-AE"/>
              </w:rPr>
              <w:t>第三组</w:t>
            </w:r>
          </w:p>
          <w:p w14:paraId="1D426ECC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上游：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</w:t>
            </w:r>
            <w:r>
              <w:rPr>
                <w:rFonts w:hint="eastAsia" w:asciiTheme="minorEastAsia" w:hAnsiTheme="minorEastAsia" w:cstheme="minorEastAsia"/>
                <w:sz w:val="24"/>
              </w:rPr>
              <w:t>汽车照明用</w:t>
            </w:r>
            <w:r>
              <w:rPr>
                <w:rFonts w:asciiTheme="minorEastAsia" w:hAnsiTheme="minorEastAsia" w:cstheme="minorEastAsia"/>
                <w:sz w:val="24"/>
              </w:rPr>
              <w:t>LED</w:t>
            </w:r>
            <w:r>
              <w:rPr>
                <w:rFonts w:hint="eastAsia" w:asciiTheme="minorEastAsia" w:hAnsiTheme="minorEastAsia" w:cstheme="minorEastAsia"/>
                <w:sz w:val="24"/>
              </w:rPr>
              <w:t>模组市场</w:t>
            </w:r>
          </w:p>
          <w:p w14:paraId="2130C031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得邦照明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 w:val="24"/>
              </w:rPr>
              <w:t>嘉利股份：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如上所述</w:t>
            </w:r>
          </w:p>
          <w:p w14:paraId="2EF30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下游：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2024年中国境内商</w:t>
            </w:r>
            <w:r>
              <w:rPr>
                <w:rFonts w:hint="eastAsia" w:asciiTheme="minorEastAsia" w:hAnsiTheme="minorEastAsia" w:cstheme="minorEastAsia"/>
                <w:sz w:val="24"/>
              </w:rPr>
              <w:t>用车LED车灯市场</w:t>
            </w:r>
          </w:p>
          <w:p w14:paraId="26D01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嘉利股份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：[0-5]%</w:t>
            </w:r>
          </w:p>
          <w:p w14:paraId="3A328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 w:bidi="ar-AE"/>
              </w:rPr>
              <w:t>第四组</w:t>
            </w:r>
          </w:p>
          <w:p w14:paraId="15FAA491">
            <w:pPr>
              <w:adjustRightInd w:val="0"/>
              <w:snapToGrid w:val="0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上游：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2024年中国境内汽车</w:t>
            </w:r>
            <w:r>
              <w:rPr>
                <w:rFonts w:hint="eastAsia" w:asciiTheme="minorEastAsia" w:hAnsiTheme="minorEastAsia" w:cstheme="minorEastAsia"/>
                <w:sz w:val="24"/>
              </w:rPr>
              <w:t>照明用控制器市场</w:t>
            </w:r>
          </w:p>
          <w:p w14:paraId="6F2404BC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得邦照明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 w:val="24"/>
              </w:rPr>
              <w:t>嘉利股份：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如上所述</w:t>
            </w:r>
          </w:p>
          <w:p w14:paraId="25C46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下游：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2024年中国境内商</w:t>
            </w:r>
            <w:r>
              <w:rPr>
                <w:rFonts w:hint="eastAsia" w:asciiTheme="minorEastAsia" w:hAnsiTheme="minorEastAsia" w:cstheme="minorEastAsia"/>
                <w:sz w:val="24"/>
              </w:rPr>
              <w:t>用车LED车灯市场</w:t>
            </w:r>
          </w:p>
          <w:p w14:paraId="43505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嘉利股份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：[0-5]%</w:t>
            </w:r>
            <w:bookmarkStart w:id="0" w:name="_GoBack"/>
            <w:bookmarkEnd w:id="0"/>
          </w:p>
        </w:tc>
      </w:tr>
    </w:tbl>
    <w:p w14:paraId="4409E53B">
      <w:pPr>
        <w:adjustRightInd w:val="0"/>
        <w:snapToGrid w:val="0"/>
        <w:rPr>
          <w:rFonts w:hint="eastAsia" w:asciiTheme="minorEastAsia" w:hAnsiTheme="minorEastAsia" w:cstheme="minorEastAsia"/>
          <w:sz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3EA9C0"/>
    <w:rsid w:val="00054BFF"/>
    <w:rsid w:val="001201C0"/>
    <w:rsid w:val="00913BFC"/>
    <w:rsid w:val="00B52343"/>
    <w:rsid w:val="00C80994"/>
    <w:rsid w:val="00FC1274"/>
    <w:rsid w:val="41FFC511"/>
    <w:rsid w:val="5F38AC3F"/>
    <w:rsid w:val="5F7E9FE7"/>
    <w:rsid w:val="5FF3FA9D"/>
    <w:rsid w:val="79EF46C5"/>
    <w:rsid w:val="7BFCB278"/>
    <w:rsid w:val="7DEE6C58"/>
    <w:rsid w:val="9AEB8FCC"/>
    <w:rsid w:val="AF36C566"/>
    <w:rsid w:val="C68F3F8B"/>
    <w:rsid w:val="D7FF4300"/>
    <w:rsid w:val="D8DFA057"/>
    <w:rsid w:val="DF3A93B7"/>
    <w:rsid w:val="DF3EA9C0"/>
    <w:rsid w:val="DFEF8F18"/>
    <w:rsid w:val="DFFED225"/>
    <w:rsid w:val="F6BD4767"/>
    <w:rsid w:val="FDBC7987"/>
    <w:rsid w:val="FDFFBEFC"/>
    <w:rsid w:val="FFDFB03F"/>
    <w:rsid w:val="FFEFC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588</Words>
  <Characters>643</Characters>
  <Lines>49</Lines>
  <Paragraphs>39</Paragraphs>
  <TotalTime>8</TotalTime>
  <ScaleCrop>false</ScaleCrop>
  <LinksUpToDate>false</LinksUpToDate>
  <CharactersWithSpaces>1192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2026-01-09T17:52:00Z</dcterms:created>
  <dc:creator>ZL</dc:creator>
  <cp:lastModifiedBy>ZL</cp:lastModifiedBy>
  <dcterms:modified xsi:type="dcterms:W3CDTF">2026-01-26T19:59:38Z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332BB4957CFDB70E45537769A8B9E7D9_43</vt:lpwstr>
  </property>
</Properties>
</file>