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7873F6">
      <w:pPr>
        <w:spacing w:line="440" w:lineRule="exact"/>
        <w:jc w:val="center"/>
        <w:rPr>
          <w:rFonts w:ascii="黑体" w:eastAsia="黑体"/>
          <w:sz w:val="30"/>
          <w:szCs w:val="30"/>
        </w:rPr>
      </w:pPr>
      <w:r>
        <w:rPr>
          <w:rFonts w:hint="eastAsia" w:ascii="黑体" w:eastAsia="黑体"/>
          <w:sz w:val="30"/>
          <w:szCs w:val="30"/>
        </w:rPr>
        <w:t>经营者集中简易案件公示表</w:t>
      </w:r>
    </w:p>
    <w:p w14:paraId="52A4D123">
      <w:pPr>
        <w:spacing w:line="440" w:lineRule="exact"/>
        <w:rPr>
          <w:rFonts w:ascii="仿宋_GB2312" w:eastAsia="仿宋_GB2312"/>
          <w:sz w:val="28"/>
          <w:szCs w:val="28"/>
        </w:rPr>
      </w:pPr>
    </w:p>
    <w:tbl>
      <w:tblPr>
        <w:tblStyle w:val="9"/>
        <w:tblW w:w="87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3"/>
        <w:gridCol w:w="1922"/>
        <w:gridCol w:w="5153"/>
      </w:tblGrid>
      <w:tr w14:paraId="333D2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83" w:type="dxa"/>
            <w:shd w:val="clear" w:color="auto" w:fill="D9D9D9"/>
            <w:vAlign w:val="center"/>
          </w:tcPr>
          <w:p w14:paraId="14E52BF2">
            <w:pPr>
              <w:spacing w:line="500" w:lineRule="exact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案件名称</w:t>
            </w:r>
          </w:p>
        </w:tc>
        <w:tc>
          <w:tcPr>
            <w:tcW w:w="7075" w:type="dxa"/>
            <w:gridSpan w:val="2"/>
            <w:vAlign w:val="center"/>
          </w:tcPr>
          <w:p w14:paraId="7CB3DF6D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TCL华星光电技术有限公司收购福建兆元光电有限公司股权案</w:t>
            </w:r>
          </w:p>
        </w:tc>
      </w:tr>
      <w:tr w14:paraId="6F3BCA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1683" w:type="dxa"/>
            <w:shd w:val="clear" w:color="auto" w:fill="D9D9D9"/>
            <w:vAlign w:val="center"/>
          </w:tcPr>
          <w:p w14:paraId="6A51217E">
            <w:pPr>
              <w:spacing w:line="500" w:lineRule="exact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交易概况（限200字内）</w:t>
            </w:r>
          </w:p>
        </w:tc>
        <w:tc>
          <w:tcPr>
            <w:tcW w:w="7075" w:type="dxa"/>
            <w:gridSpan w:val="2"/>
            <w:vAlign w:val="center"/>
          </w:tcPr>
          <w:p w14:paraId="299E4876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TCL华星光电技术有限公司（“TCL华星”）与</w:t>
            </w:r>
            <w:r>
              <w:rPr>
                <w:sz w:val="24"/>
              </w:rPr>
              <w:t>福建省电子信息（集团）有限责任公司</w:t>
            </w:r>
            <w:r>
              <w:rPr>
                <w:rFonts w:hint="eastAsia"/>
                <w:sz w:val="24"/>
              </w:rPr>
              <w:t>（“</w:t>
            </w:r>
            <w:r>
              <w:rPr>
                <w:sz w:val="24"/>
              </w:rPr>
              <w:t>福建电子信息集团</w:t>
            </w:r>
            <w:r>
              <w:rPr>
                <w:rFonts w:hint="eastAsia"/>
                <w:sz w:val="24"/>
              </w:rPr>
              <w:t>”）签署协议，收购其所持</w:t>
            </w:r>
            <w:r>
              <w:rPr>
                <w:rFonts w:hint="eastAsia"/>
                <w:sz w:val="24"/>
                <w:szCs w:val="24"/>
              </w:rPr>
              <w:t>福建兆元光电有限公司（“兆元光电”）80%股权以及部分债权、利息、罚息。转让完成后，</w:t>
            </w:r>
            <w:r>
              <w:rPr>
                <w:sz w:val="24"/>
              </w:rPr>
              <w:t>福建电子信息集团</w:t>
            </w:r>
            <w:r>
              <w:rPr>
                <w:rFonts w:hint="eastAsia"/>
                <w:sz w:val="24"/>
                <w:lang w:val="en-US" w:eastAsia="zh-CN"/>
              </w:rPr>
              <w:t>应根据约定</w:t>
            </w:r>
            <w:r>
              <w:rPr>
                <w:rFonts w:hint="eastAsia"/>
                <w:sz w:val="24"/>
              </w:rPr>
              <w:t>将取得的转让价款全部用于向</w:t>
            </w:r>
            <w:r>
              <w:rPr>
                <w:rFonts w:hint="eastAsia"/>
                <w:sz w:val="24"/>
                <w:szCs w:val="24"/>
              </w:rPr>
              <w:t>兆元光电</w:t>
            </w:r>
            <w:r>
              <w:rPr>
                <w:rFonts w:hint="eastAsia"/>
                <w:sz w:val="24"/>
              </w:rPr>
              <w:t>增资</w:t>
            </w:r>
            <w:r>
              <w:rPr>
                <w:rFonts w:hint="eastAsia"/>
                <w:sz w:val="24"/>
                <w:szCs w:val="24"/>
              </w:rPr>
              <w:t>。兆元光电主要从事LED芯片的</w:t>
            </w:r>
            <w:r>
              <w:rPr>
                <w:sz w:val="24"/>
              </w:rPr>
              <w:t>研发</w:t>
            </w:r>
            <w:r>
              <w:rPr>
                <w:rFonts w:hint="eastAsia"/>
                <w:sz w:val="24"/>
              </w:rPr>
              <w:t>、</w:t>
            </w:r>
            <w:r>
              <w:rPr>
                <w:sz w:val="24"/>
              </w:rPr>
              <w:t>生产</w:t>
            </w:r>
            <w:r>
              <w:rPr>
                <w:rFonts w:hint="eastAsia"/>
                <w:sz w:val="24"/>
              </w:rPr>
              <w:t>和</w:t>
            </w:r>
            <w:r>
              <w:rPr>
                <w:sz w:val="24"/>
              </w:rPr>
              <w:t>销售业务</w:t>
            </w:r>
            <w:r>
              <w:rPr>
                <w:rFonts w:hint="eastAsia"/>
                <w:sz w:val="24"/>
              </w:rPr>
              <w:t>。交易前，</w:t>
            </w:r>
            <w:r>
              <w:rPr>
                <w:sz w:val="24"/>
              </w:rPr>
              <w:t>福建电子信息集团</w:t>
            </w:r>
            <w:r>
              <w:rPr>
                <w:rFonts w:hint="eastAsia"/>
                <w:sz w:val="24"/>
              </w:rPr>
              <w:t>持有</w:t>
            </w:r>
            <w:r>
              <w:rPr>
                <w:rFonts w:hint="eastAsia"/>
                <w:sz w:val="24"/>
                <w:szCs w:val="24"/>
              </w:rPr>
              <w:t>兆元光电96.43%股权，单独控制兆元光电。交易后，TCL华星持有兆元光电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超过50%</w:t>
            </w:r>
            <w:r>
              <w:rPr>
                <w:rFonts w:hint="eastAsia"/>
                <w:sz w:val="24"/>
                <w:szCs w:val="24"/>
              </w:rPr>
              <w:t>股权，单独控制兆元光电。</w:t>
            </w:r>
          </w:p>
        </w:tc>
      </w:tr>
      <w:tr w14:paraId="6537BD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8" w:hRule="atLeast"/>
        </w:trPr>
        <w:tc>
          <w:tcPr>
            <w:tcW w:w="1683" w:type="dxa"/>
            <w:vMerge w:val="restart"/>
            <w:shd w:val="clear" w:color="auto" w:fill="D9D9D9"/>
            <w:vAlign w:val="center"/>
          </w:tcPr>
          <w:p w14:paraId="6D2A4B64">
            <w:pPr>
              <w:spacing w:line="500" w:lineRule="exact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参与集中的经营者简介</w:t>
            </w:r>
          </w:p>
        </w:tc>
        <w:tc>
          <w:tcPr>
            <w:tcW w:w="1922" w:type="dxa"/>
            <w:vAlign w:val="center"/>
          </w:tcPr>
          <w:p w14:paraId="214BA5CE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1、</w:t>
            </w:r>
            <w:r>
              <w:rPr>
                <w:sz w:val="24"/>
                <w:szCs w:val="24"/>
              </w:rPr>
              <w:t>TCL华星</w:t>
            </w:r>
          </w:p>
        </w:tc>
        <w:tc>
          <w:tcPr>
            <w:tcW w:w="5153" w:type="dxa"/>
            <w:vAlign w:val="center"/>
          </w:tcPr>
          <w:p w14:paraId="25094486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TCL华星于2009年11月</w:t>
            </w:r>
            <w:r>
              <w:rPr>
                <w:rFonts w:hint="eastAsia"/>
                <w:sz w:val="24"/>
                <w:szCs w:val="24"/>
              </w:rPr>
              <w:t>6日成立于中国广东省深圳市</w:t>
            </w:r>
            <w:r>
              <w:rPr>
                <w:sz w:val="24"/>
                <w:szCs w:val="24"/>
              </w:rPr>
              <w:t>，主要</w:t>
            </w:r>
            <w:r>
              <w:rPr>
                <w:rFonts w:hint="eastAsia"/>
                <w:sz w:val="24"/>
                <w:szCs w:val="24"/>
              </w:rPr>
              <w:t>从事</w:t>
            </w:r>
            <w:r>
              <w:rPr>
                <w:sz w:val="24"/>
                <w:szCs w:val="24"/>
              </w:rPr>
              <w:t>半导体显示业务</w:t>
            </w:r>
            <w:r>
              <w:rPr>
                <w:rFonts w:hint="eastAsia"/>
                <w:sz w:val="24"/>
                <w:szCs w:val="24"/>
              </w:rPr>
              <w:t>，</w:t>
            </w:r>
            <w:r>
              <w:rPr>
                <w:rFonts w:hint="eastAsia"/>
                <w:color w:val="000000"/>
                <w:sz w:val="24"/>
              </w:rPr>
              <w:t>主要产品为各类显示面板（包括COB显示面板）等</w:t>
            </w:r>
            <w:r>
              <w:rPr>
                <w:sz w:val="24"/>
                <w:szCs w:val="24"/>
              </w:rPr>
              <w:t>。</w:t>
            </w:r>
          </w:p>
          <w:p w14:paraId="3089A1C5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TCL华星的</w:t>
            </w:r>
            <w:r>
              <w:rPr>
                <w:rFonts w:hint="eastAsia"/>
                <w:sz w:val="24"/>
                <w:szCs w:val="24"/>
              </w:rPr>
              <w:t>最终控制人</w:t>
            </w:r>
            <w:r>
              <w:rPr>
                <w:sz w:val="24"/>
                <w:szCs w:val="24"/>
              </w:rPr>
              <w:t>为TCL科技集团股份有限公司，系</w:t>
            </w:r>
            <w:r>
              <w:rPr>
                <w:rFonts w:hint="eastAsia"/>
                <w:sz w:val="24"/>
                <w:szCs w:val="24"/>
              </w:rPr>
              <w:t>深圳证券交易所</w:t>
            </w:r>
            <w:r>
              <w:rPr>
                <w:sz w:val="24"/>
                <w:szCs w:val="24"/>
              </w:rPr>
              <w:t>上市公司（股票代码：000100），</w:t>
            </w:r>
            <w:r>
              <w:rPr>
                <w:rFonts w:hint="eastAsia"/>
                <w:sz w:val="24"/>
                <w:szCs w:val="24"/>
              </w:rPr>
              <w:t>主要</w:t>
            </w:r>
            <w:r>
              <w:rPr>
                <w:sz w:val="24"/>
                <w:szCs w:val="24"/>
              </w:rPr>
              <w:t>从事半导体显示、新能源光伏和半导体材料业务。</w:t>
            </w:r>
          </w:p>
        </w:tc>
      </w:tr>
      <w:tr w14:paraId="4394E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1683" w:type="dxa"/>
            <w:vMerge w:val="continue"/>
            <w:shd w:val="clear" w:color="auto" w:fill="D9D9D9"/>
            <w:vAlign w:val="center"/>
          </w:tcPr>
          <w:p w14:paraId="5C498D45">
            <w:pPr>
              <w:spacing w:line="500" w:lineRule="exact"/>
              <w:jc w:val="left"/>
              <w:rPr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14:paraId="228C8BEA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、兆元光电</w:t>
            </w:r>
          </w:p>
        </w:tc>
        <w:tc>
          <w:tcPr>
            <w:tcW w:w="5153" w:type="dxa"/>
            <w:vAlign w:val="center"/>
          </w:tcPr>
          <w:p w14:paraId="76FDBE97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兆元光电于2011年3月</w:t>
            </w:r>
            <w:r>
              <w:rPr>
                <w:rFonts w:hint="eastAsia"/>
                <w:sz w:val="24"/>
                <w:szCs w:val="24"/>
              </w:rPr>
              <w:t>7日成立于中国福建省福州市</w:t>
            </w:r>
            <w:r>
              <w:rPr>
                <w:sz w:val="24"/>
                <w:szCs w:val="24"/>
              </w:rPr>
              <w:t>，主要</w:t>
            </w:r>
            <w:r>
              <w:rPr>
                <w:rFonts w:hint="eastAsia"/>
                <w:sz w:val="24"/>
                <w:szCs w:val="24"/>
              </w:rPr>
              <w:t>从事</w:t>
            </w:r>
            <w:r>
              <w:rPr>
                <w:sz w:val="24"/>
                <w:szCs w:val="24"/>
              </w:rPr>
              <w:t>LED芯片</w:t>
            </w:r>
            <w:r>
              <w:rPr>
                <w:rFonts w:hint="eastAsia"/>
                <w:sz w:val="24"/>
                <w:szCs w:val="24"/>
              </w:rPr>
              <w:t>的</w:t>
            </w:r>
            <w:r>
              <w:rPr>
                <w:sz w:val="24"/>
                <w:szCs w:val="24"/>
              </w:rPr>
              <w:t>研发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>生产</w:t>
            </w:r>
            <w:r>
              <w:rPr>
                <w:rFonts w:hint="eastAsia"/>
                <w:sz w:val="24"/>
                <w:szCs w:val="24"/>
              </w:rPr>
              <w:t>和</w:t>
            </w:r>
            <w:r>
              <w:rPr>
                <w:sz w:val="24"/>
                <w:szCs w:val="24"/>
              </w:rPr>
              <w:t>销售业务。</w:t>
            </w:r>
          </w:p>
          <w:p w14:paraId="593BBD33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兆元光电的最终控制人为</w:t>
            </w:r>
            <w:r>
              <w:rPr>
                <w:sz w:val="24"/>
              </w:rPr>
              <w:t>福建电子信息集团</w:t>
            </w:r>
            <w:r>
              <w:rPr>
                <w:sz w:val="24"/>
                <w:szCs w:val="24"/>
              </w:rPr>
              <w:t>，主要</w:t>
            </w:r>
            <w:r>
              <w:rPr>
                <w:rFonts w:hint="eastAsia"/>
                <w:sz w:val="24"/>
                <w:szCs w:val="24"/>
              </w:rPr>
              <w:t>从事</w:t>
            </w:r>
            <w:r>
              <w:rPr>
                <w:sz w:val="24"/>
                <w:szCs w:val="24"/>
              </w:rPr>
              <w:t>集成电路与显示面板</w:t>
            </w:r>
            <w:r>
              <w:rPr>
                <w:rFonts w:hint="eastAsia"/>
                <w:sz w:val="24"/>
                <w:szCs w:val="24"/>
              </w:rPr>
              <w:t>的设计</w:t>
            </w:r>
            <w:r>
              <w:rPr>
                <w:sz w:val="24"/>
                <w:szCs w:val="24"/>
              </w:rPr>
              <w:t>、制造、封装以及通讯</w:t>
            </w:r>
            <w:r>
              <w:rPr>
                <w:rFonts w:hint="eastAsia"/>
                <w:sz w:val="24"/>
                <w:szCs w:val="24"/>
              </w:rPr>
              <w:t>终端</w:t>
            </w:r>
            <w:r>
              <w:rPr>
                <w:sz w:val="24"/>
                <w:szCs w:val="24"/>
              </w:rPr>
              <w:t>、软件与信息服务</w:t>
            </w:r>
            <w:r>
              <w:rPr>
                <w:rFonts w:hint="eastAsia"/>
                <w:sz w:val="24"/>
                <w:szCs w:val="24"/>
              </w:rPr>
              <w:t>业务</w:t>
            </w:r>
            <w:r>
              <w:rPr>
                <w:sz w:val="24"/>
                <w:szCs w:val="24"/>
              </w:rPr>
              <w:t>。</w:t>
            </w:r>
          </w:p>
        </w:tc>
      </w:tr>
      <w:tr w14:paraId="27836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1683" w:type="dxa"/>
            <w:vMerge w:val="restart"/>
            <w:shd w:val="clear" w:color="auto" w:fill="D9D9D9"/>
            <w:vAlign w:val="center"/>
          </w:tcPr>
          <w:p w14:paraId="33B9FF29">
            <w:pPr>
              <w:spacing w:line="500" w:lineRule="exact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简易案件理由（可以单选，也可以多选）</w:t>
            </w:r>
          </w:p>
        </w:tc>
        <w:tc>
          <w:tcPr>
            <w:tcW w:w="7075" w:type="dxa"/>
            <w:gridSpan w:val="2"/>
            <w:vAlign w:val="center"/>
          </w:tcPr>
          <w:p w14:paraId="317BB128">
            <w:pPr>
              <w:spacing w:line="500" w:lineRule="exac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sym w:font="Wingdings 2" w:char="00A3"/>
            </w:r>
            <w:r>
              <w:rPr>
                <w:sz w:val="24"/>
                <w:szCs w:val="24"/>
              </w:rPr>
              <w:t>1、在同一相关市场，所有参与集中的经营者所占市场份额之和小于15%。</w:t>
            </w:r>
          </w:p>
        </w:tc>
      </w:tr>
      <w:tr w14:paraId="71D67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683" w:type="dxa"/>
            <w:vMerge w:val="continue"/>
            <w:shd w:val="clear" w:color="auto" w:fill="D9D9D9"/>
            <w:vAlign w:val="center"/>
          </w:tcPr>
          <w:p w14:paraId="349D9A5B">
            <w:pPr>
              <w:spacing w:line="500" w:lineRule="exact"/>
              <w:jc w:val="left"/>
              <w:rPr>
                <w:sz w:val="24"/>
                <w:szCs w:val="24"/>
              </w:rPr>
            </w:pPr>
          </w:p>
        </w:tc>
        <w:tc>
          <w:tcPr>
            <w:tcW w:w="7075" w:type="dxa"/>
            <w:gridSpan w:val="2"/>
            <w:vAlign w:val="center"/>
          </w:tcPr>
          <w:p w14:paraId="10BB16B6">
            <w:pPr>
              <w:spacing w:line="500" w:lineRule="exac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☑</w:t>
            </w:r>
            <w:r>
              <w:rPr>
                <w:sz w:val="24"/>
                <w:szCs w:val="24"/>
              </w:rPr>
              <w:t>2、存在上下游关系的参与集中的经营者，在上下游市场所占的市场份额均小于25%。</w:t>
            </w:r>
          </w:p>
        </w:tc>
      </w:tr>
      <w:tr w14:paraId="4EA95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83" w:type="dxa"/>
            <w:vMerge w:val="continue"/>
            <w:shd w:val="clear" w:color="auto" w:fill="D9D9D9"/>
            <w:vAlign w:val="center"/>
          </w:tcPr>
          <w:p w14:paraId="609F8225">
            <w:pPr>
              <w:spacing w:line="500" w:lineRule="exact"/>
              <w:jc w:val="left"/>
              <w:rPr>
                <w:sz w:val="24"/>
                <w:szCs w:val="24"/>
              </w:rPr>
            </w:pPr>
          </w:p>
        </w:tc>
        <w:tc>
          <w:tcPr>
            <w:tcW w:w="7075" w:type="dxa"/>
            <w:gridSpan w:val="2"/>
            <w:vAlign w:val="center"/>
          </w:tcPr>
          <w:p w14:paraId="75107E43">
            <w:pPr>
              <w:spacing w:line="500" w:lineRule="exac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>3、不在同一相关市场、也不存在上下游关系的参与集中的经营者，在与交易有关的每个市场所占的份额均小于25%。</w:t>
            </w:r>
          </w:p>
        </w:tc>
      </w:tr>
      <w:tr w14:paraId="7C643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1683" w:type="dxa"/>
            <w:vMerge w:val="continue"/>
            <w:shd w:val="clear" w:color="auto" w:fill="D9D9D9"/>
            <w:vAlign w:val="center"/>
          </w:tcPr>
          <w:p w14:paraId="0449148E">
            <w:pPr>
              <w:spacing w:line="500" w:lineRule="exact"/>
              <w:jc w:val="left"/>
              <w:rPr>
                <w:sz w:val="24"/>
                <w:szCs w:val="24"/>
              </w:rPr>
            </w:pPr>
          </w:p>
        </w:tc>
        <w:tc>
          <w:tcPr>
            <w:tcW w:w="7075" w:type="dxa"/>
            <w:gridSpan w:val="2"/>
            <w:vAlign w:val="center"/>
          </w:tcPr>
          <w:p w14:paraId="2CE50BC9">
            <w:pPr>
              <w:spacing w:line="500" w:lineRule="exac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>4、参与集中的经营者在中国境外设立合营企业，合营企业不在中国境内从事经济活动。</w:t>
            </w:r>
          </w:p>
        </w:tc>
      </w:tr>
      <w:tr w14:paraId="57A7F5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683" w:type="dxa"/>
            <w:vMerge w:val="continue"/>
            <w:shd w:val="clear" w:color="auto" w:fill="D9D9D9"/>
            <w:vAlign w:val="center"/>
          </w:tcPr>
          <w:p w14:paraId="0100BAED">
            <w:pPr>
              <w:spacing w:line="500" w:lineRule="exact"/>
              <w:jc w:val="left"/>
              <w:rPr>
                <w:sz w:val="24"/>
                <w:szCs w:val="24"/>
              </w:rPr>
            </w:pPr>
          </w:p>
        </w:tc>
        <w:tc>
          <w:tcPr>
            <w:tcW w:w="7075" w:type="dxa"/>
            <w:gridSpan w:val="2"/>
            <w:vAlign w:val="center"/>
          </w:tcPr>
          <w:p w14:paraId="0E02BB77">
            <w:pPr>
              <w:spacing w:line="500" w:lineRule="exac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>5、参与集中的经营者收购境外企业股权或资产的，该境外企业不在中国境内从事经济活动。</w:t>
            </w:r>
          </w:p>
        </w:tc>
      </w:tr>
      <w:tr w14:paraId="07A175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683" w:type="dxa"/>
            <w:vMerge w:val="continue"/>
            <w:shd w:val="clear" w:color="auto" w:fill="D9D9D9"/>
            <w:vAlign w:val="center"/>
          </w:tcPr>
          <w:p w14:paraId="1461A577">
            <w:pPr>
              <w:spacing w:line="500" w:lineRule="exact"/>
              <w:jc w:val="left"/>
              <w:rPr>
                <w:sz w:val="24"/>
                <w:szCs w:val="24"/>
              </w:rPr>
            </w:pPr>
          </w:p>
        </w:tc>
        <w:tc>
          <w:tcPr>
            <w:tcW w:w="7075" w:type="dxa"/>
            <w:gridSpan w:val="2"/>
            <w:vAlign w:val="center"/>
          </w:tcPr>
          <w:p w14:paraId="7ED11369">
            <w:pPr>
              <w:spacing w:line="500" w:lineRule="exac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>6、由两个以上的经营者共同控制的合营企业，通过集中被其中一个或一个以上经营者控制。</w:t>
            </w:r>
          </w:p>
        </w:tc>
      </w:tr>
      <w:tr w14:paraId="00024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3" w:hRule="atLeast"/>
        </w:trPr>
        <w:tc>
          <w:tcPr>
            <w:tcW w:w="1683" w:type="dxa"/>
            <w:shd w:val="clear" w:color="auto" w:fill="D9D9D9"/>
            <w:vAlign w:val="center"/>
          </w:tcPr>
          <w:p w14:paraId="71277F0A">
            <w:pPr>
              <w:spacing w:line="500" w:lineRule="exact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备注</w:t>
            </w:r>
          </w:p>
        </w:tc>
        <w:tc>
          <w:tcPr>
            <w:tcW w:w="7075" w:type="dxa"/>
            <w:gridSpan w:val="2"/>
            <w:vAlign w:val="center"/>
          </w:tcPr>
          <w:p w14:paraId="002F77E1">
            <w:pPr>
              <w:jc w:val="left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纵向关联：</w:t>
            </w:r>
          </w:p>
          <w:p w14:paraId="40908CC3">
            <w:pPr>
              <w:jc w:val="left"/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上游：2024年全球LED芯片市场：</w:t>
            </w:r>
          </w:p>
          <w:p w14:paraId="5D1257A7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兆元光电：</w:t>
            </w:r>
            <w:r>
              <w:rPr>
                <w:sz w:val="24"/>
                <w:szCs w:val="24"/>
              </w:rPr>
              <w:t>0-5%</w:t>
            </w:r>
          </w:p>
          <w:p w14:paraId="3223DE2B">
            <w:pPr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2024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  <w:lang w:val="en-US" w:eastAsia="zh-CN"/>
              </w:rPr>
              <w:t>年中国境内LED芯片市场：</w:t>
            </w:r>
          </w:p>
          <w:p w14:paraId="48FD5BA8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兆元光电：</w:t>
            </w:r>
            <w:r>
              <w:rPr>
                <w:sz w:val="24"/>
                <w:szCs w:val="24"/>
              </w:rPr>
              <w:t>0-5%</w:t>
            </w:r>
          </w:p>
          <w:p w14:paraId="44E4B2FB">
            <w:pPr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下游：2024年、2025年中国境内COB显示面板市场：</w:t>
            </w:r>
          </w:p>
          <w:p w14:paraId="46F23192">
            <w:pPr>
              <w:jc w:val="left"/>
              <w:rPr>
                <w:kern w:val="44"/>
                <w:sz w:val="24"/>
                <w:szCs w:val="24"/>
              </w:rPr>
            </w:pPr>
            <w:r>
              <w:rPr>
                <w:sz w:val="24"/>
                <w:szCs w:val="24"/>
              </w:rPr>
              <w:t>TCL</w:t>
            </w:r>
            <w:r>
              <w:rPr>
                <w:rFonts w:hint="eastAsia"/>
                <w:sz w:val="24"/>
                <w:szCs w:val="24"/>
              </w:rPr>
              <w:t>华星</w:t>
            </w:r>
            <w:r>
              <w:rPr>
                <w:sz w:val="24"/>
                <w:szCs w:val="24"/>
              </w:rPr>
              <w:t>：0</w:t>
            </w:r>
            <w:r>
              <w:rPr>
                <w:rFonts w:hint="eastAsia"/>
                <w:sz w:val="24"/>
                <w:szCs w:val="24"/>
              </w:rPr>
              <w:t>-5</w:t>
            </w:r>
            <w:r>
              <w:rPr>
                <w:sz w:val="24"/>
                <w:szCs w:val="24"/>
              </w:rPr>
              <w:t>%</w:t>
            </w:r>
          </w:p>
        </w:tc>
      </w:tr>
    </w:tbl>
    <w:p w14:paraId="7415DFDC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trackRevisions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QwNjNhMWE2ZjQ1NGMwZDk0OTMyNzczNmNkMTZlZDQifQ=="/>
    <w:docVar w:name="KSO_WPS_MARK_KEY" w:val="9038a897-ca3b-4b72-b59a-40db07644776"/>
  </w:docVars>
  <w:rsids>
    <w:rsidRoot w:val="00094095"/>
    <w:rsid w:val="00000A45"/>
    <w:rsid w:val="000144AF"/>
    <w:rsid w:val="00035AFE"/>
    <w:rsid w:val="00045197"/>
    <w:rsid w:val="00046090"/>
    <w:rsid w:val="00055FE5"/>
    <w:rsid w:val="000920A7"/>
    <w:rsid w:val="00094095"/>
    <w:rsid w:val="00097D9D"/>
    <w:rsid w:val="000A2E32"/>
    <w:rsid w:val="000B5625"/>
    <w:rsid w:val="000C569B"/>
    <w:rsid w:val="000D26DF"/>
    <w:rsid w:val="000D4D6D"/>
    <w:rsid w:val="000E7ABB"/>
    <w:rsid w:val="00105003"/>
    <w:rsid w:val="00123F96"/>
    <w:rsid w:val="00130233"/>
    <w:rsid w:val="00164256"/>
    <w:rsid w:val="001778CC"/>
    <w:rsid w:val="00183679"/>
    <w:rsid w:val="001A1470"/>
    <w:rsid w:val="001A622F"/>
    <w:rsid w:val="001C7239"/>
    <w:rsid w:val="001D6CDE"/>
    <w:rsid w:val="001E3E93"/>
    <w:rsid w:val="0021113B"/>
    <w:rsid w:val="00245776"/>
    <w:rsid w:val="002508F3"/>
    <w:rsid w:val="00262690"/>
    <w:rsid w:val="00264574"/>
    <w:rsid w:val="00275312"/>
    <w:rsid w:val="002C19F0"/>
    <w:rsid w:val="002C64C3"/>
    <w:rsid w:val="002E3385"/>
    <w:rsid w:val="002F2D60"/>
    <w:rsid w:val="002F335B"/>
    <w:rsid w:val="00307976"/>
    <w:rsid w:val="0032349F"/>
    <w:rsid w:val="00333660"/>
    <w:rsid w:val="00357902"/>
    <w:rsid w:val="00386CF1"/>
    <w:rsid w:val="00390015"/>
    <w:rsid w:val="00391546"/>
    <w:rsid w:val="00396AE7"/>
    <w:rsid w:val="003D7455"/>
    <w:rsid w:val="003E79EC"/>
    <w:rsid w:val="004456EC"/>
    <w:rsid w:val="004506FA"/>
    <w:rsid w:val="0046029B"/>
    <w:rsid w:val="00462174"/>
    <w:rsid w:val="00473E49"/>
    <w:rsid w:val="00474749"/>
    <w:rsid w:val="004B1481"/>
    <w:rsid w:val="004D48EC"/>
    <w:rsid w:val="004E4274"/>
    <w:rsid w:val="004E5555"/>
    <w:rsid w:val="004E7257"/>
    <w:rsid w:val="005100C7"/>
    <w:rsid w:val="0051185A"/>
    <w:rsid w:val="0052034C"/>
    <w:rsid w:val="00522F9B"/>
    <w:rsid w:val="00585D93"/>
    <w:rsid w:val="005A0339"/>
    <w:rsid w:val="005A051D"/>
    <w:rsid w:val="005C590C"/>
    <w:rsid w:val="005F167B"/>
    <w:rsid w:val="006327F1"/>
    <w:rsid w:val="006652F3"/>
    <w:rsid w:val="00667E69"/>
    <w:rsid w:val="00677E3A"/>
    <w:rsid w:val="00677ED4"/>
    <w:rsid w:val="00681589"/>
    <w:rsid w:val="00683F50"/>
    <w:rsid w:val="006914EC"/>
    <w:rsid w:val="006A39F1"/>
    <w:rsid w:val="006B2E6C"/>
    <w:rsid w:val="006F5E73"/>
    <w:rsid w:val="00712E8F"/>
    <w:rsid w:val="0072452D"/>
    <w:rsid w:val="00731DD4"/>
    <w:rsid w:val="0074209E"/>
    <w:rsid w:val="007435D0"/>
    <w:rsid w:val="007631EF"/>
    <w:rsid w:val="00780A9E"/>
    <w:rsid w:val="007A1F10"/>
    <w:rsid w:val="007C2F08"/>
    <w:rsid w:val="007C3068"/>
    <w:rsid w:val="007D7501"/>
    <w:rsid w:val="007E2595"/>
    <w:rsid w:val="007E72E5"/>
    <w:rsid w:val="007E73E2"/>
    <w:rsid w:val="007E7D0C"/>
    <w:rsid w:val="007F13CC"/>
    <w:rsid w:val="007F16FD"/>
    <w:rsid w:val="007F562E"/>
    <w:rsid w:val="007F6247"/>
    <w:rsid w:val="00826E6B"/>
    <w:rsid w:val="00835E18"/>
    <w:rsid w:val="00837DC5"/>
    <w:rsid w:val="00840066"/>
    <w:rsid w:val="008404DF"/>
    <w:rsid w:val="008900EB"/>
    <w:rsid w:val="00897D92"/>
    <w:rsid w:val="008A6E7A"/>
    <w:rsid w:val="008B050D"/>
    <w:rsid w:val="008B6C2F"/>
    <w:rsid w:val="008C5391"/>
    <w:rsid w:val="008D18F0"/>
    <w:rsid w:val="008E469D"/>
    <w:rsid w:val="008F7C10"/>
    <w:rsid w:val="0090114C"/>
    <w:rsid w:val="00904CB7"/>
    <w:rsid w:val="0092503C"/>
    <w:rsid w:val="0094175D"/>
    <w:rsid w:val="00984130"/>
    <w:rsid w:val="00993BF4"/>
    <w:rsid w:val="00996818"/>
    <w:rsid w:val="009B2626"/>
    <w:rsid w:val="009D06A8"/>
    <w:rsid w:val="009D3D2B"/>
    <w:rsid w:val="009E5DA3"/>
    <w:rsid w:val="009F17D6"/>
    <w:rsid w:val="009F7886"/>
    <w:rsid w:val="00A04FED"/>
    <w:rsid w:val="00A230D6"/>
    <w:rsid w:val="00A25966"/>
    <w:rsid w:val="00A40F8F"/>
    <w:rsid w:val="00A520BD"/>
    <w:rsid w:val="00A90A90"/>
    <w:rsid w:val="00A914D9"/>
    <w:rsid w:val="00AB0806"/>
    <w:rsid w:val="00AB42FC"/>
    <w:rsid w:val="00AF458F"/>
    <w:rsid w:val="00B163FA"/>
    <w:rsid w:val="00B20089"/>
    <w:rsid w:val="00B2283E"/>
    <w:rsid w:val="00B23CC2"/>
    <w:rsid w:val="00B371EE"/>
    <w:rsid w:val="00B43294"/>
    <w:rsid w:val="00B521E3"/>
    <w:rsid w:val="00B54BDA"/>
    <w:rsid w:val="00B616E1"/>
    <w:rsid w:val="00B90473"/>
    <w:rsid w:val="00B93199"/>
    <w:rsid w:val="00BA0750"/>
    <w:rsid w:val="00BB2377"/>
    <w:rsid w:val="00BE3DCD"/>
    <w:rsid w:val="00C04F5A"/>
    <w:rsid w:val="00C27460"/>
    <w:rsid w:val="00C45C3B"/>
    <w:rsid w:val="00C54EF0"/>
    <w:rsid w:val="00C574ED"/>
    <w:rsid w:val="00C77B54"/>
    <w:rsid w:val="00C84E29"/>
    <w:rsid w:val="00C9068E"/>
    <w:rsid w:val="00C93C0C"/>
    <w:rsid w:val="00C96ECA"/>
    <w:rsid w:val="00CB028D"/>
    <w:rsid w:val="00CB3BDA"/>
    <w:rsid w:val="00CB57E1"/>
    <w:rsid w:val="00CB5AF7"/>
    <w:rsid w:val="00CC6142"/>
    <w:rsid w:val="00CC6AB4"/>
    <w:rsid w:val="00CC7F54"/>
    <w:rsid w:val="00CD13A7"/>
    <w:rsid w:val="00CD4CF5"/>
    <w:rsid w:val="00CE2824"/>
    <w:rsid w:val="00CF4448"/>
    <w:rsid w:val="00D00891"/>
    <w:rsid w:val="00D05416"/>
    <w:rsid w:val="00D102B0"/>
    <w:rsid w:val="00D1202E"/>
    <w:rsid w:val="00D13FDA"/>
    <w:rsid w:val="00D21777"/>
    <w:rsid w:val="00D3751C"/>
    <w:rsid w:val="00D45456"/>
    <w:rsid w:val="00D72EA9"/>
    <w:rsid w:val="00D763AF"/>
    <w:rsid w:val="00DA58DC"/>
    <w:rsid w:val="00DB266E"/>
    <w:rsid w:val="00DC279E"/>
    <w:rsid w:val="00DC6F93"/>
    <w:rsid w:val="00DD0208"/>
    <w:rsid w:val="00DD502B"/>
    <w:rsid w:val="00DD6E73"/>
    <w:rsid w:val="00DF0023"/>
    <w:rsid w:val="00DF78B0"/>
    <w:rsid w:val="00E03501"/>
    <w:rsid w:val="00E265D2"/>
    <w:rsid w:val="00E30E76"/>
    <w:rsid w:val="00E36319"/>
    <w:rsid w:val="00E53D38"/>
    <w:rsid w:val="00E54949"/>
    <w:rsid w:val="00E569CB"/>
    <w:rsid w:val="00E66A48"/>
    <w:rsid w:val="00E7483D"/>
    <w:rsid w:val="00E80ACD"/>
    <w:rsid w:val="00E874E1"/>
    <w:rsid w:val="00E9512B"/>
    <w:rsid w:val="00EB587E"/>
    <w:rsid w:val="00EC0323"/>
    <w:rsid w:val="00ED21B1"/>
    <w:rsid w:val="00EE29F1"/>
    <w:rsid w:val="00F02194"/>
    <w:rsid w:val="00F1795C"/>
    <w:rsid w:val="00F2189E"/>
    <w:rsid w:val="00F35070"/>
    <w:rsid w:val="00F66DCF"/>
    <w:rsid w:val="00F87C1F"/>
    <w:rsid w:val="00F96FDE"/>
    <w:rsid w:val="00FC01FE"/>
    <w:rsid w:val="00FC1ECC"/>
    <w:rsid w:val="00FC43CC"/>
    <w:rsid w:val="00FC45D5"/>
    <w:rsid w:val="00FD0407"/>
    <w:rsid w:val="00FE6606"/>
    <w:rsid w:val="00FF42CF"/>
    <w:rsid w:val="043E1B50"/>
    <w:rsid w:val="05A86320"/>
    <w:rsid w:val="05F41565"/>
    <w:rsid w:val="06A35E92"/>
    <w:rsid w:val="06F3516F"/>
    <w:rsid w:val="087C3466"/>
    <w:rsid w:val="09702289"/>
    <w:rsid w:val="098B441E"/>
    <w:rsid w:val="099621FA"/>
    <w:rsid w:val="0AF50259"/>
    <w:rsid w:val="0B392FD5"/>
    <w:rsid w:val="0C4C10D2"/>
    <w:rsid w:val="10721B63"/>
    <w:rsid w:val="12022A2E"/>
    <w:rsid w:val="12326EB4"/>
    <w:rsid w:val="133D7B22"/>
    <w:rsid w:val="13925C08"/>
    <w:rsid w:val="14603C13"/>
    <w:rsid w:val="146A2B1E"/>
    <w:rsid w:val="16DC2A40"/>
    <w:rsid w:val="18C13529"/>
    <w:rsid w:val="1C0D5C47"/>
    <w:rsid w:val="1D000A11"/>
    <w:rsid w:val="1D040554"/>
    <w:rsid w:val="1E845A40"/>
    <w:rsid w:val="1FD63258"/>
    <w:rsid w:val="20125FC6"/>
    <w:rsid w:val="211F764D"/>
    <w:rsid w:val="214E201A"/>
    <w:rsid w:val="225320DE"/>
    <w:rsid w:val="249D12EE"/>
    <w:rsid w:val="24C03D11"/>
    <w:rsid w:val="25056073"/>
    <w:rsid w:val="26663961"/>
    <w:rsid w:val="266C5A4C"/>
    <w:rsid w:val="26BB3134"/>
    <w:rsid w:val="277B51EB"/>
    <w:rsid w:val="27AE6D6E"/>
    <w:rsid w:val="29167809"/>
    <w:rsid w:val="2934389D"/>
    <w:rsid w:val="29514455"/>
    <w:rsid w:val="2A716687"/>
    <w:rsid w:val="2E1B3283"/>
    <w:rsid w:val="2F5B6E36"/>
    <w:rsid w:val="30986E0D"/>
    <w:rsid w:val="311B05E1"/>
    <w:rsid w:val="31291F7E"/>
    <w:rsid w:val="318178A1"/>
    <w:rsid w:val="322725C9"/>
    <w:rsid w:val="342618D3"/>
    <w:rsid w:val="345A372F"/>
    <w:rsid w:val="351A59B6"/>
    <w:rsid w:val="35276E71"/>
    <w:rsid w:val="35C41CF6"/>
    <w:rsid w:val="35C81F43"/>
    <w:rsid w:val="36511F38"/>
    <w:rsid w:val="36886B6E"/>
    <w:rsid w:val="37B0593D"/>
    <w:rsid w:val="39C24AED"/>
    <w:rsid w:val="3A106036"/>
    <w:rsid w:val="3A2D21CD"/>
    <w:rsid w:val="3A464B75"/>
    <w:rsid w:val="3C2A5691"/>
    <w:rsid w:val="3D111306"/>
    <w:rsid w:val="3DC84CA5"/>
    <w:rsid w:val="414C1C7A"/>
    <w:rsid w:val="43011B6E"/>
    <w:rsid w:val="4320516C"/>
    <w:rsid w:val="43BC3E97"/>
    <w:rsid w:val="441C57F3"/>
    <w:rsid w:val="44C47D79"/>
    <w:rsid w:val="44CF271A"/>
    <w:rsid w:val="44E04A90"/>
    <w:rsid w:val="46437F42"/>
    <w:rsid w:val="47DF2E42"/>
    <w:rsid w:val="47EB09E2"/>
    <w:rsid w:val="483616EE"/>
    <w:rsid w:val="49753D38"/>
    <w:rsid w:val="4B8A461E"/>
    <w:rsid w:val="4CA12DFC"/>
    <w:rsid w:val="4DDF747C"/>
    <w:rsid w:val="4F5B35BD"/>
    <w:rsid w:val="4F852651"/>
    <w:rsid w:val="4FAA2F2F"/>
    <w:rsid w:val="4FFB5792"/>
    <w:rsid w:val="503475F1"/>
    <w:rsid w:val="51DF3B26"/>
    <w:rsid w:val="537806AC"/>
    <w:rsid w:val="54117B0C"/>
    <w:rsid w:val="54A507BE"/>
    <w:rsid w:val="55637382"/>
    <w:rsid w:val="59247F7B"/>
    <w:rsid w:val="597B2C23"/>
    <w:rsid w:val="5A315494"/>
    <w:rsid w:val="5B2D6C07"/>
    <w:rsid w:val="5CAC53A8"/>
    <w:rsid w:val="5D573625"/>
    <w:rsid w:val="5EA616E7"/>
    <w:rsid w:val="60737891"/>
    <w:rsid w:val="607C78DF"/>
    <w:rsid w:val="60C16521"/>
    <w:rsid w:val="60C67F74"/>
    <w:rsid w:val="643C6CB2"/>
    <w:rsid w:val="66A07CA0"/>
    <w:rsid w:val="67694A84"/>
    <w:rsid w:val="688A6646"/>
    <w:rsid w:val="68F16ADF"/>
    <w:rsid w:val="69406B66"/>
    <w:rsid w:val="698A0CE2"/>
    <w:rsid w:val="6A9E229D"/>
    <w:rsid w:val="6B4532F0"/>
    <w:rsid w:val="6C9C4FB4"/>
    <w:rsid w:val="6CB07BAC"/>
    <w:rsid w:val="6CFC2F58"/>
    <w:rsid w:val="6D5637AC"/>
    <w:rsid w:val="6DBC1950"/>
    <w:rsid w:val="6DED5D0F"/>
    <w:rsid w:val="6E9D5A4F"/>
    <w:rsid w:val="6FB2220B"/>
    <w:rsid w:val="6FC83E42"/>
    <w:rsid w:val="748C0004"/>
    <w:rsid w:val="750A2CD7"/>
    <w:rsid w:val="75937578"/>
    <w:rsid w:val="762409E0"/>
    <w:rsid w:val="775A2C17"/>
    <w:rsid w:val="77BC4D9B"/>
    <w:rsid w:val="78040B07"/>
    <w:rsid w:val="78A2235B"/>
    <w:rsid w:val="794235F2"/>
    <w:rsid w:val="7A2C0B6E"/>
    <w:rsid w:val="7B1B5C3E"/>
    <w:rsid w:val="7B7F0E78"/>
    <w:rsid w:val="7E6E0CC2"/>
    <w:rsid w:val="7EEB40A2"/>
    <w:rsid w:val="7FD22684"/>
    <w:rsid w:val="DFF57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0" w:semiHidden="0" w:name="annotation reference"/>
    <w:lsdException w:uiPriority="99" w:name="line number"/>
    <w:lsdException w:uiPriority="99" w:name="page number"/>
    <w:lsdException w:qFormat="1" w:uiPriority="99" w:semiHidden="0" w:name="endnote reference"/>
    <w:lsdException w:qFormat="1" w:uiPriority="99" w:semiHidden="0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21"/>
    <w:unhideWhenUsed/>
    <w:qFormat/>
    <w:uiPriority w:val="0"/>
    <w:pPr>
      <w:jc w:val="left"/>
    </w:pPr>
  </w:style>
  <w:style w:type="paragraph" w:styleId="3">
    <w:name w:val="endnote text"/>
    <w:basedOn w:val="1"/>
    <w:link w:val="16"/>
    <w:unhideWhenUsed/>
    <w:qFormat/>
    <w:uiPriority w:val="99"/>
    <w:pPr>
      <w:snapToGrid w:val="0"/>
      <w:jc w:val="left"/>
    </w:pPr>
  </w:style>
  <w:style w:type="paragraph" w:styleId="4">
    <w:name w:val="Balloon Text"/>
    <w:basedOn w:val="1"/>
    <w:link w:val="17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8">
    <w:name w:val="annotation subject"/>
    <w:basedOn w:val="2"/>
    <w:next w:val="2"/>
    <w:link w:val="22"/>
    <w:semiHidden/>
    <w:unhideWhenUsed/>
    <w:qFormat/>
    <w:uiPriority w:val="99"/>
    <w:rPr>
      <w:b/>
      <w:bCs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22"/>
    <w:rPr>
      <w:b/>
    </w:rPr>
  </w:style>
  <w:style w:type="character" w:styleId="13">
    <w:name w:val="endnote reference"/>
    <w:unhideWhenUsed/>
    <w:qFormat/>
    <w:uiPriority w:val="99"/>
    <w:rPr>
      <w:vertAlign w:val="superscript"/>
    </w:rPr>
  </w:style>
  <w:style w:type="character" w:styleId="14">
    <w:name w:val="Hyperlink"/>
    <w:basedOn w:val="11"/>
    <w:unhideWhenUsed/>
    <w:qFormat/>
    <w:uiPriority w:val="99"/>
    <w:rPr>
      <w:color w:val="0000FF"/>
      <w:u w:val="single"/>
    </w:rPr>
  </w:style>
  <w:style w:type="character" w:styleId="15">
    <w:name w:val="annotation reference"/>
    <w:basedOn w:val="11"/>
    <w:unhideWhenUsed/>
    <w:qFormat/>
    <w:uiPriority w:val="0"/>
    <w:rPr>
      <w:sz w:val="21"/>
      <w:szCs w:val="21"/>
    </w:rPr>
  </w:style>
  <w:style w:type="character" w:customStyle="1" w:styleId="16">
    <w:name w:val="尾注文本 字符"/>
    <w:link w:val="3"/>
    <w:semiHidden/>
    <w:qFormat/>
    <w:uiPriority w:val="99"/>
  </w:style>
  <w:style w:type="character" w:customStyle="1" w:styleId="17">
    <w:name w:val="批注框文本 字符"/>
    <w:link w:val="4"/>
    <w:semiHidden/>
    <w:qFormat/>
    <w:uiPriority w:val="99"/>
    <w:rPr>
      <w:kern w:val="2"/>
      <w:sz w:val="18"/>
      <w:szCs w:val="18"/>
    </w:rPr>
  </w:style>
  <w:style w:type="character" w:customStyle="1" w:styleId="18">
    <w:name w:val="页脚 字符"/>
    <w:link w:val="5"/>
    <w:qFormat/>
    <w:uiPriority w:val="99"/>
    <w:rPr>
      <w:sz w:val="18"/>
      <w:szCs w:val="18"/>
    </w:rPr>
  </w:style>
  <w:style w:type="character" w:customStyle="1" w:styleId="19">
    <w:name w:val="页眉 字符"/>
    <w:link w:val="6"/>
    <w:qFormat/>
    <w:uiPriority w:val="99"/>
    <w:rPr>
      <w:sz w:val="18"/>
      <w:szCs w:val="18"/>
    </w:rPr>
  </w:style>
  <w:style w:type="paragraph" w:customStyle="1" w:styleId="20">
    <w:name w:val="修订1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customStyle="1" w:styleId="21">
    <w:name w:val="批注文字 字符"/>
    <w:basedOn w:val="11"/>
    <w:link w:val="2"/>
    <w:qFormat/>
    <w:uiPriority w:val="0"/>
    <w:rPr>
      <w:kern w:val="2"/>
      <w:sz w:val="21"/>
      <w:szCs w:val="22"/>
    </w:rPr>
  </w:style>
  <w:style w:type="character" w:customStyle="1" w:styleId="22">
    <w:name w:val="批注主题 字符"/>
    <w:basedOn w:val="21"/>
    <w:link w:val="8"/>
    <w:semiHidden/>
    <w:qFormat/>
    <w:uiPriority w:val="99"/>
    <w:rPr>
      <w:b/>
      <w:bCs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840</Words>
  <Characters>918</Characters>
  <Lines>8</Lines>
  <Paragraphs>2</Paragraphs>
  <TotalTime>2</TotalTime>
  <ScaleCrop>false</ScaleCrop>
  <LinksUpToDate>false</LinksUpToDate>
  <CharactersWithSpaces>918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2025-12-26T06:59:00Z</dcterms:created>
  <dc:creator>admin</dc:creator>
  <cp:lastModifiedBy>admin</cp:lastModifiedBy>
  <cp:lastPrinted>2014-10-09T02:48:00Z</cp:lastPrinted>
  <dcterms:modified xsi:type="dcterms:W3CDTF">2026-01-19T10:34:41Z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5FD29769B59347B489E472AEEF92C3C5</vt:lpwstr>
  </property>
  <property fmtid="{D5CDD505-2E9C-101B-9397-08002B2CF9AE}" pid="4" name="KSOTemplateDocerSaveRecord">
    <vt:lpwstr>eyJoZGlkIjoiNjQwNjNhMWE2ZjQ1NGMwZDk0OTMyNzczNmNkMTZlZDQiLCJ1c2VySWQiOiI0OTQyMjIzNDkifQ==</vt:lpwstr>
  </property>
</Properties>
</file>