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val="0"/>
        <w:snapToGrid w:val="0"/>
        <w:spacing w:line="594" w:lineRule="exact"/>
        <w:jc w:val="center"/>
        <w:textAlignment w:val="auto"/>
        <w:rPr>
          <w:rFonts w:hint="default" w:ascii="Times New Roman" w:hAnsi="Times New Roman" w:eastAsia="黑体" w:cs="Times New Roman"/>
          <w:bCs/>
          <w:color w:val="000000"/>
          <w:kern w:val="2"/>
          <w:sz w:val="52"/>
          <w:szCs w:val="52"/>
        </w:rPr>
      </w:pPr>
      <w:r>
        <w:rPr>
          <w:rFonts w:hint="default" w:ascii="Times New Roman" w:hAnsi="Times New Roman" w:eastAsia="黑体" w:cs="Times New Roman"/>
          <w:bCs/>
          <w:color w:val="000000"/>
          <w:spacing w:val="30"/>
          <w:kern w:val="0"/>
          <w:sz w:val="52"/>
          <w:szCs w:val="52"/>
          <w:fitText w:val="5742" w:id="-470200899"/>
        </w:rPr>
        <w:t>国家市场监督管理总</w:t>
      </w:r>
      <w:r>
        <w:rPr>
          <w:rFonts w:hint="default" w:ascii="Times New Roman" w:hAnsi="Times New Roman" w:eastAsia="黑体" w:cs="Times New Roman"/>
          <w:bCs/>
          <w:color w:val="000000"/>
          <w:spacing w:val="1"/>
          <w:kern w:val="0"/>
          <w:sz w:val="52"/>
          <w:szCs w:val="52"/>
          <w:fitText w:val="5742" w:id="-470200899"/>
        </w:rPr>
        <w:t>局</w:t>
      </w:r>
    </w:p>
    <w:p>
      <w:pPr>
        <w:keepNext w:val="0"/>
        <w:keepLines w:val="0"/>
        <w:pageBreakBefore w:val="0"/>
        <w:widowControl w:val="0"/>
        <w:kinsoku/>
        <w:wordWrap/>
        <w:topLinePunct w:val="0"/>
        <w:bidi w:val="0"/>
        <w:adjustRightInd w:val="0"/>
        <w:snapToGrid w:val="0"/>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2070319234"/>
        </w:rPr>
        <w:t>行政处罚决定</w:t>
      </w:r>
      <w:r>
        <w:rPr>
          <w:rFonts w:hint="default" w:ascii="Times New Roman" w:hAnsi="Times New Roman" w:eastAsia="黑体" w:cs="Times New Roman"/>
          <w:bCs/>
          <w:color w:val="000000"/>
          <w:spacing w:val="1"/>
          <w:kern w:val="0"/>
          <w:sz w:val="52"/>
          <w:szCs w:val="52"/>
          <w:fitText w:val="5742" w:id="2070319234"/>
        </w:rPr>
        <w:t>书</w:t>
      </w:r>
    </w:p>
    <w:p>
      <w:pPr>
        <w:keepNext w:val="0"/>
        <w:keepLines w:val="0"/>
        <w:pageBreakBefore w:val="0"/>
        <w:widowControl w:val="0"/>
        <w:kinsoku/>
        <w:wordWrap/>
        <w:topLinePunct w:val="0"/>
        <w:bidi w:val="0"/>
        <w:adjustRightInd w:val="0"/>
        <w:snapToGrid w:val="0"/>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w:t>
      </w:r>
      <w:r>
        <w:rPr>
          <w:rFonts w:hint="default" w:ascii="Times New Roman" w:hAnsi="Times New Roman" w:eastAsia="仿宋_GB2312" w:cs="Times New Roman"/>
          <w:kern w:val="2"/>
          <w:sz w:val="32"/>
          <w:szCs w:val="32"/>
          <w:lang w:eastAsia="zh-CN"/>
        </w:rPr>
        <w:t>罚</w:t>
      </w: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adjustRightInd w:val="0"/>
        <w:snapToGrid w:val="0"/>
        <w:spacing w:line="594" w:lineRule="exact"/>
        <w:jc w:val="center"/>
        <w:textAlignment w:val="auto"/>
        <w:rPr>
          <w:rFonts w:hint="default" w:ascii="Times New Roman" w:hAnsi="Times New Roman" w:eastAsia="仿宋_GB2312" w:cs="Times New Roman"/>
          <w:kern w:val="2"/>
          <w:sz w:val="28"/>
          <w:szCs w:val="28"/>
        </w:rPr>
      </w:pPr>
    </w:p>
    <w:p>
      <w:pPr>
        <w:pStyle w:val="3"/>
        <w:keepNext w:val="0"/>
        <w:keepLines w:val="0"/>
        <w:pageBreakBefore w:val="0"/>
        <w:widowControl w:val="0"/>
        <w:kinsoku/>
        <w:wordWrap/>
        <w:topLinePunct w:val="0"/>
        <w:bidi w:val="0"/>
        <w:adjustRightInd w:val="0"/>
        <w:snapToGrid w:val="0"/>
        <w:spacing w:after="0" w:line="594" w:lineRule="exact"/>
        <w:ind w:left="0" w:leftChars="0" w:firstLine="619" w:firstLineChars="197"/>
        <w:textAlignment w:val="auto"/>
        <w:rPr>
          <w:rFonts w:hint="eastAsia" w:ascii="Times New Roman" w:hAnsi="Times New Roman" w:eastAsia="仿宋_GB2312" w:cs="Times New Roman"/>
          <w:bCs/>
          <w:kern w:val="2"/>
          <w:sz w:val="32"/>
          <w:szCs w:val="32"/>
          <w:u w:val="none"/>
          <w:lang w:val="en-US" w:eastAsia="zh-CN" w:bidi="ar-SA"/>
        </w:rPr>
      </w:pPr>
      <w:r>
        <w:rPr>
          <w:rFonts w:hint="eastAsia" w:ascii="Times New Roman" w:hAnsi="Times New Roman" w:eastAsia="黑体" w:cs="Times New Roman"/>
          <w:color w:val="auto"/>
          <w:kern w:val="2"/>
          <w:sz w:val="32"/>
          <w:szCs w:val="32"/>
        </w:rPr>
        <w:t>当事人：</w:t>
      </w:r>
      <w:r>
        <w:rPr>
          <w:rFonts w:hint="default" w:ascii="Times New Roman" w:hAnsi="Times New Roman" w:eastAsia="仿宋_GB2312" w:cs="Times New Roman"/>
          <w:bCs/>
          <w:color w:val="auto"/>
          <w:sz w:val="32"/>
          <w:szCs w:val="32"/>
        </w:rPr>
        <w:t>华新（中国）投资有限公司</w:t>
      </w:r>
    </w:p>
    <w:p>
      <w:pPr>
        <w:pStyle w:val="3"/>
        <w:keepNext w:val="0"/>
        <w:keepLines w:val="0"/>
        <w:pageBreakBefore w:val="0"/>
        <w:widowControl w:val="0"/>
        <w:kinsoku/>
        <w:wordWrap/>
        <w:topLinePunct w:val="0"/>
        <w:bidi w:val="0"/>
        <w:adjustRightInd w:val="0"/>
        <w:snapToGrid w:val="0"/>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黑体" w:cs="Times New Roman"/>
          <w:color w:val="auto"/>
          <w:kern w:val="2"/>
          <w:sz w:val="32"/>
          <w:szCs w:val="32"/>
        </w:rPr>
        <w:t>主体资格证照名称：</w:t>
      </w:r>
      <w:r>
        <w:rPr>
          <w:rFonts w:hint="eastAsia" w:ascii="Times New Roman" w:hAnsi="Times New Roman" w:eastAsia="仿宋_GB2312" w:cs="Times New Roman"/>
          <w:bCs/>
          <w:color w:val="auto"/>
          <w:kern w:val="2"/>
          <w:sz w:val="32"/>
          <w:szCs w:val="32"/>
          <w:lang w:val="en-US" w:eastAsia="zh-CN" w:bidi="ar-SA"/>
        </w:rPr>
        <w:t>营业执照</w:t>
      </w:r>
    </w:p>
    <w:p>
      <w:pPr>
        <w:pStyle w:val="3"/>
        <w:keepNext w:val="0"/>
        <w:keepLines w:val="0"/>
        <w:pageBreakBefore w:val="0"/>
        <w:widowControl w:val="0"/>
        <w:kinsoku/>
        <w:wordWrap/>
        <w:topLinePunct w:val="0"/>
        <w:bidi w:val="0"/>
        <w:adjustRightInd w:val="0"/>
        <w:snapToGrid w:val="0"/>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highlight w:val="yellow"/>
          <w:lang w:val="en-US" w:eastAsia="zh-CN" w:bidi="ar-SA"/>
        </w:rPr>
      </w:pPr>
      <w:r>
        <w:rPr>
          <w:rFonts w:hint="eastAsia" w:ascii="Times New Roman" w:hAnsi="Times New Roman" w:eastAsia="黑体" w:cs="Times New Roman"/>
          <w:color w:val="auto"/>
          <w:kern w:val="2"/>
          <w:sz w:val="32"/>
          <w:szCs w:val="32"/>
        </w:rPr>
        <w:t>统一社会信用代码：91310000607351149N</w:t>
      </w:r>
    </w:p>
    <w:p>
      <w:pPr>
        <w:pStyle w:val="3"/>
        <w:keepNext w:val="0"/>
        <w:keepLines w:val="0"/>
        <w:pageBreakBefore w:val="0"/>
        <w:widowControl w:val="0"/>
        <w:kinsoku/>
        <w:wordWrap/>
        <w:topLinePunct w:val="0"/>
        <w:bidi w:val="0"/>
        <w:adjustRightInd w:val="0"/>
        <w:snapToGrid w:val="0"/>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黑体" w:cs="Times New Roman"/>
          <w:color w:val="auto"/>
          <w:kern w:val="2"/>
          <w:sz w:val="32"/>
          <w:szCs w:val="32"/>
        </w:rPr>
        <w:t>住所：</w:t>
      </w:r>
      <w:r>
        <w:rPr>
          <w:rFonts w:hint="eastAsia" w:ascii="Times New Roman" w:hAnsi="Times New Roman" w:eastAsia="仿宋_GB2312" w:cs="Times New Roman"/>
          <w:bCs/>
          <w:color w:val="auto"/>
          <w:kern w:val="2"/>
          <w:sz w:val="32"/>
          <w:szCs w:val="32"/>
          <w:highlight w:val="none"/>
        </w:rPr>
        <w:t>上海市延安西路2299号2802－2806室</w:t>
      </w:r>
    </w:p>
    <w:p>
      <w:pPr>
        <w:pStyle w:val="3"/>
        <w:keepNext w:val="0"/>
        <w:keepLines w:val="0"/>
        <w:pageBreakBefore w:val="0"/>
        <w:widowControl w:val="0"/>
        <w:kinsoku/>
        <w:wordWrap/>
        <w:topLinePunct w:val="0"/>
        <w:bidi w:val="0"/>
        <w:adjustRightInd w:val="0"/>
        <w:snapToGrid w:val="0"/>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黑体" w:cs="Times New Roman"/>
          <w:color w:val="auto"/>
          <w:kern w:val="2"/>
          <w:sz w:val="32"/>
          <w:szCs w:val="32"/>
        </w:rPr>
        <w:t>法定代表人：</w:t>
      </w:r>
      <w:r>
        <w:rPr>
          <w:rFonts w:hint="eastAsia" w:ascii="Times New Roman" w:hAnsi="Times New Roman" w:eastAsia="仿宋_GB2312" w:cs="Times New Roman"/>
          <w:bCs/>
          <w:color w:val="auto"/>
          <w:kern w:val="2"/>
          <w:sz w:val="32"/>
          <w:szCs w:val="32"/>
          <w:lang w:val="en-US" w:eastAsia="zh-CN" w:bidi="ar-SA"/>
        </w:rPr>
        <w:t>冯亚军</w:t>
      </w:r>
    </w:p>
    <w:p>
      <w:pPr>
        <w:pStyle w:val="3"/>
        <w:keepNext w:val="0"/>
        <w:keepLines w:val="0"/>
        <w:pageBreakBefore w:val="0"/>
        <w:widowControl w:val="0"/>
        <w:kinsoku/>
        <w:wordWrap/>
        <w:topLinePunct w:val="0"/>
        <w:bidi w:val="0"/>
        <w:adjustRightInd w:val="0"/>
        <w:snapToGrid w:val="0"/>
        <w:spacing w:after="0" w:line="594" w:lineRule="exact"/>
        <w:ind w:left="0" w:leftChars="0" w:firstLine="619" w:firstLineChars="197"/>
        <w:textAlignment w:val="auto"/>
        <w:rPr>
          <w:rFonts w:hint="default" w:ascii="Times New Roman" w:hAnsi="Times New Roman" w:eastAsia="黑体" w:cs="Times New Roman"/>
          <w:bCs/>
          <w:color w:val="auto"/>
          <w:kern w:val="2"/>
          <w:sz w:val="32"/>
          <w:szCs w:val="32"/>
          <w:highlight w:val="yellow"/>
          <w:lang w:val="en-US" w:eastAsia="zh-CN" w:bidi="ar-SA"/>
        </w:rPr>
      </w:pPr>
      <w:r>
        <w:rPr>
          <w:rFonts w:hint="eastAsia" w:ascii="Times New Roman" w:hAnsi="Times New Roman" w:eastAsia="黑体" w:cs="Times New Roman"/>
          <w:color w:val="auto"/>
          <w:kern w:val="2"/>
          <w:sz w:val="32"/>
          <w:szCs w:val="32"/>
        </w:rPr>
        <w:t>身份证件号码：</w:t>
      </w:r>
      <w:r>
        <w:rPr>
          <w:rFonts w:hint="eastAsia" w:ascii="Times New Roman" w:hAnsi="Times New Roman" w:eastAsia="仿宋_GB2312" w:cs="Times New Roman"/>
          <w:bCs/>
          <w:color w:val="auto"/>
          <w:kern w:val="2"/>
          <w:sz w:val="32"/>
          <w:szCs w:val="32"/>
          <w:highlight w:val="none"/>
          <w:lang w:eastAsia="zh-CN"/>
        </w:rPr>
        <w:t>（略）</w:t>
      </w:r>
    </w:p>
    <w:p>
      <w:pPr>
        <w:pStyle w:val="2"/>
        <w:keepNext w:val="0"/>
        <w:keepLines w:val="0"/>
        <w:pageBreakBefore w:val="0"/>
        <w:widowControl w:val="0"/>
        <w:kinsoku/>
        <w:wordWrap/>
        <w:topLinePunct w:val="0"/>
        <w:bidi w:val="0"/>
        <w:adjustRightInd w:val="0"/>
        <w:snapToGrid w:val="0"/>
        <w:spacing w:after="0" w:line="594" w:lineRule="exact"/>
        <w:textAlignment w:val="auto"/>
        <w:rPr>
          <w:rFonts w:hint="default" w:ascii="Times New Roman" w:hAnsi="Times New Roman"/>
          <w:color w:val="auto"/>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根据《中华人民共和国反垄断法》（以下简称《反垄断法》）、《经营者集中审查规定》，</w:t>
      </w:r>
      <w:r>
        <w:rPr>
          <w:rStyle w:val="11"/>
          <w:rFonts w:hint="eastAsia" w:eastAsia="仿宋_GB2312" w:cs="Times New Roman"/>
          <w:bCs/>
          <w:color w:val="auto"/>
          <w:sz w:val="32"/>
          <w:szCs w:val="32"/>
          <w:u w:val="none"/>
          <w:lang w:val="en-US" w:eastAsia="zh-CN"/>
        </w:rPr>
        <w:t>本机关</w:t>
      </w:r>
      <w:r>
        <w:rPr>
          <w:rFonts w:hint="default" w:ascii="Times New Roman" w:hAnsi="Times New Roman" w:eastAsia="仿宋_GB2312" w:cs="Times New Roman"/>
          <w:bCs/>
          <w:color w:val="auto"/>
          <w:kern w:val="2"/>
          <w:sz w:val="32"/>
          <w:szCs w:val="32"/>
          <w:lang w:val="en-US" w:eastAsia="zh-CN" w:bidi="ar-SA"/>
        </w:rPr>
        <w:t>于</w:t>
      </w:r>
      <w:r>
        <w:rPr>
          <w:rFonts w:hint="default" w:ascii="Times New Roman" w:hAnsi="Times New Roman" w:eastAsia="仿宋_GB2312" w:cs="Times New Roman"/>
          <w:bCs/>
          <w:color w:val="auto"/>
          <w:kern w:val="2"/>
          <w:sz w:val="32"/>
          <w:szCs w:val="32"/>
          <w:u w:val="none"/>
          <w:lang w:val="en-US" w:eastAsia="zh-CN" w:bidi="ar-SA"/>
        </w:rPr>
        <w:t>202</w:t>
      </w:r>
      <w:r>
        <w:rPr>
          <w:rFonts w:hint="eastAsia" w:eastAsia="仿宋_GB2312" w:cs="Times New Roman"/>
          <w:bCs/>
          <w:color w:val="auto"/>
          <w:kern w:val="2"/>
          <w:sz w:val="32"/>
          <w:szCs w:val="32"/>
          <w:u w:val="none"/>
          <w:lang w:val="en-US" w:eastAsia="zh-CN" w:bidi="ar-SA"/>
        </w:rPr>
        <w:t>5</w:t>
      </w:r>
      <w:r>
        <w:rPr>
          <w:rFonts w:hint="default" w:ascii="Times New Roman" w:hAnsi="Times New Roman" w:eastAsia="仿宋_GB2312" w:cs="Times New Roman"/>
          <w:bCs/>
          <w:color w:val="auto"/>
          <w:kern w:val="2"/>
          <w:sz w:val="32"/>
          <w:szCs w:val="32"/>
          <w:u w:val="none"/>
          <w:lang w:val="en-US" w:eastAsia="zh-CN" w:bidi="ar-SA"/>
        </w:rPr>
        <w:t>年</w:t>
      </w:r>
      <w:r>
        <w:rPr>
          <w:rFonts w:hint="eastAsia" w:eastAsia="仿宋_GB2312" w:cs="Times New Roman"/>
          <w:bCs/>
          <w:color w:val="auto"/>
          <w:kern w:val="2"/>
          <w:sz w:val="32"/>
          <w:szCs w:val="32"/>
          <w:u w:val="none"/>
          <w:lang w:val="en-US" w:eastAsia="zh-CN" w:bidi="ar-SA"/>
        </w:rPr>
        <w:t>7</w:t>
      </w:r>
      <w:r>
        <w:rPr>
          <w:rFonts w:hint="default" w:ascii="Times New Roman" w:hAnsi="Times New Roman" w:eastAsia="仿宋_GB2312" w:cs="Times New Roman"/>
          <w:bCs/>
          <w:color w:val="auto"/>
          <w:kern w:val="2"/>
          <w:sz w:val="32"/>
          <w:szCs w:val="32"/>
          <w:u w:val="none"/>
          <w:lang w:val="en-US" w:eastAsia="zh-CN" w:bidi="ar-SA"/>
        </w:rPr>
        <w:t>月</w:t>
      </w:r>
      <w:r>
        <w:rPr>
          <w:rFonts w:hint="eastAsia" w:eastAsia="仿宋_GB2312" w:cs="Times New Roman"/>
          <w:bCs/>
          <w:color w:val="auto"/>
          <w:kern w:val="2"/>
          <w:sz w:val="32"/>
          <w:szCs w:val="32"/>
          <w:u w:val="none"/>
          <w:lang w:val="en-US" w:eastAsia="zh-CN" w:bidi="ar-SA"/>
        </w:rPr>
        <w:t>29</w:t>
      </w:r>
      <w:r>
        <w:rPr>
          <w:rFonts w:hint="default" w:ascii="Times New Roman" w:hAnsi="Times New Roman" w:eastAsia="仿宋_GB2312" w:cs="Times New Roman"/>
          <w:bCs/>
          <w:color w:val="auto"/>
          <w:kern w:val="2"/>
          <w:sz w:val="32"/>
          <w:szCs w:val="32"/>
          <w:u w:val="none"/>
          <w:lang w:val="en-US" w:eastAsia="zh-CN" w:bidi="ar-SA"/>
        </w:rPr>
        <w:t>日</w:t>
      </w:r>
      <w:r>
        <w:rPr>
          <w:rFonts w:hint="default" w:ascii="Times New Roman" w:hAnsi="Times New Roman" w:eastAsia="仿宋_GB2312" w:cs="Times New Roman"/>
          <w:bCs/>
          <w:color w:val="auto"/>
          <w:sz w:val="32"/>
          <w:szCs w:val="32"/>
        </w:rPr>
        <w:t>对华新（中国）投资有限公司（以下简称华新中投）收购杭州华新电力线缆有限公司（以下简称杭州华新）</w:t>
      </w:r>
      <w:r>
        <w:rPr>
          <w:rFonts w:hint="eastAsia" w:eastAsia="仿宋_GB2312" w:cs="Times New Roman"/>
          <w:bCs/>
          <w:color w:val="auto"/>
          <w:sz w:val="32"/>
          <w:szCs w:val="32"/>
          <w:lang w:eastAsia="zh-CN"/>
        </w:rPr>
        <w:t>股权</w:t>
      </w:r>
      <w:r>
        <w:rPr>
          <w:rFonts w:hint="default" w:ascii="Times New Roman" w:hAnsi="Times New Roman" w:eastAsia="仿宋_GB2312" w:cs="Times New Roman"/>
          <w:sz w:val="32"/>
        </w:rPr>
        <w:t>涉嫌违法实施</w:t>
      </w:r>
      <w:r>
        <w:rPr>
          <w:rFonts w:hint="default" w:ascii="Times New Roman" w:hAnsi="Times New Roman" w:eastAsia="仿宋_GB2312" w:cs="Times New Roman"/>
          <w:sz w:val="32"/>
          <w:lang w:eastAsia="zh-CN"/>
        </w:rPr>
        <w:t>经营者集中案</w:t>
      </w:r>
      <w:r>
        <w:rPr>
          <w:rFonts w:hint="default" w:ascii="Times New Roman" w:hAnsi="Times New Roman" w:eastAsia="仿宋_GB2312" w:cs="Times New Roman"/>
          <w:bCs/>
          <w:color w:val="auto"/>
          <w:kern w:val="2"/>
          <w:sz w:val="32"/>
          <w:szCs w:val="32"/>
          <w:lang w:val="en-US" w:eastAsia="zh-CN" w:bidi="ar-SA"/>
        </w:rPr>
        <w:t>进行立案调查。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28" w:firstLineChars="200"/>
        <w:textAlignment w:val="auto"/>
        <w:outlineLvl w:val="0"/>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经查，该案构成违法实施经营者集中，但不具有排除、限制竞争的效果。</w:t>
      </w:r>
      <w:r>
        <w:rPr>
          <w:rStyle w:val="11"/>
          <w:rFonts w:hint="eastAsia" w:eastAsia="仿宋_GB2312" w:cs="Times New Roman"/>
          <w:bCs/>
          <w:color w:val="auto"/>
          <w:sz w:val="32"/>
          <w:szCs w:val="32"/>
          <w:u w:val="none"/>
          <w:lang w:val="en-US" w:eastAsia="zh-CN"/>
        </w:rPr>
        <w:t>本机关</w:t>
      </w:r>
      <w:r>
        <w:rPr>
          <w:rFonts w:hint="default" w:ascii="Times New Roman" w:hAnsi="Times New Roman" w:eastAsia="仿宋_GB2312" w:cs="Times New Roman"/>
          <w:bCs/>
          <w:color w:val="auto"/>
          <w:kern w:val="2"/>
          <w:sz w:val="32"/>
          <w:szCs w:val="32"/>
          <w:lang w:val="en-US" w:eastAsia="zh-CN" w:bidi="ar-SA"/>
        </w:rPr>
        <w:t>按照《中华人民共和国行政处罚法》（以下简称《行政处罚法》）的规定，向</w:t>
      </w:r>
      <w:r>
        <w:rPr>
          <w:rFonts w:hint="eastAsia" w:eastAsia="仿宋_GB2312" w:cs="Times New Roman"/>
          <w:bCs/>
          <w:color w:val="auto"/>
          <w:sz w:val="32"/>
          <w:szCs w:val="32"/>
          <w:lang w:eastAsia="zh-CN"/>
        </w:rPr>
        <w:t>华新中投</w:t>
      </w:r>
      <w:r>
        <w:rPr>
          <w:rFonts w:hint="default" w:ascii="Times New Roman" w:hAnsi="Times New Roman" w:eastAsia="仿宋_GB2312" w:cs="Times New Roman"/>
          <w:bCs/>
          <w:color w:val="auto"/>
          <w:kern w:val="2"/>
          <w:sz w:val="32"/>
          <w:szCs w:val="32"/>
          <w:lang w:val="en-US" w:eastAsia="zh-CN" w:bidi="ar-SA"/>
        </w:rPr>
        <w:t>送达了《行政处罚告知书》，告知当事人拟作出的行政处罚内容及事实、理由、依据，并告知当事人依法享有的陈述、申辩、要求听证的权利。</w:t>
      </w:r>
      <w:r>
        <w:rPr>
          <w:rFonts w:hint="eastAsia" w:eastAsia="仿宋_GB2312" w:cs="Times New Roman"/>
          <w:bCs/>
          <w:color w:val="auto"/>
          <w:kern w:val="2"/>
          <w:sz w:val="32"/>
          <w:szCs w:val="32"/>
          <w:lang w:val="en-US" w:eastAsia="zh-CN" w:bidi="ar-SA"/>
        </w:rPr>
        <w:t>华新中投</w:t>
      </w:r>
      <w:r>
        <w:rPr>
          <w:rFonts w:hint="default" w:ascii="Times New Roman" w:hAnsi="Times New Roman" w:eastAsia="仿宋_GB2312" w:cs="Times New Roman"/>
          <w:bCs/>
          <w:color w:val="auto"/>
          <w:kern w:val="2"/>
          <w:sz w:val="32"/>
          <w:szCs w:val="32"/>
          <w:lang w:val="en-US" w:eastAsia="zh-CN" w:bidi="ar-SA"/>
        </w:rPr>
        <w:t>在规定期限内</w:t>
      </w:r>
      <w:r>
        <w:rPr>
          <w:rFonts w:hint="eastAsia" w:eastAsia="仿宋_GB2312" w:cs="Times New Roman"/>
          <w:bCs/>
          <w:color w:val="auto"/>
          <w:kern w:val="2"/>
          <w:sz w:val="32"/>
          <w:szCs w:val="32"/>
          <w:lang w:val="en-US" w:eastAsia="zh-CN" w:bidi="ar-SA"/>
        </w:rPr>
        <w:t>没有</w:t>
      </w:r>
      <w:r>
        <w:rPr>
          <w:rFonts w:hint="default" w:ascii="Times New Roman" w:hAnsi="Times New Roman" w:eastAsia="仿宋_GB2312" w:cs="Times New Roman"/>
          <w:bCs/>
          <w:color w:val="auto"/>
          <w:kern w:val="2"/>
          <w:sz w:val="32"/>
          <w:szCs w:val="32"/>
          <w:lang w:val="en-US" w:eastAsia="zh-CN" w:bidi="ar-SA"/>
        </w:rPr>
        <w:t>提出陈述、申辩意见</w:t>
      </w:r>
      <w:r>
        <w:rPr>
          <w:rFonts w:hint="eastAsia" w:eastAsia="仿宋_GB2312" w:cs="Times New Roman"/>
          <w:bCs/>
          <w:color w:val="auto"/>
          <w:kern w:val="2"/>
          <w:sz w:val="32"/>
          <w:szCs w:val="32"/>
          <w:lang w:val="en-US" w:eastAsia="zh-CN" w:bidi="ar-SA"/>
        </w:rPr>
        <w:t>或要求举行听证，</w:t>
      </w:r>
      <w:r>
        <w:rPr>
          <w:rFonts w:hint="default" w:ascii="Times New Roman" w:hAnsi="Times New Roman" w:eastAsia="仿宋_GB2312" w:cs="Times New Roman"/>
          <w:bCs/>
          <w:color w:val="auto"/>
          <w:kern w:val="2"/>
          <w:sz w:val="32"/>
          <w:szCs w:val="32"/>
          <w:lang w:val="en-US" w:eastAsia="zh-CN" w:bidi="ar-SA"/>
        </w:rPr>
        <w:t>本案现已调查终结。</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eastAsia"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rPr>
        <w:t>一、</w:t>
      </w:r>
      <w:r>
        <w:rPr>
          <w:rFonts w:hint="eastAsia" w:ascii="Times New Roman" w:hAnsi="Times New Roman" w:eastAsia="黑体" w:cs="Times New Roman"/>
          <w:color w:val="auto"/>
          <w:kern w:val="2"/>
          <w:sz w:val="32"/>
          <w:szCs w:val="32"/>
          <w:lang w:eastAsia="zh-CN"/>
        </w:rPr>
        <w:t>案件来源及调查经过</w:t>
      </w:r>
    </w:p>
    <w:p>
      <w:pPr>
        <w:keepNext w:val="0"/>
        <w:keepLines w:val="0"/>
        <w:pageBreakBefore w:val="0"/>
        <w:suppressAutoHyphens/>
        <w:kinsoku/>
        <w:wordWrap/>
        <w:overflowPunct w:val="0"/>
        <w:topLinePunct w:val="0"/>
        <w:autoSpaceDE w:val="0"/>
        <w:autoSpaceDN w:val="0"/>
        <w:bidi w:val="0"/>
        <w:adjustRightInd w:val="0"/>
        <w:spacing w:line="594" w:lineRule="exact"/>
        <w:ind w:left="0" w:leftChars="0" w:firstLine="628" w:firstLineChars="200"/>
        <w:jc w:val="both"/>
        <w:textAlignment w:val="auto"/>
        <w:rPr>
          <w:rFonts w:hint="default"/>
        </w:rPr>
      </w:pPr>
      <w:r>
        <w:rPr>
          <w:rFonts w:hint="default" w:ascii="Times New Roman" w:hAnsi="Times New Roman" w:eastAsia="仿宋_GB2312" w:cs="Times New Roman"/>
          <w:bCs/>
          <w:color w:val="auto"/>
          <w:sz w:val="32"/>
          <w:szCs w:val="32"/>
          <w:lang w:val="en-US" w:eastAsia="zh-CN"/>
        </w:rPr>
        <w:t>2024年1月25日，</w:t>
      </w:r>
      <w:r>
        <w:rPr>
          <w:rFonts w:hint="eastAsia" w:eastAsia="仿宋_GB2312" w:cs="Times New Roman"/>
          <w:bCs/>
          <w:color w:val="auto"/>
          <w:sz w:val="32"/>
          <w:szCs w:val="32"/>
          <w:lang w:val="en-US" w:eastAsia="zh-CN"/>
        </w:rPr>
        <w:t>华新中投向</w:t>
      </w:r>
      <w:r>
        <w:rPr>
          <w:rFonts w:hint="default" w:ascii="Times New Roman" w:hAnsi="Times New Roman" w:eastAsia="仿宋_GB2312" w:cs="Times New Roman"/>
          <w:bCs/>
          <w:color w:val="auto"/>
          <w:sz w:val="32"/>
          <w:szCs w:val="32"/>
          <w:lang w:val="en-US" w:eastAsia="zh-CN"/>
        </w:rPr>
        <w:t>我机关提交经营者集中反垄断申报。2月21日，审查中发现该交易已于2023年12月4日完成股权变更登记，涉嫌违法实施经营者集中。2025年7月29日，对本案</w:t>
      </w:r>
      <w:r>
        <w:rPr>
          <w:rFonts w:hint="eastAsia" w:eastAsia="仿宋_GB2312" w:cs="Times New Roman"/>
          <w:bCs/>
          <w:color w:val="auto"/>
          <w:sz w:val="32"/>
          <w:szCs w:val="32"/>
          <w:lang w:val="en-US" w:eastAsia="zh-CN"/>
        </w:rPr>
        <w:t>进行</w:t>
      </w:r>
      <w:r>
        <w:rPr>
          <w:rFonts w:hint="default" w:ascii="Times New Roman" w:hAnsi="Times New Roman" w:eastAsia="仿宋_GB2312" w:cs="Times New Roman"/>
          <w:bCs/>
          <w:color w:val="auto"/>
          <w:sz w:val="32"/>
          <w:szCs w:val="32"/>
          <w:lang w:val="en-US" w:eastAsia="zh-CN"/>
        </w:rPr>
        <w:t>立案调查。9月30日，实施进一步调查，对本案是否具有排除、限制竞争效果进行了评估。</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eastAsia" w:ascii="Times New Roman" w:hAnsi="Times New Roman" w:eastAsia="黑体" w:cs="Times New Roman"/>
          <w:color w:val="auto"/>
          <w:kern w:val="2"/>
          <w:sz w:val="32"/>
          <w:szCs w:val="32"/>
          <w:lang w:eastAsia="zh-CN"/>
        </w:rPr>
      </w:pPr>
      <w:r>
        <w:rPr>
          <w:rFonts w:hint="eastAsia" w:ascii="Times New Roman" w:hAnsi="Times New Roman" w:eastAsia="黑体" w:cs="Times New Roman"/>
          <w:color w:val="auto"/>
          <w:kern w:val="2"/>
          <w:sz w:val="32"/>
          <w:szCs w:val="32"/>
          <w:lang w:eastAsia="zh-CN"/>
        </w:rPr>
        <w:t>二</w:t>
      </w:r>
      <w:r>
        <w:rPr>
          <w:rFonts w:hint="default" w:ascii="Times New Roman" w:hAnsi="Times New Roman" w:eastAsia="黑体" w:cs="Times New Roman"/>
          <w:color w:val="auto"/>
          <w:kern w:val="2"/>
          <w:sz w:val="32"/>
          <w:szCs w:val="32"/>
        </w:rPr>
        <w:t>、</w:t>
      </w:r>
      <w:r>
        <w:rPr>
          <w:rFonts w:hint="eastAsia" w:ascii="Times New Roman" w:hAnsi="Times New Roman" w:eastAsia="黑体" w:cs="Times New Roman"/>
          <w:color w:val="auto"/>
          <w:kern w:val="2"/>
          <w:sz w:val="32"/>
          <w:szCs w:val="32"/>
          <w:lang w:eastAsia="zh-CN"/>
        </w:rPr>
        <w:t>基本情况</w:t>
      </w:r>
    </w:p>
    <w:p>
      <w:pPr>
        <w:pStyle w:val="12"/>
        <w:keepNext w:val="0"/>
        <w:keepLines w:val="0"/>
        <w:pageBreakBefore w:val="0"/>
        <w:widowControl w:val="0"/>
        <w:kinsoku/>
        <w:wordWrap/>
        <w:topLinePunct w:val="0"/>
        <w:bidi w:val="0"/>
        <w:adjustRightInd w:val="0"/>
        <w:snapToGrid w:val="0"/>
        <w:spacing w:line="594" w:lineRule="exact"/>
        <w:ind w:left="0" w:leftChars="0" w:firstLine="643"/>
        <w:jc w:val="both"/>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w:t>
      </w:r>
      <w:r>
        <w:rPr>
          <w:rFonts w:hint="eastAsia" w:ascii="Times New Roman" w:hAnsi="Times New Roman" w:eastAsia="楷体_GB2312" w:cs="Times New Roman"/>
          <w:b w:val="0"/>
          <w:bCs/>
          <w:color w:val="auto"/>
          <w:lang w:eastAsia="zh-CN"/>
        </w:rPr>
        <w:t>交易方</w:t>
      </w:r>
      <w:r>
        <w:rPr>
          <w:rFonts w:hint="default" w:ascii="Times New Roman" w:hAnsi="Times New Roman" w:eastAsia="楷体_GB2312" w:cs="Times New Roman"/>
          <w:b w:val="0"/>
          <w:bCs/>
          <w:color w:val="auto"/>
        </w:rPr>
        <w:t>。</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rPr>
        <w:t>收购方：华新中投</w:t>
      </w:r>
      <w:r>
        <w:rPr>
          <w:rFonts w:hint="eastAsia"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1995年在上海市注册成立，主要从事股权投资、电线电缆、铜线铜条的生产等业务。最终控制人为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仿宋_GB2312"/>
          <w:b w:val="0"/>
          <w:bCs w:val="0"/>
          <w:sz w:val="32"/>
          <w:szCs w:val="32"/>
        </w:rPr>
        <w:t>，主要从事电线电缆、</w:t>
      </w:r>
      <w:r>
        <w:rPr>
          <w:rFonts w:hint="eastAsia" w:ascii="Times New Roman" w:hAnsi="Times New Roman" w:eastAsia="仿宋_GB2312" w:cs="仿宋_GB2312"/>
          <w:b w:val="0"/>
          <w:bCs w:val="0"/>
          <w:sz w:val="32"/>
          <w:szCs w:val="32"/>
          <w:highlight w:val="none"/>
        </w:rPr>
        <w:t>不锈钢、资源及地产业务。2022年，华新中投（含关联方）全球营业额为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仿宋_GB2312"/>
          <w:b w:val="0"/>
          <w:bCs w:val="0"/>
          <w:sz w:val="32"/>
          <w:szCs w:val="32"/>
          <w:highlight w:val="none"/>
        </w:rPr>
        <w:t>，中国境内营业额为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仿宋_GB2312"/>
          <w:b w:val="0"/>
          <w:bCs w:val="0"/>
          <w:sz w:val="32"/>
          <w:szCs w:val="32"/>
          <w:highlight w:val="none"/>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jc w:val="both"/>
        <w:textAlignment w:val="auto"/>
        <w:rPr>
          <w:rFonts w:hint="eastAsia" w:ascii="Times New Roman" w:hAnsi="Times New Roman" w:eastAsia="仿宋_GB2312" w:cs="仿宋_GB2312"/>
          <w:b w:val="0"/>
          <w:bCs w:val="0"/>
          <w:sz w:val="32"/>
          <w:szCs w:val="32"/>
          <w:highlight w:val="none"/>
        </w:rPr>
      </w:pPr>
      <w:r>
        <w:rPr>
          <w:rFonts w:hint="eastAsia" w:eastAsia="仿宋_GB2312" w:cs="仿宋_GB2312"/>
          <w:b w:val="0"/>
          <w:bCs w:val="0"/>
          <w:sz w:val="32"/>
          <w:szCs w:val="32"/>
          <w:highlight w:val="none"/>
          <w:lang w:eastAsia="zh-CN"/>
        </w:rPr>
        <w:t>被收购方</w:t>
      </w:r>
      <w:r>
        <w:rPr>
          <w:rFonts w:hint="eastAsia" w:ascii="Times New Roman" w:hAnsi="Times New Roman" w:eastAsia="仿宋_GB2312" w:cs="仿宋_GB2312"/>
          <w:b w:val="0"/>
          <w:bCs w:val="0"/>
          <w:sz w:val="32"/>
          <w:szCs w:val="32"/>
          <w:highlight w:val="none"/>
        </w:rPr>
        <w:t>：杭州华新</w:t>
      </w:r>
      <w:r>
        <w:rPr>
          <w:rFonts w:hint="eastAsia"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1995年在浙江省注册成立，主要从事电力电缆的生产和销售业务。交易前最终控制人为</w:t>
      </w:r>
      <w:r>
        <w:rPr>
          <w:rFonts w:hint="eastAsia" w:ascii="Times New Roman" w:hAnsi="Times New Roman" w:eastAsia="仿宋_GB2312" w:cs="Times New Roman"/>
          <w:bCs/>
          <w:color w:val="auto"/>
          <w:kern w:val="2"/>
          <w:sz w:val="32"/>
          <w:szCs w:val="32"/>
          <w:highlight w:val="none"/>
          <w:lang w:eastAsia="zh-CN"/>
        </w:rPr>
        <w:t>（略）</w:t>
      </w:r>
      <w:r>
        <w:rPr>
          <w:rFonts w:hint="eastAsia" w:eastAsia="仿宋_GB2312" w:cs="Times New Roman"/>
          <w:bCs/>
          <w:color w:val="auto"/>
          <w:kern w:val="2"/>
          <w:sz w:val="32"/>
          <w:szCs w:val="32"/>
          <w:highlight w:val="none"/>
          <w:lang w:eastAsia="zh-CN"/>
        </w:rPr>
        <w:t>，</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仿宋_GB2312"/>
          <w:b w:val="0"/>
          <w:bCs w:val="0"/>
          <w:sz w:val="32"/>
          <w:szCs w:val="32"/>
          <w:highlight w:val="none"/>
        </w:rPr>
        <w:t>主要从事电线电缆的生产和销售业务，</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仿宋_GB2312"/>
          <w:b w:val="0"/>
          <w:bCs w:val="0"/>
          <w:sz w:val="32"/>
          <w:szCs w:val="32"/>
          <w:highlight w:val="none"/>
        </w:rPr>
        <w:t>业务如前所述。2022年，杭州华新全球和中国境内营业额均为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仿宋_GB2312"/>
          <w:b w:val="0"/>
          <w:bCs w:val="0"/>
          <w:sz w:val="32"/>
          <w:szCs w:val="32"/>
          <w:highlight w:val="none"/>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jc w:val="both"/>
        <w:textAlignment w:val="auto"/>
        <w:rPr>
          <w:rFonts w:hint="eastAsia"/>
          <w:highlight w:val="none"/>
        </w:rPr>
      </w:pPr>
      <w:r>
        <w:rPr>
          <w:rFonts w:hint="eastAsia" w:eastAsia="仿宋_GB2312" w:cs="Times New Roman"/>
          <w:b w:val="0"/>
          <w:bCs w:val="0"/>
          <w:sz w:val="32"/>
          <w:szCs w:val="32"/>
          <w:highlight w:val="none"/>
          <w:lang w:eastAsia="zh-CN"/>
        </w:rPr>
        <w:t>股权出让方</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pacing w:val="0"/>
          <w:kern w:val="2"/>
          <w:sz w:val="32"/>
          <w:szCs w:val="32"/>
          <w:highlight w:val="none"/>
          <w:lang w:val="en-US" w:eastAsia="zh-CN"/>
        </w:rPr>
        <w:t>杭州富通集团有限公司（以下简称杭州富通）</w:t>
      </w:r>
      <w:r>
        <w:rPr>
          <w:rFonts w:hint="default" w:ascii="Times New Roman" w:hAnsi="Times New Roman" w:cs="Times New Roman"/>
          <w:b w:val="0"/>
          <w:bCs w:val="0"/>
          <w:spacing w:val="0"/>
          <w:kern w:val="2"/>
          <w:sz w:val="32"/>
          <w:szCs w:val="32"/>
          <w:highlight w:val="none"/>
          <w:lang w:val="en-US" w:eastAsia="zh-CN"/>
        </w:rPr>
        <w:t>。</w:t>
      </w:r>
      <w:r>
        <w:rPr>
          <w:rFonts w:hint="default" w:ascii="Times New Roman" w:hAnsi="Times New Roman" w:eastAsia="仿宋_GB2312" w:cs="Times New Roman"/>
          <w:b w:val="0"/>
          <w:bCs w:val="0"/>
          <w:spacing w:val="0"/>
          <w:kern w:val="2"/>
          <w:sz w:val="32"/>
          <w:szCs w:val="32"/>
          <w:highlight w:val="none"/>
          <w:lang w:val="en-US" w:eastAsia="zh-CN"/>
        </w:rPr>
        <w:t>2016年在浙江省注册成立，主要从事电线电缆的生产和销售业务</w:t>
      </w:r>
      <w:r>
        <w:rPr>
          <w:rFonts w:hint="default" w:ascii="Times New Roman" w:hAnsi="Times New Roman" w:cs="Times New Roman"/>
          <w:b w:val="0"/>
          <w:bCs w:val="0"/>
          <w:spacing w:val="0"/>
          <w:kern w:val="2"/>
          <w:sz w:val="32"/>
          <w:szCs w:val="32"/>
          <w:highlight w:val="none"/>
          <w:lang w:val="en-US" w:eastAsia="zh-CN"/>
        </w:rPr>
        <w:t>。</w:t>
      </w:r>
      <w:r>
        <w:rPr>
          <w:rFonts w:hint="default" w:ascii="Times New Roman" w:hAnsi="Times New Roman" w:eastAsia="仿宋_GB2312" w:cs="Times New Roman"/>
          <w:b w:val="0"/>
          <w:bCs w:val="0"/>
          <w:spacing w:val="0"/>
          <w:kern w:val="2"/>
          <w:sz w:val="32"/>
          <w:szCs w:val="32"/>
          <w:highlight w:val="none"/>
          <w:lang w:val="en-US" w:eastAsia="zh-CN"/>
        </w:rPr>
        <w:t>最终控制人为</w:t>
      </w:r>
      <w:r>
        <w:rPr>
          <w:rFonts w:hint="eastAsia" w:ascii="Times New Roman" w:hAnsi="Times New Roman" w:eastAsia="仿宋_GB2312" w:cs="Times New Roman"/>
          <w:bCs/>
          <w:color w:val="auto"/>
          <w:kern w:val="2"/>
          <w:sz w:val="32"/>
          <w:szCs w:val="32"/>
          <w:highlight w:val="none"/>
          <w:lang w:eastAsia="zh-CN"/>
        </w:rPr>
        <w:t>（略）</w:t>
      </w:r>
      <w:r>
        <w:rPr>
          <w:rFonts w:hint="default" w:ascii="Times New Roman" w:hAnsi="Times New Roman" w:eastAsia="仿宋_GB2312" w:cs="Times New Roman"/>
          <w:b w:val="0"/>
          <w:bCs w:val="0"/>
          <w:spacing w:val="0"/>
          <w:kern w:val="2"/>
          <w:sz w:val="32"/>
          <w:szCs w:val="32"/>
          <w:highlight w:val="none"/>
          <w:lang w:val="en-US" w:eastAsia="zh-CN"/>
        </w:rPr>
        <w:t>。</w:t>
      </w:r>
    </w:p>
    <w:p>
      <w:pPr>
        <w:pStyle w:val="12"/>
        <w:keepNext w:val="0"/>
        <w:keepLines w:val="0"/>
        <w:pageBreakBefore w:val="0"/>
        <w:widowControl w:val="0"/>
        <w:kinsoku/>
        <w:wordWrap/>
        <w:topLinePunct w:val="0"/>
        <w:bidi w:val="0"/>
        <w:adjustRightInd w:val="0"/>
        <w:snapToGrid w:val="0"/>
        <w:spacing w:line="594" w:lineRule="exact"/>
        <w:ind w:left="0" w:leftChars="0" w:firstLine="643"/>
        <w:jc w:val="both"/>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（二）交易</w:t>
      </w:r>
      <w:r>
        <w:rPr>
          <w:rFonts w:hint="eastAsia" w:ascii="Times New Roman" w:hAnsi="Times New Roman" w:eastAsia="楷体_GB2312" w:cs="Times New Roman"/>
          <w:b w:val="0"/>
          <w:bCs/>
          <w:color w:val="auto"/>
          <w:lang w:eastAsia="zh-CN"/>
        </w:rPr>
        <w:t>情况</w:t>
      </w:r>
      <w:r>
        <w:rPr>
          <w:rFonts w:hint="default" w:ascii="Times New Roman" w:hAnsi="Times New Roman" w:eastAsia="楷体_GB2312" w:cs="Times New Roman"/>
          <w:b w:val="0"/>
          <w:bCs/>
          <w:color w:val="auto"/>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2023年11月1日，华新中投通过</w:t>
      </w:r>
      <w:r>
        <w:rPr>
          <w:rFonts w:hint="eastAsia" w:eastAsia="仿宋_GB2312" w:cs="仿宋_GB2312"/>
          <w:sz w:val="32"/>
          <w:szCs w:val="32"/>
          <w:lang w:val="en-US" w:eastAsia="zh-CN"/>
        </w:rPr>
        <w:t>子公司</w:t>
      </w:r>
      <w:r>
        <w:rPr>
          <w:rFonts w:hint="default" w:ascii="Times New Roman" w:hAnsi="Times New Roman" w:eastAsia="仿宋_GB2312" w:cs="Times New Roman"/>
          <w:bCs/>
          <w:color w:val="auto"/>
          <w:sz w:val="32"/>
          <w:szCs w:val="32"/>
          <w:lang w:val="en-US" w:eastAsia="zh-CN"/>
        </w:rPr>
        <w:t>东莞华新电线电缆有限公司（以下简称东莞华新）</w:t>
      </w:r>
      <w:r>
        <w:rPr>
          <w:rFonts w:hint="eastAsia" w:ascii="Times New Roman" w:hAnsi="Times New Roman" w:eastAsia="仿宋_GB2312" w:cs="仿宋_GB2312"/>
          <w:sz w:val="32"/>
          <w:szCs w:val="32"/>
          <w:lang w:val="en-US" w:eastAsia="zh-CN"/>
        </w:rPr>
        <w:t>与杭州富通签订股权转让合同，约定东莞华新收购杭州华新60%股权。2023年12月4日，完成股权变更登记。</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eastAsia" w:ascii="Times New Roman" w:hAnsi="Times New Roman" w:eastAsia="黑体" w:cs="Times New Roman"/>
          <w:color w:val="auto"/>
          <w:kern w:val="2"/>
          <w:sz w:val="32"/>
          <w:szCs w:val="32"/>
          <w:lang w:eastAsia="zh-CN"/>
        </w:rPr>
      </w:pPr>
      <w:r>
        <w:rPr>
          <w:rFonts w:hint="eastAsia" w:ascii="Times New Roman" w:hAnsi="Times New Roman" w:eastAsia="黑体" w:cs="Times New Roman"/>
          <w:color w:val="auto"/>
          <w:kern w:val="2"/>
          <w:sz w:val="32"/>
          <w:szCs w:val="32"/>
          <w:lang w:eastAsia="zh-CN"/>
        </w:rPr>
        <w:t>三</w:t>
      </w:r>
      <w:r>
        <w:rPr>
          <w:rFonts w:hint="default" w:ascii="Times New Roman" w:hAnsi="Times New Roman" w:eastAsia="黑体" w:cs="Times New Roman"/>
          <w:color w:val="auto"/>
          <w:kern w:val="2"/>
          <w:sz w:val="32"/>
          <w:szCs w:val="32"/>
        </w:rPr>
        <w:t>、</w:t>
      </w:r>
      <w:r>
        <w:rPr>
          <w:rFonts w:hint="eastAsia" w:ascii="Times New Roman" w:hAnsi="Times New Roman" w:eastAsia="黑体" w:cs="Times New Roman"/>
          <w:color w:val="auto"/>
          <w:kern w:val="2"/>
          <w:sz w:val="32"/>
          <w:szCs w:val="32"/>
          <w:lang w:eastAsia="zh-CN"/>
        </w:rPr>
        <w:t>违法事实及相关证据</w:t>
      </w:r>
    </w:p>
    <w:p>
      <w:pPr>
        <w:keepNext w:val="0"/>
        <w:keepLines w:val="0"/>
        <w:pageBreakBefore w:val="0"/>
        <w:widowControl w:val="0"/>
        <w:kinsoku/>
        <w:wordWrap/>
        <w:topLinePunct w:val="0"/>
        <w:bidi w:val="0"/>
        <w:adjustRightInd w:val="0"/>
        <w:snapToGrid w:val="0"/>
        <w:spacing w:line="594" w:lineRule="exact"/>
        <w:ind w:left="0" w:firstLine="628" w:firstLineChars="200"/>
        <w:jc w:val="both"/>
        <w:textAlignment w:val="auto"/>
        <w:outlineLvl w:val="0"/>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（一）本案构成</w:t>
      </w:r>
      <w:r>
        <w:rPr>
          <w:rFonts w:hint="default" w:ascii="Times New Roman" w:hAnsi="Times New Roman" w:eastAsia="楷体_GB2312" w:cs="Times New Roman"/>
          <w:b w:val="0"/>
          <w:bCs w:val="0"/>
          <w:color w:val="auto"/>
          <w:sz w:val="32"/>
          <w:szCs w:val="32"/>
          <w:lang w:eastAsia="zh-CN"/>
        </w:rPr>
        <w:t>违法实施</w:t>
      </w:r>
      <w:r>
        <w:rPr>
          <w:rFonts w:hint="default" w:ascii="Times New Roman" w:hAnsi="Times New Roman" w:eastAsia="楷体_GB2312" w:cs="Times New Roman"/>
          <w:b w:val="0"/>
          <w:bCs w:val="0"/>
          <w:color w:val="auto"/>
          <w:sz w:val="32"/>
          <w:szCs w:val="32"/>
        </w:rPr>
        <w:t>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jc w:val="both"/>
        <w:textAlignment w:val="auto"/>
        <w:rPr>
          <w:rFonts w:hint="default" w:ascii="Times New Roman" w:hAnsi="Times New Roman" w:eastAsia="仿宋_GB2312" w:cs="Times New Roman"/>
          <w:color w:val="auto"/>
          <w:sz w:val="32"/>
          <w:szCs w:val="32"/>
        </w:rPr>
      </w:pPr>
      <w:r>
        <w:rPr>
          <w:rFonts w:hint="eastAsia" w:eastAsia="仿宋_GB2312" w:cs="Times New Roman"/>
          <w:bCs/>
          <w:color w:val="auto"/>
          <w:kern w:val="2"/>
          <w:sz w:val="32"/>
          <w:szCs w:val="32"/>
          <w:lang w:val="en-US" w:eastAsia="zh-CN" w:bidi="ar-SA"/>
        </w:rPr>
        <w:t>根据</w:t>
      </w:r>
      <w:r>
        <w:rPr>
          <w:rFonts w:hint="default" w:ascii="Times New Roman" w:hAnsi="Times New Roman" w:eastAsia="仿宋_GB2312" w:cs="Times New Roman"/>
          <w:bCs/>
          <w:color w:val="auto"/>
          <w:kern w:val="2"/>
          <w:sz w:val="32"/>
          <w:szCs w:val="32"/>
          <w:lang w:val="en-US" w:eastAsia="zh-CN" w:bidi="ar-SA"/>
        </w:rPr>
        <w:t>《反垄断法》第二十五条规定</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经营者集中是指下列情形：（一）经营者合并；（二）经营者通过取得股权或者资产的方式取得对其他经营者的控制权；（三）经营者通过合同等方式取得对其他经营者的控制权或者能够对其他经营者施加决定性影响”。经查，</w:t>
      </w:r>
      <w:r>
        <w:rPr>
          <w:rFonts w:hint="eastAsia" w:eastAsia="仿宋_GB2312" w:cs="Times New Roman"/>
          <w:bCs/>
          <w:color w:val="auto"/>
          <w:kern w:val="2"/>
          <w:sz w:val="32"/>
          <w:szCs w:val="32"/>
          <w:lang w:val="en-US" w:eastAsia="zh-CN" w:bidi="ar-SA"/>
        </w:rPr>
        <w:t>华新中投</w:t>
      </w:r>
      <w:r>
        <w:rPr>
          <w:rFonts w:hint="default" w:ascii="Times New Roman" w:hAnsi="Times New Roman" w:eastAsia="仿宋_GB2312" w:cs="Times New Roman"/>
          <w:bCs/>
          <w:color w:val="auto"/>
          <w:kern w:val="2"/>
          <w:sz w:val="32"/>
          <w:szCs w:val="32"/>
          <w:lang w:val="en-US" w:eastAsia="zh-CN" w:bidi="ar-SA"/>
        </w:rPr>
        <w:t>通过股权收购的方式取得</w:t>
      </w:r>
      <w:r>
        <w:rPr>
          <w:rFonts w:hint="eastAsia" w:eastAsia="仿宋_GB2312" w:cs="Times New Roman"/>
          <w:bCs/>
          <w:color w:val="auto"/>
          <w:kern w:val="2"/>
          <w:sz w:val="32"/>
          <w:szCs w:val="32"/>
          <w:lang w:val="en-US" w:eastAsia="zh-CN" w:bidi="ar-SA"/>
        </w:rPr>
        <w:t>杭州华新</w:t>
      </w:r>
      <w:r>
        <w:rPr>
          <w:rFonts w:hint="default" w:ascii="Times New Roman" w:hAnsi="Times New Roman" w:eastAsia="仿宋_GB2312" w:cs="Times New Roman"/>
          <w:bCs/>
          <w:color w:val="auto"/>
          <w:kern w:val="2"/>
          <w:sz w:val="32"/>
          <w:szCs w:val="32"/>
          <w:lang w:val="en-US" w:eastAsia="zh-CN" w:bidi="ar-SA"/>
        </w:rPr>
        <w:t>控制权，属于《反垄断法》第二十五条规定的经营者集中。</w:t>
      </w:r>
    </w:p>
    <w:p>
      <w:pPr>
        <w:pStyle w:val="3"/>
        <w:keepNext w:val="0"/>
        <w:keepLines w:val="0"/>
        <w:pageBreakBefore w:val="0"/>
        <w:widowControl w:val="0"/>
        <w:kinsoku/>
        <w:wordWrap/>
        <w:overflowPunct/>
        <w:topLinePunct w:val="0"/>
        <w:autoSpaceDE/>
        <w:autoSpaceDN/>
        <w:bidi w:val="0"/>
        <w:adjustRightInd w:val="0"/>
        <w:snapToGrid w:val="0"/>
        <w:spacing w:after="0" w:line="594" w:lineRule="exact"/>
        <w:ind w:left="0" w:leftChars="0" w:firstLine="628" w:firstLineChars="200"/>
        <w:jc w:val="both"/>
        <w:textAlignment w:val="auto"/>
        <w:outlineLvl w:val="9"/>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sz w:val="32"/>
          <w:szCs w:val="32"/>
          <w:lang w:val="en-US" w:eastAsia="zh-CN"/>
        </w:rPr>
        <w:t>2022年，华新中投（含关联方）全</w:t>
      </w:r>
      <w:r>
        <w:rPr>
          <w:rFonts w:hint="eastAsia" w:ascii="Times New Roman" w:hAnsi="Times New Roman" w:eastAsia="仿宋_GB2312" w:cs="Times New Roman"/>
          <w:bCs/>
          <w:sz w:val="32"/>
          <w:szCs w:val="32"/>
          <w:highlight w:val="none"/>
          <w:lang w:val="en-US" w:eastAsia="zh-CN"/>
        </w:rPr>
        <w:t>球营业额为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Times New Roman"/>
          <w:bCs/>
          <w:sz w:val="32"/>
          <w:szCs w:val="32"/>
          <w:highlight w:val="none"/>
          <w:lang w:val="en-US" w:eastAsia="zh-CN"/>
        </w:rPr>
        <w:t>，中国境内营业额为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Times New Roman"/>
          <w:bCs/>
          <w:sz w:val="32"/>
          <w:szCs w:val="32"/>
          <w:highlight w:val="none"/>
          <w:lang w:val="en-US" w:eastAsia="zh-CN"/>
        </w:rPr>
        <w:t>；杭州华新全球和中国境内营业额均为</w:t>
      </w:r>
      <w:r>
        <w:rPr>
          <w:rFonts w:hint="eastAsia" w:ascii="Times New Roman" w:hAnsi="Times New Roman" w:eastAsia="仿宋_GB2312" w:cs="Times New Roman"/>
          <w:bCs/>
          <w:color w:val="auto"/>
          <w:kern w:val="2"/>
          <w:sz w:val="32"/>
          <w:szCs w:val="32"/>
          <w:highlight w:val="none"/>
          <w:lang w:eastAsia="zh-CN"/>
        </w:rPr>
        <w:t>（略）</w:t>
      </w:r>
      <w:r>
        <w:rPr>
          <w:rFonts w:hint="eastAsia" w:ascii="Times New Roman" w:hAnsi="Times New Roman" w:eastAsia="仿宋_GB2312" w:cs="Times New Roman"/>
          <w:bCs/>
          <w:sz w:val="32"/>
          <w:szCs w:val="32"/>
          <w:highlight w:val="none"/>
          <w:lang w:val="en-US" w:eastAsia="zh-CN"/>
        </w:rPr>
        <w:t>，达到《国务院关于经营者集中申报标准的规定》</w:t>
      </w:r>
      <w:r>
        <w:rPr>
          <w:rFonts w:hint="eastAsia" w:ascii="Times New Roman" w:hAnsi="Times New Roman" w:eastAsia="仿宋_GB2312" w:cs="Times New Roman"/>
          <w:bCs/>
          <w:sz w:val="32"/>
          <w:szCs w:val="32"/>
          <w:highlight w:val="none"/>
          <w:lang w:eastAsia="zh-CN"/>
        </w:rPr>
        <w:t>第三条</w:t>
      </w:r>
      <w:r>
        <w:rPr>
          <w:rFonts w:hint="eastAsia" w:ascii="Times New Roman" w:hAnsi="Times New Roman" w:eastAsia="仿宋_GB2312" w:cs="Times New Roman"/>
          <w:bCs/>
          <w:sz w:val="32"/>
          <w:szCs w:val="32"/>
          <w:lang w:val="en-US" w:eastAsia="zh-CN"/>
        </w:rPr>
        <w:t>规定的申报标准，属于应当申报的情形。</w:t>
      </w:r>
    </w:p>
    <w:p>
      <w:pPr>
        <w:pageBreakBefore w:val="0"/>
        <w:suppressAutoHyphens/>
        <w:kinsoku/>
        <w:wordWrap/>
        <w:overflowPunct w:val="0"/>
        <w:topLinePunct w:val="0"/>
        <w:autoSpaceDE w:val="0"/>
        <w:autoSpaceDN w:val="0"/>
        <w:bidi w:val="0"/>
        <w:adjustRightInd w:val="0"/>
        <w:snapToGrid w:val="0"/>
        <w:spacing w:line="594" w:lineRule="exact"/>
        <w:ind w:firstLine="628"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color w:val="auto"/>
          <w:sz w:val="32"/>
          <w:szCs w:val="32"/>
        </w:rPr>
        <w:t>根据《反垄断法》第</w:t>
      </w:r>
      <w:r>
        <w:rPr>
          <w:rFonts w:hint="eastAsia" w:ascii="Times New Roman" w:hAnsi="Times New Roman" w:eastAsia="仿宋_GB2312" w:cs="Times New Roman"/>
          <w:bCs/>
          <w:color w:val="auto"/>
          <w:sz w:val="32"/>
          <w:szCs w:val="32"/>
          <w:lang w:eastAsia="zh-CN"/>
        </w:rPr>
        <w:t>二十六</w:t>
      </w:r>
      <w:r>
        <w:rPr>
          <w:rFonts w:hint="default" w:ascii="Times New Roman" w:hAnsi="Times New Roman" w:eastAsia="仿宋_GB2312" w:cs="Times New Roman"/>
          <w:bCs/>
          <w:color w:val="auto"/>
          <w:sz w:val="32"/>
          <w:szCs w:val="32"/>
          <w:lang w:val="en-US" w:eastAsia="zh-CN"/>
        </w:rPr>
        <w:t>条规定</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经营者集中达到国务院规定的申报标准的，经营者应当事先向国务院反垄断执法机构申报，未申报</w:t>
      </w:r>
      <w:r>
        <w:rPr>
          <w:rFonts w:hint="eastAsia" w:eastAsia="仿宋_GB2312" w:cs="Times New Roman"/>
          <w:bCs/>
          <w:color w:val="auto"/>
          <w:sz w:val="32"/>
          <w:szCs w:val="32"/>
          <w:lang w:val="en-US" w:eastAsia="zh-CN"/>
        </w:rPr>
        <w:t>的</w:t>
      </w:r>
      <w:r>
        <w:rPr>
          <w:rFonts w:hint="eastAsia" w:ascii="Times New Roman" w:hAnsi="Times New Roman" w:eastAsia="仿宋_GB2312" w:cs="Times New Roman"/>
          <w:bCs/>
          <w:color w:val="auto"/>
          <w:sz w:val="32"/>
          <w:szCs w:val="32"/>
          <w:lang w:val="en-US" w:eastAsia="zh-CN"/>
        </w:rPr>
        <w:t>不得实施集中</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上述</w:t>
      </w:r>
      <w:r>
        <w:rPr>
          <w:rFonts w:hint="default" w:ascii="Times New Roman" w:hAnsi="Times New Roman" w:eastAsia="仿宋_GB2312" w:cs="Times New Roman"/>
          <w:sz w:val="32"/>
          <w:szCs w:val="32"/>
          <w:highlight w:val="none"/>
        </w:rPr>
        <w:t>交易</w:t>
      </w:r>
      <w:r>
        <w:rPr>
          <w:rFonts w:hint="default" w:ascii="Times New Roman" w:hAnsi="Times New Roman" w:eastAsia="仿宋_GB2312" w:cs="Times New Roman"/>
          <w:bCs/>
          <w:color w:val="auto"/>
          <w:sz w:val="32"/>
          <w:szCs w:val="32"/>
          <w:lang w:val="en-US" w:eastAsia="zh-CN"/>
        </w:rPr>
        <w:t>完成</w:t>
      </w:r>
      <w:r>
        <w:rPr>
          <w:rFonts w:hint="eastAsia" w:ascii="Times New Roman" w:hAnsi="Times New Roman" w:eastAsia="仿宋_GB2312" w:cs="Times New Roman"/>
          <w:bCs/>
          <w:color w:val="auto"/>
          <w:sz w:val="32"/>
          <w:szCs w:val="32"/>
          <w:lang w:val="en-US" w:eastAsia="zh-CN"/>
        </w:rPr>
        <w:t>注册</w:t>
      </w:r>
      <w:r>
        <w:rPr>
          <w:rFonts w:hint="default" w:ascii="Times New Roman" w:hAnsi="Times New Roman" w:eastAsia="仿宋_GB2312" w:cs="Times New Roman"/>
          <w:bCs/>
          <w:color w:val="auto"/>
          <w:sz w:val="32"/>
          <w:szCs w:val="32"/>
          <w:lang w:val="en-US" w:eastAsia="zh-CN"/>
        </w:rPr>
        <w:t>登记，此前未向</w:t>
      </w:r>
      <w:r>
        <w:rPr>
          <w:rFonts w:hint="eastAsia" w:ascii="Times New Roman" w:hAnsi="Times New Roman" w:eastAsia="仿宋_GB2312" w:cs="Times New Roman"/>
          <w:bCs/>
          <w:color w:val="auto"/>
          <w:sz w:val="32"/>
          <w:szCs w:val="32"/>
          <w:lang w:val="en-US" w:eastAsia="zh-CN"/>
        </w:rPr>
        <w:t>本机关</w:t>
      </w:r>
      <w:r>
        <w:rPr>
          <w:rFonts w:hint="default" w:ascii="Times New Roman" w:hAnsi="Times New Roman" w:eastAsia="仿宋_GB2312" w:cs="Times New Roman"/>
          <w:bCs/>
          <w:color w:val="auto"/>
          <w:sz w:val="32"/>
          <w:szCs w:val="32"/>
          <w:lang w:val="en-US" w:eastAsia="zh-CN"/>
        </w:rPr>
        <w:t>申报，违反《反垄断法》第</w:t>
      </w:r>
      <w:r>
        <w:rPr>
          <w:rFonts w:hint="eastAsia" w:ascii="Times New Roman" w:hAnsi="Times New Roman" w:eastAsia="仿宋_GB2312" w:cs="Times New Roman"/>
          <w:bCs/>
          <w:color w:val="auto"/>
          <w:sz w:val="32"/>
          <w:szCs w:val="32"/>
          <w:lang w:val="en-US" w:eastAsia="zh-CN"/>
        </w:rPr>
        <w:t>二十六</w:t>
      </w:r>
      <w:r>
        <w:rPr>
          <w:rFonts w:hint="default" w:ascii="Times New Roman" w:hAnsi="Times New Roman" w:eastAsia="仿宋_GB2312" w:cs="Times New Roman"/>
          <w:bCs/>
          <w:color w:val="auto"/>
          <w:sz w:val="32"/>
          <w:szCs w:val="32"/>
          <w:lang w:val="en-US" w:eastAsia="zh-CN"/>
        </w:rPr>
        <w:t>条，构成违法实施经营者集中。</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（二）本案不具有排除、限制竞争的效果。</w:t>
      </w:r>
    </w:p>
    <w:p>
      <w:pPr>
        <w:keepNext w:val="0"/>
        <w:keepLines w:val="0"/>
        <w:pageBreakBefore w:val="0"/>
        <w:widowControl w:val="0"/>
        <w:kinsoku/>
        <w:wordWrap/>
        <w:topLinePunct w:val="0"/>
        <w:bidi w:val="0"/>
        <w:adjustRightInd w:val="0"/>
        <w:snapToGrid w:val="0"/>
        <w:spacing w:line="594" w:lineRule="exact"/>
        <w:ind w:firstLine="628" w:firstLineChars="200"/>
        <w:textAlignment w:val="auto"/>
        <w:outlineLvl w:val="0"/>
        <w:rPr>
          <w:rStyle w:val="11"/>
          <w:rFonts w:hint="default" w:ascii="Times New Roman" w:hAnsi="Times New Roman" w:eastAsia="仿宋_GB2312" w:cs="Times New Roman"/>
          <w:color w:val="auto"/>
          <w:sz w:val="32"/>
          <w:szCs w:val="22"/>
          <w:u w:val="none"/>
          <w:lang w:eastAsia="zh-CN"/>
        </w:rPr>
      </w:pPr>
      <w:r>
        <w:rPr>
          <w:rStyle w:val="11"/>
          <w:rFonts w:hint="default" w:ascii="Times New Roman" w:hAnsi="Times New Roman" w:eastAsia="仿宋_GB2312" w:cs="Times New Roman"/>
          <w:color w:val="auto"/>
          <w:sz w:val="32"/>
          <w:szCs w:val="22"/>
          <w:u w:val="none"/>
          <w:lang w:eastAsia="zh-CN"/>
        </w:rPr>
        <w:t>本机关就</w:t>
      </w:r>
      <w:r>
        <w:rPr>
          <w:rStyle w:val="11"/>
          <w:rFonts w:hint="eastAsia" w:eastAsia="仿宋_GB2312" w:cs="Times New Roman"/>
          <w:color w:val="auto"/>
          <w:sz w:val="32"/>
          <w:szCs w:val="22"/>
          <w:u w:val="none"/>
          <w:lang w:eastAsia="zh-CN"/>
        </w:rPr>
        <w:t>华新中投</w:t>
      </w:r>
      <w:r>
        <w:rPr>
          <w:rStyle w:val="11"/>
          <w:rFonts w:hint="default" w:ascii="Times New Roman" w:hAnsi="Times New Roman" w:eastAsia="仿宋_GB2312" w:cs="Times New Roman"/>
          <w:color w:val="auto"/>
          <w:sz w:val="32"/>
          <w:szCs w:val="22"/>
          <w:u w:val="none"/>
          <w:lang w:val="en-US" w:eastAsia="zh-CN"/>
        </w:rPr>
        <w:t>收购</w:t>
      </w:r>
      <w:r>
        <w:rPr>
          <w:rStyle w:val="11"/>
          <w:rFonts w:hint="eastAsia" w:ascii="Times New Roman" w:hAnsi="Times New Roman" w:eastAsia="仿宋_GB2312" w:cs="Times New Roman"/>
          <w:color w:val="auto"/>
          <w:sz w:val="32"/>
          <w:szCs w:val="22"/>
          <w:u w:val="none"/>
          <w:lang w:val="en-US" w:eastAsia="zh-CN"/>
        </w:rPr>
        <w:t>杭州华新</w:t>
      </w:r>
      <w:r>
        <w:rPr>
          <w:rStyle w:val="11"/>
          <w:rFonts w:hint="default" w:ascii="Times New Roman" w:hAnsi="Times New Roman" w:eastAsia="仿宋_GB2312" w:cs="Times New Roman"/>
          <w:color w:val="auto"/>
          <w:sz w:val="32"/>
          <w:szCs w:val="22"/>
          <w:u w:val="none"/>
          <w:lang w:val="en-US" w:eastAsia="zh-CN"/>
        </w:rPr>
        <w:t>股权</w:t>
      </w:r>
      <w:r>
        <w:rPr>
          <w:rStyle w:val="11"/>
          <w:rFonts w:hint="default" w:ascii="Times New Roman" w:hAnsi="Times New Roman" w:eastAsia="仿宋_GB2312" w:cs="Times New Roman"/>
          <w:color w:val="auto"/>
          <w:sz w:val="32"/>
          <w:szCs w:val="22"/>
          <w:u w:val="none"/>
          <w:lang w:eastAsia="zh-CN"/>
        </w:rPr>
        <w:t>对市场竞争的影响进行了评估，评估认为，该项经营者集中不会产生排除、限制竞争效果。</w:t>
      </w:r>
    </w:p>
    <w:p>
      <w:pPr>
        <w:keepNext w:val="0"/>
        <w:keepLines w:val="0"/>
        <w:pageBreakBefore w:val="0"/>
        <w:widowControl w:val="0"/>
        <w:kinsoku/>
        <w:wordWrap/>
        <w:topLinePunct w:val="0"/>
        <w:bidi w:val="0"/>
        <w:adjustRightInd w:val="0"/>
        <w:snapToGrid w:val="0"/>
        <w:spacing w:line="594" w:lineRule="exact"/>
        <w:ind w:firstLine="628" w:firstLineChars="200"/>
        <w:textAlignment w:val="auto"/>
        <w:outlineLvl w:val="0"/>
        <w:rPr>
          <w:rStyle w:val="11"/>
          <w:rFonts w:hint="default" w:eastAsia="仿宋_GB2312" w:cs="Times New Roman"/>
          <w:color w:val="auto"/>
          <w:sz w:val="32"/>
          <w:szCs w:val="22"/>
          <w:u w:val="none"/>
          <w:lang w:val="en-US" w:eastAsia="zh-CN"/>
        </w:rPr>
      </w:pPr>
      <w:r>
        <w:rPr>
          <w:rStyle w:val="11"/>
          <w:rFonts w:hint="default" w:ascii="Times New Roman" w:hAnsi="Times New Roman" w:eastAsia="仿宋_GB2312" w:cs="Times New Roman"/>
          <w:color w:val="auto"/>
          <w:sz w:val="32"/>
          <w:szCs w:val="22"/>
          <w:u w:val="none"/>
          <w:lang w:eastAsia="zh-CN"/>
        </w:rPr>
        <w:t>上述事实，有华新中投提交的情况汇报、杭州华新审计报告、杭州华新变更登记情况、股权转让协议、杭州华新公司章程、营业执照、相关市场界定及竞争数据分析材料等证据证明。</w:t>
      </w:r>
    </w:p>
    <w:p>
      <w:pPr>
        <w:keepNext w:val="0"/>
        <w:keepLines w:val="0"/>
        <w:pageBreakBefore w:val="0"/>
        <w:widowControl w:val="0"/>
        <w:numPr>
          <w:ilvl w:val="0"/>
          <w:numId w:val="0"/>
        </w:numPr>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default" w:ascii="Times New Roman" w:hAnsi="Times New Roman" w:eastAsia="黑体" w:cs="Times New Roman"/>
          <w:color w:val="auto"/>
          <w:kern w:val="2"/>
          <w:sz w:val="32"/>
          <w:szCs w:val="32"/>
        </w:rPr>
      </w:pPr>
      <w:r>
        <w:rPr>
          <w:rFonts w:hint="eastAsia" w:eastAsia="黑体" w:cs="Times New Roman"/>
          <w:color w:val="auto"/>
          <w:kern w:val="2"/>
          <w:sz w:val="32"/>
          <w:szCs w:val="32"/>
          <w:lang w:eastAsia="zh-CN"/>
        </w:rPr>
        <w:t>四、</w:t>
      </w:r>
      <w:r>
        <w:rPr>
          <w:rFonts w:hint="default" w:ascii="Times New Roman" w:hAnsi="Times New Roman" w:eastAsia="黑体" w:cs="Times New Roman"/>
          <w:color w:val="auto"/>
          <w:kern w:val="2"/>
          <w:sz w:val="32"/>
          <w:szCs w:val="32"/>
        </w:rPr>
        <w:t>行政处罚依据和决定</w:t>
      </w:r>
    </w:p>
    <w:p>
      <w:pPr>
        <w:keepNext w:val="0"/>
        <w:keepLines w:val="0"/>
        <w:pageBreakBefore w:val="0"/>
        <w:widowControl w:val="0"/>
        <w:kinsoku/>
        <w:wordWrap/>
        <w:topLinePunct w:val="0"/>
        <w:bidi w:val="0"/>
        <w:adjustRightInd w:val="0"/>
        <w:snapToGrid w:val="0"/>
        <w:spacing w:line="594" w:lineRule="exact"/>
        <w:ind w:firstLine="628" w:firstLineChars="200"/>
        <w:textAlignment w:val="auto"/>
        <w:outlineLvl w:val="0"/>
        <w:rPr>
          <w:rStyle w:val="11"/>
          <w:rFonts w:hint="eastAsia" w:eastAsia="仿宋_GB2312" w:cs="Times New Roman"/>
          <w:color w:val="auto"/>
          <w:sz w:val="32"/>
          <w:szCs w:val="22"/>
          <w:u w:val="none"/>
          <w:lang w:val="en-US" w:eastAsia="zh-CN"/>
        </w:rPr>
      </w:pPr>
      <w:r>
        <w:rPr>
          <w:rStyle w:val="11"/>
          <w:rFonts w:hint="eastAsia" w:eastAsia="仿宋_GB2312" w:cs="Times New Roman"/>
          <w:color w:val="auto"/>
          <w:sz w:val="32"/>
          <w:szCs w:val="22"/>
          <w:u w:val="none"/>
          <w:lang w:val="en-US" w:eastAsia="zh-CN"/>
        </w:rPr>
        <w:t>本机关认为，华新中投负有依法申报经营者集中的法律义务，未依法事先申报实施经营者集中，违反《反垄断法》第二十六条规定，构成违法实施经营者集中。依据《反垄断法》第三十三条，评估认为本项集中不具有排除、限制竞争的效果。</w:t>
      </w:r>
    </w:p>
    <w:p>
      <w:pPr>
        <w:keepNext w:val="0"/>
        <w:keepLines w:val="0"/>
        <w:pageBreakBefore w:val="0"/>
        <w:widowControl w:val="0"/>
        <w:kinsoku/>
        <w:wordWrap/>
        <w:topLinePunct w:val="0"/>
        <w:bidi w:val="0"/>
        <w:adjustRightInd w:val="0"/>
        <w:snapToGrid w:val="0"/>
        <w:spacing w:line="594" w:lineRule="exact"/>
        <w:ind w:firstLine="628" w:firstLineChars="200"/>
        <w:textAlignment w:val="auto"/>
        <w:outlineLvl w:val="0"/>
        <w:rPr>
          <w:rStyle w:val="11"/>
          <w:rFonts w:hint="eastAsia"/>
          <w:szCs w:val="22"/>
        </w:rPr>
      </w:pPr>
      <w:r>
        <w:rPr>
          <w:rFonts w:hint="default" w:ascii="Times New Roman" w:hAnsi="Times New Roman" w:eastAsia="仿宋_GB2312" w:cs="Times New Roman"/>
          <w:bCs/>
          <w:color w:val="000000"/>
          <w:kern w:val="2"/>
          <w:sz w:val="32"/>
          <w:szCs w:val="32"/>
          <w:lang w:eastAsia="zh-CN"/>
        </w:rPr>
        <w:t>依据</w:t>
      </w:r>
      <w:r>
        <w:rPr>
          <w:rFonts w:hint="default" w:ascii="Times New Roman" w:hAnsi="Times New Roman" w:eastAsia="仿宋_GB2312" w:cs="Times New Roman"/>
          <w:bCs/>
          <w:color w:val="000000"/>
          <w:kern w:val="2"/>
          <w:sz w:val="32"/>
          <w:szCs w:val="32"/>
        </w:rPr>
        <w:t>《反垄断法》</w:t>
      </w:r>
      <w:r>
        <w:rPr>
          <w:rFonts w:hint="default" w:ascii="Times New Roman" w:hAnsi="Times New Roman" w:eastAsia="仿宋_GB2312" w:cs="Times New Roman"/>
          <w:bCs/>
          <w:color w:val="000000"/>
          <w:kern w:val="2"/>
          <w:sz w:val="32"/>
          <w:szCs w:val="32"/>
          <w:lang w:eastAsia="zh-CN"/>
        </w:rPr>
        <w:t>第五十八条、第五十九条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《违法实施经营者集中行政处罚裁量权基准（试行）》</w:t>
      </w:r>
      <w:r>
        <w:rPr>
          <w:rFonts w:hint="eastAsia" w:ascii="仿宋_GB2312" w:hAnsi="仿宋_GB2312" w:eastAsia="仿宋_GB2312" w:cs="仿宋_GB2312"/>
          <w:sz w:val="32"/>
          <w:szCs w:val="32"/>
          <w:lang w:eastAsia="zh-CN"/>
        </w:rPr>
        <w:t>第七条、第九条等</w:t>
      </w:r>
      <w:r>
        <w:rPr>
          <w:rFonts w:hint="eastAsia" w:ascii="仿宋_GB2312" w:hAnsi="仿宋_GB2312" w:eastAsia="仿宋_GB2312" w:cs="仿宋_GB2312"/>
          <w:sz w:val="32"/>
          <w:szCs w:val="32"/>
        </w:rPr>
        <w:t>规定</w:t>
      </w:r>
      <w:r>
        <w:rPr>
          <w:rFonts w:hint="default" w:ascii="Times New Roman" w:hAnsi="Times New Roman" w:eastAsia="仿宋_GB2312" w:cs="Times New Roman"/>
          <w:bCs/>
          <w:color w:val="000000"/>
          <w:kern w:val="2"/>
          <w:sz w:val="32"/>
          <w:szCs w:val="32"/>
          <w:lang w:eastAsia="zh-CN"/>
        </w:rPr>
        <w:t>，综合考虑当事人违法行为的性质、程度、持续时间和消除违法行为后果的情况</w:t>
      </w:r>
      <w:r>
        <w:rPr>
          <w:rFonts w:hint="eastAsia" w:eastAsia="仿宋_GB2312" w:cs="Times New Roman"/>
          <w:bCs/>
          <w:color w:val="000000"/>
          <w:kern w:val="2"/>
          <w:sz w:val="32"/>
          <w:szCs w:val="32"/>
          <w:lang w:eastAsia="zh-CN"/>
        </w:rPr>
        <w:t>等。华新中投积极配合调查，如实陈述违法事实并及时提供重要证据材料，建立或者完善反垄断合规管理制度并有效实施，且华新中投及其关联方此前未因违法实施经营者集中受到过行政处罚，</w:t>
      </w:r>
      <w:r>
        <w:rPr>
          <w:rStyle w:val="11"/>
          <w:rFonts w:hint="eastAsia" w:eastAsia="仿宋_GB2312" w:cs="Times New Roman"/>
          <w:color w:val="auto"/>
          <w:sz w:val="32"/>
          <w:szCs w:val="22"/>
          <w:u w:val="none"/>
          <w:lang w:val="en-US" w:eastAsia="zh-CN"/>
        </w:rPr>
        <w:t>决定</w:t>
      </w:r>
      <w:r>
        <w:rPr>
          <w:rFonts w:hint="default" w:ascii="Times New Roman" w:hAnsi="Times New Roman" w:eastAsia="仿宋_GB2312" w:cs="Times New Roman"/>
          <w:b w:val="0"/>
          <w:bCs/>
          <w:i w:val="0"/>
          <w:iCs w:val="0"/>
          <w:color w:val="auto"/>
          <w:kern w:val="2"/>
          <w:sz w:val="32"/>
          <w:szCs w:val="32"/>
          <w:lang w:eastAsia="zh-CN"/>
        </w:rPr>
        <w:t>对</w:t>
      </w:r>
      <w:r>
        <w:rPr>
          <w:rFonts w:hint="eastAsia" w:eastAsia="仿宋_GB2312" w:cs="Times New Roman"/>
          <w:b w:val="0"/>
          <w:bCs/>
          <w:i w:val="0"/>
          <w:iCs w:val="0"/>
          <w:color w:val="auto"/>
          <w:kern w:val="2"/>
          <w:sz w:val="32"/>
          <w:szCs w:val="32"/>
          <w:lang w:eastAsia="zh-CN"/>
        </w:rPr>
        <w:t>华新中投</w:t>
      </w:r>
      <w:r>
        <w:rPr>
          <w:rFonts w:hint="default" w:ascii="Times New Roman" w:hAnsi="Times New Roman" w:eastAsia="仿宋_GB2312" w:cs="Times New Roman"/>
          <w:b w:val="0"/>
          <w:bCs/>
          <w:i w:val="0"/>
          <w:iCs w:val="0"/>
          <w:color w:val="auto"/>
          <w:sz w:val="32"/>
          <w:szCs w:val="32"/>
          <w:lang w:eastAsia="zh-CN"/>
        </w:rPr>
        <w:t>处以</w:t>
      </w:r>
      <w:r>
        <w:rPr>
          <w:rFonts w:hint="eastAsia" w:eastAsia="仿宋_GB2312" w:cs="Times New Roman"/>
          <w:b w:val="0"/>
          <w:bCs/>
          <w:i w:val="0"/>
          <w:iCs w:val="0"/>
          <w:color w:val="auto"/>
          <w:sz w:val="32"/>
          <w:szCs w:val="32"/>
          <w:lang w:val="en-US" w:eastAsia="zh-CN"/>
        </w:rPr>
        <w:t>175</w:t>
      </w:r>
      <w:r>
        <w:rPr>
          <w:rFonts w:hint="default" w:ascii="Times New Roman" w:hAnsi="Times New Roman" w:eastAsia="仿宋_GB2312" w:cs="Times New Roman"/>
          <w:b w:val="0"/>
          <w:bCs/>
          <w:i w:val="0"/>
          <w:iCs w:val="0"/>
          <w:color w:val="auto"/>
          <w:sz w:val="32"/>
          <w:szCs w:val="32"/>
          <w:lang w:val="en-US" w:eastAsia="zh-CN"/>
        </w:rPr>
        <w:t>万</w:t>
      </w:r>
      <w:r>
        <w:rPr>
          <w:rFonts w:hint="eastAsia" w:ascii="Times New Roman" w:hAnsi="Times New Roman" w:eastAsia="仿宋_GB2312" w:cs="Times New Roman"/>
          <w:b w:val="0"/>
          <w:bCs/>
          <w:i w:val="0"/>
          <w:iCs w:val="0"/>
          <w:color w:val="auto"/>
          <w:sz w:val="32"/>
          <w:szCs w:val="32"/>
          <w:lang w:val="en-US" w:eastAsia="zh-CN"/>
        </w:rPr>
        <w:t>元</w:t>
      </w:r>
      <w:r>
        <w:rPr>
          <w:rFonts w:hint="default" w:ascii="Times New Roman" w:hAnsi="Times New Roman" w:eastAsia="仿宋_GB2312" w:cs="Times New Roman"/>
          <w:b w:val="0"/>
          <w:bCs/>
          <w:i w:val="0"/>
          <w:iCs w:val="0"/>
          <w:color w:val="auto"/>
          <w:sz w:val="32"/>
          <w:szCs w:val="32"/>
          <w:lang w:val="en-US" w:eastAsia="zh-CN"/>
        </w:rPr>
        <w:t>罚款</w:t>
      </w:r>
      <w:r>
        <w:rPr>
          <w:rFonts w:hint="default" w:ascii="Times New Roman" w:hAnsi="Times New Roman" w:eastAsia="仿宋_GB2312" w:cs="Times New Roman"/>
          <w:b w:val="0"/>
          <w:bCs/>
          <w:i w:val="0"/>
          <w:iCs w:val="0"/>
          <w:color w:val="auto"/>
          <w:sz w:val="32"/>
          <w:szCs w:val="32"/>
          <w:lang w:eastAsia="zh-CN"/>
        </w:rPr>
        <w:t>的行政处罚</w:t>
      </w:r>
      <w:r>
        <w:rPr>
          <w:rStyle w:val="11"/>
          <w:rFonts w:hint="eastAsia" w:eastAsia="仿宋_GB2312"/>
          <w:color w:val="auto"/>
          <w:sz w:val="32"/>
          <w:szCs w:val="22"/>
          <w:u w:val="none"/>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当事人应当自收到本行政处罚决定书之日起十五日内，携缴款码到15家中央财政非税收入收缴代理银行（工、农、中、建、交、中信、光大、招商、邮储、华夏、平安、兴业、民生、广发、浙商）任一银行网点、网上银行缴纳罚款。缴款码：</w:t>
      </w:r>
      <w:r>
        <w:rPr>
          <w:rFonts w:hint="eastAsia" w:eastAsia="仿宋_GB2312" w:cs="Times New Roman"/>
          <w:bCs/>
          <w:color w:val="auto"/>
          <w:kern w:val="2"/>
          <w:sz w:val="32"/>
          <w:szCs w:val="32"/>
          <w:highlight w:val="none"/>
          <w:lang w:val="en-US" w:eastAsia="zh-CN" w:bidi="ar-SA"/>
        </w:rPr>
        <w:t>（略）</w:t>
      </w:r>
      <w:r>
        <w:rPr>
          <w:rFonts w:hint="default" w:ascii="Times New Roman" w:hAnsi="Times New Roman" w:eastAsia="仿宋_GB2312" w:cs="Times New Roman"/>
          <w:bCs/>
          <w:color w:val="auto"/>
          <w:kern w:val="2"/>
          <w:sz w:val="32"/>
          <w:szCs w:val="32"/>
          <w:lang w:val="en-US" w:eastAsia="zh-CN" w:bidi="ar-SA"/>
        </w:rPr>
        <w:t>。到期不缴纳罚款的，依据《行政处罚法》第七十二条的规定，本</w:t>
      </w:r>
      <w:r>
        <w:rPr>
          <w:rFonts w:hint="eastAsia" w:eastAsia="仿宋_GB2312" w:cs="Times New Roman"/>
          <w:bCs/>
          <w:color w:val="auto"/>
          <w:kern w:val="2"/>
          <w:sz w:val="32"/>
          <w:szCs w:val="32"/>
          <w:lang w:val="en-US" w:eastAsia="zh-CN" w:bidi="ar-SA"/>
        </w:rPr>
        <w:t>机关</w:t>
      </w:r>
      <w:r>
        <w:rPr>
          <w:rFonts w:hint="default" w:ascii="Times New Roman" w:hAnsi="Times New Roman" w:eastAsia="仿宋_GB2312" w:cs="Times New Roman"/>
          <w:bCs/>
          <w:color w:val="auto"/>
          <w:kern w:val="2"/>
          <w:sz w:val="32"/>
          <w:szCs w:val="32"/>
          <w:lang w:val="en-US" w:eastAsia="zh-CN" w:bidi="ar-SA"/>
        </w:rPr>
        <w:t>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628"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当事人如对上述行政处罚决定不服，可以自收到本行政处罚决定书之日起六十日内，向国家市场监督管理总局申请行政复议；或者自收到本行政处罚决定书之日起六个月内，依法向</w:t>
      </w:r>
      <w:r>
        <w:rPr>
          <w:rFonts w:hint="eastAsia" w:eastAsia="仿宋_GB2312" w:cs="Times New Roman"/>
          <w:bCs/>
          <w:color w:val="auto"/>
          <w:kern w:val="2"/>
          <w:sz w:val="32"/>
          <w:szCs w:val="32"/>
          <w:lang w:val="en-US" w:eastAsia="zh-CN" w:bidi="ar-SA"/>
        </w:rPr>
        <w:t>北京知识产权</w:t>
      </w:r>
      <w:r>
        <w:rPr>
          <w:rFonts w:hint="default" w:ascii="Times New Roman" w:hAnsi="Times New Roman" w:eastAsia="仿宋_GB2312" w:cs="Times New Roman"/>
          <w:bCs/>
          <w:color w:val="auto"/>
          <w:kern w:val="2"/>
          <w:sz w:val="32"/>
          <w:szCs w:val="32"/>
          <w:lang w:val="en-US" w:eastAsia="zh-CN" w:bidi="ar-SA"/>
        </w:rPr>
        <w:t>法院提起行政诉讼。行政复议或者行政诉讼期间，本行政处罚决定不停止执行。</w:t>
      </w:r>
    </w:p>
    <w:p>
      <w:pPr>
        <w:pStyle w:val="5"/>
        <w:keepNext w:val="0"/>
        <w:keepLines w:val="0"/>
        <w:pageBreakBefore w:val="0"/>
        <w:widowControl w:val="0"/>
        <w:kinsoku/>
        <w:wordWrap/>
        <w:topLinePunct w:val="0"/>
        <w:bidi w:val="0"/>
        <w:adjustRightInd w:val="0"/>
        <w:snapToGrid w:val="0"/>
        <w:spacing w:line="594"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topLinePunct w:val="0"/>
        <w:bidi w:val="0"/>
        <w:adjustRightInd w:val="0"/>
        <w:snapToGrid w:val="0"/>
        <w:spacing w:line="594" w:lineRule="exact"/>
        <w:ind w:firstLine="6481" w:firstLineChars="2064"/>
        <w:textAlignment w:val="auto"/>
        <w:rPr>
          <w:rFonts w:hint="eastAsia" w:eastAsia="仿宋_GB2312" w:cs="Times New Roman"/>
          <w:color w:val="auto"/>
          <w:kern w:val="2"/>
          <w:sz w:val="32"/>
          <w:szCs w:val="32"/>
          <w:lang w:eastAsia="zh-CN"/>
        </w:rPr>
      </w:pPr>
      <w:bookmarkStart w:id="0" w:name="_GoBack"/>
      <w:bookmarkEnd w:id="0"/>
      <w:r>
        <w:rPr>
          <w:rFonts w:hint="eastAsia" w:eastAsia="仿宋_GB2312" w:cs="Times New Roman"/>
          <w:color w:val="auto"/>
          <w:kern w:val="2"/>
          <w:sz w:val="32"/>
          <w:szCs w:val="32"/>
          <w:lang w:eastAsia="zh-CN"/>
        </w:rPr>
        <w:t>市场监管总局</w:t>
      </w:r>
    </w:p>
    <w:p>
      <w:pPr>
        <w:keepNext w:val="0"/>
        <w:keepLines w:val="0"/>
        <w:pageBreakBefore w:val="0"/>
        <w:widowControl w:val="0"/>
        <w:kinsoku/>
        <w:wordWrap/>
        <w:topLinePunct w:val="0"/>
        <w:bidi w:val="0"/>
        <w:adjustRightInd w:val="0"/>
        <w:snapToGrid w:val="0"/>
        <w:spacing w:line="594" w:lineRule="exact"/>
        <w:ind w:firstLine="5966" w:firstLineChars="19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202</w:t>
      </w:r>
      <w:r>
        <w:rPr>
          <w:rFonts w:hint="eastAsia"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rPr>
        <w:t>年</w:t>
      </w:r>
      <w:r>
        <w:rPr>
          <w:rFonts w:hint="eastAsia"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月</w:t>
      </w:r>
      <w:r>
        <w:rPr>
          <w:rFonts w:hint="eastAsia" w:eastAsia="仿宋_GB2312" w:cs="Times New Roman"/>
          <w:color w:val="auto"/>
          <w:kern w:val="2"/>
          <w:sz w:val="32"/>
          <w:szCs w:val="32"/>
          <w:lang w:val="en-US" w:eastAsia="zh-CN"/>
        </w:rPr>
        <w:t>16</w:t>
      </w:r>
      <w:r>
        <w:rPr>
          <w:rFonts w:hint="default" w:ascii="Times New Roman" w:hAnsi="Times New Roman" w:eastAsia="仿宋_GB2312" w:cs="Times New Roman"/>
          <w:color w:val="auto"/>
          <w:kern w:val="2"/>
          <w:sz w:val="32"/>
          <w:szCs w:val="32"/>
        </w:rPr>
        <w:t>日</w:t>
      </w:r>
    </w:p>
    <w:p>
      <w:pPr>
        <w:pStyle w:val="3"/>
        <w:rPr>
          <w:rFonts w:hint="default" w:ascii="Times New Roman" w:hAnsi="Times New Roman" w:eastAsia="仿宋_GB2312" w:cs="Times New Roman"/>
          <w:color w:val="auto"/>
          <w:kern w:val="2"/>
          <w:sz w:val="32"/>
          <w:szCs w:val="32"/>
        </w:rPr>
      </w:pPr>
    </w:p>
    <w:p>
      <w:pPr>
        <w:pStyle w:val="3"/>
        <w:wordWrap/>
        <w:jc w:val="center"/>
        <w:rPr>
          <w:rFonts w:hint="default" w:ascii="Times New Roman" w:hAnsi="Times New Roman" w:cs="Times New Roman"/>
          <w:color w:val="auto"/>
        </w:rPr>
      </w:pPr>
      <w:r>
        <w:rPr>
          <w:rFonts w:hint="eastAsia" w:ascii="黑体" w:hAnsi="黑体" w:eastAsia="黑体" w:cs="黑体"/>
          <w:color w:val="auto"/>
          <w:kern w:val="2"/>
          <w:sz w:val="32"/>
          <w:szCs w:val="32"/>
          <w:lang w:val="en-US" w:eastAsia="zh-CN"/>
        </w:rPr>
        <w:t>（市场监督管理部门将依法向社会公开行政处罚决定信息）</w:t>
      </w:r>
    </w:p>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15" w:leftChars="150" w:right="315" w:rightChars="150"/>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EFE08"/>
    <w:rsid w:val="0DF84766"/>
    <w:rsid w:val="11EF36AD"/>
    <w:rsid w:val="13AF1086"/>
    <w:rsid w:val="19B234C1"/>
    <w:rsid w:val="1A4B90B2"/>
    <w:rsid w:val="1FFF23AB"/>
    <w:rsid w:val="2C6D3623"/>
    <w:rsid w:val="2EEEA39A"/>
    <w:rsid w:val="2FBDD19D"/>
    <w:rsid w:val="2FECE000"/>
    <w:rsid w:val="3367735E"/>
    <w:rsid w:val="337F6ABF"/>
    <w:rsid w:val="37AEF9AB"/>
    <w:rsid w:val="37BE7508"/>
    <w:rsid w:val="37FE773D"/>
    <w:rsid w:val="38C47169"/>
    <w:rsid w:val="38F9DEFB"/>
    <w:rsid w:val="3BBE963B"/>
    <w:rsid w:val="3BFE2CA0"/>
    <w:rsid w:val="3C8FD37C"/>
    <w:rsid w:val="3CC8AFF4"/>
    <w:rsid w:val="3D9C6153"/>
    <w:rsid w:val="3E3CEBD9"/>
    <w:rsid w:val="3E6FC02E"/>
    <w:rsid w:val="3E6FC2A7"/>
    <w:rsid w:val="3E9FE5E7"/>
    <w:rsid w:val="3FAD7B7E"/>
    <w:rsid w:val="3FBBEE3A"/>
    <w:rsid w:val="3FCF9D11"/>
    <w:rsid w:val="3FFEC119"/>
    <w:rsid w:val="43A10EC0"/>
    <w:rsid w:val="477FF1EF"/>
    <w:rsid w:val="4930080F"/>
    <w:rsid w:val="4EFDE423"/>
    <w:rsid w:val="53CF77BE"/>
    <w:rsid w:val="53ECABC9"/>
    <w:rsid w:val="5AEF7684"/>
    <w:rsid w:val="5BA752D7"/>
    <w:rsid w:val="5BBF0DFA"/>
    <w:rsid w:val="5BFD573F"/>
    <w:rsid w:val="5D7F53B5"/>
    <w:rsid w:val="5FEB7C42"/>
    <w:rsid w:val="67EF4BF5"/>
    <w:rsid w:val="67F776A2"/>
    <w:rsid w:val="67FDC857"/>
    <w:rsid w:val="67FFA0F9"/>
    <w:rsid w:val="6A3DD988"/>
    <w:rsid w:val="6BF7A145"/>
    <w:rsid w:val="6BFEE971"/>
    <w:rsid w:val="6CD76285"/>
    <w:rsid w:val="6DBDD20F"/>
    <w:rsid w:val="6DFE78FC"/>
    <w:rsid w:val="6E912A6C"/>
    <w:rsid w:val="6F430F17"/>
    <w:rsid w:val="6F7FD209"/>
    <w:rsid w:val="6FCDA66B"/>
    <w:rsid w:val="6FDF2E28"/>
    <w:rsid w:val="6FFDD058"/>
    <w:rsid w:val="6FFFBF06"/>
    <w:rsid w:val="737DD35D"/>
    <w:rsid w:val="73FF3E85"/>
    <w:rsid w:val="775A948F"/>
    <w:rsid w:val="775F66B5"/>
    <w:rsid w:val="77F75D27"/>
    <w:rsid w:val="77FB9DD5"/>
    <w:rsid w:val="77FEDC12"/>
    <w:rsid w:val="7A9765D1"/>
    <w:rsid w:val="7AEF918C"/>
    <w:rsid w:val="7B356C76"/>
    <w:rsid w:val="7BDE9F64"/>
    <w:rsid w:val="7BE498C1"/>
    <w:rsid w:val="7BF938CF"/>
    <w:rsid w:val="7BFF0514"/>
    <w:rsid w:val="7C7BD097"/>
    <w:rsid w:val="7CDE1711"/>
    <w:rsid w:val="7D7F5511"/>
    <w:rsid w:val="7D7FE814"/>
    <w:rsid w:val="7DBF9E22"/>
    <w:rsid w:val="7DCD5200"/>
    <w:rsid w:val="7DF34F69"/>
    <w:rsid w:val="7DF73D04"/>
    <w:rsid w:val="7DF9188B"/>
    <w:rsid w:val="7DFADC6D"/>
    <w:rsid w:val="7DFE4FA3"/>
    <w:rsid w:val="7DFF09E6"/>
    <w:rsid w:val="7EEDAF9B"/>
    <w:rsid w:val="7EFF4889"/>
    <w:rsid w:val="7F5F427B"/>
    <w:rsid w:val="7F5F4EC4"/>
    <w:rsid w:val="7F774241"/>
    <w:rsid w:val="7F778327"/>
    <w:rsid w:val="7FBB0B29"/>
    <w:rsid w:val="7FD7BECB"/>
    <w:rsid w:val="7FDEDEB1"/>
    <w:rsid w:val="7FE589C8"/>
    <w:rsid w:val="7FEBADA3"/>
    <w:rsid w:val="7FEE308E"/>
    <w:rsid w:val="7FF1238B"/>
    <w:rsid w:val="7FFAAAFF"/>
    <w:rsid w:val="7FFB0E75"/>
    <w:rsid w:val="7FFEB8DE"/>
    <w:rsid w:val="7FFF3331"/>
    <w:rsid w:val="7FFFADF8"/>
    <w:rsid w:val="83B6E6F6"/>
    <w:rsid w:val="889B8339"/>
    <w:rsid w:val="8DD92DE4"/>
    <w:rsid w:val="9BFB5660"/>
    <w:rsid w:val="9F71977D"/>
    <w:rsid w:val="9FFF0FC4"/>
    <w:rsid w:val="ADAEAB02"/>
    <w:rsid w:val="ADE714E2"/>
    <w:rsid w:val="AEF76066"/>
    <w:rsid w:val="AFCF0792"/>
    <w:rsid w:val="B2BEAC6F"/>
    <w:rsid w:val="B2DF1272"/>
    <w:rsid w:val="B7C77C72"/>
    <w:rsid w:val="BBFBA0F0"/>
    <w:rsid w:val="BEF2ED60"/>
    <w:rsid w:val="BF0E23B1"/>
    <w:rsid w:val="BF7A37D2"/>
    <w:rsid w:val="BF9FB57A"/>
    <w:rsid w:val="BFEAA90E"/>
    <w:rsid w:val="BFF53725"/>
    <w:rsid w:val="BFFA8AA6"/>
    <w:rsid w:val="C5EF0E35"/>
    <w:rsid w:val="C5F656C1"/>
    <w:rsid w:val="CB6BE00C"/>
    <w:rsid w:val="CB7F3279"/>
    <w:rsid w:val="CDFB017A"/>
    <w:rsid w:val="CFD7844E"/>
    <w:rsid w:val="CFFEFE08"/>
    <w:rsid w:val="D79F79DD"/>
    <w:rsid w:val="DA7B63E8"/>
    <w:rsid w:val="DD6E5EF2"/>
    <w:rsid w:val="DF8FAE16"/>
    <w:rsid w:val="DFBFE9DA"/>
    <w:rsid w:val="DFFBFA13"/>
    <w:rsid w:val="E71C0858"/>
    <w:rsid w:val="E7EE94A9"/>
    <w:rsid w:val="EB6570DC"/>
    <w:rsid w:val="EBEF757C"/>
    <w:rsid w:val="ECF57DD8"/>
    <w:rsid w:val="ECF5A9EC"/>
    <w:rsid w:val="EDFB9291"/>
    <w:rsid w:val="EE752A16"/>
    <w:rsid w:val="EE7A3633"/>
    <w:rsid w:val="EEECDE48"/>
    <w:rsid w:val="EF6F2F93"/>
    <w:rsid w:val="EF9E3E68"/>
    <w:rsid w:val="EF9F2B76"/>
    <w:rsid w:val="EF9FA333"/>
    <w:rsid w:val="EFED9BA6"/>
    <w:rsid w:val="EFFD3D3D"/>
    <w:rsid w:val="EFFF6DC1"/>
    <w:rsid w:val="F15C2990"/>
    <w:rsid w:val="F1CE07CB"/>
    <w:rsid w:val="F3FCB998"/>
    <w:rsid w:val="F463B6B9"/>
    <w:rsid w:val="F5C7F15D"/>
    <w:rsid w:val="F76FA4FA"/>
    <w:rsid w:val="F7DB7914"/>
    <w:rsid w:val="F7E3C930"/>
    <w:rsid w:val="F7F4D8C6"/>
    <w:rsid w:val="F91B25E9"/>
    <w:rsid w:val="F9FD5C37"/>
    <w:rsid w:val="FA7A8AD4"/>
    <w:rsid w:val="FAEADE66"/>
    <w:rsid w:val="FAFF5F9C"/>
    <w:rsid w:val="FB9FC4CE"/>
    <w:rsid w:val="FBD8E4E8"/>
    <w:rsid w:val="FBE05E0B"/>
    <w:rsid w:val="FBFDE1DB"/>
    <w:rsid w:val="FC698DB5"/>
    <w:rsid w:val="FCAF1414"/>
    <w:rsid w:val="FD76B032"/>
    <w:rsid w:val="FD87A559"/>
    <w:rsid w:val="FDDCCE9F"/>
    <w:rsid w:val="FDFBE34E"/>
    <w:rsid w:val="FEBFEFD2"/>
    <w:rsid w:val="FED59700"/>
    <w:rsid w:val="FEEFBFA9"/>
    <w:rsid w:val="FEFE7FEA"/>
    <w:rsid w:val="FF1D596D"/>
    <w:rsid w:val="FF2EF58C"/>
    <w:rsid w:val="FF7E09BB"/>
    <w:rsid w:val="FF7F5837"/>
    <w:rsid w:val="FF7F8832"/>
    <w:rsid w:val="FFB90940"/>
    <w:rsid w:val="FFBEAFD4"/>
    <w:rsid w:val="FFCD57E3"/>
    <w:rsid w:val="FFD77F22"/>
    <w:rsid w:val="FFEE12AF"/>
    <w:rsid w:val="FFF7DFD4"/>
    <w:rsid w:val="FFF9ABB3"/>
    <w:rsid w:val="FFFE4AB4"/>
    <w:rsid w:val="FFFF0282"/>
    <w:rsid w:val="FFFF0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0"/>
    <w:pPr>
      <w:spacing w:after="120"/>
    </w:pPr>
    <w:rPr>
      <w:rFonts w:ascii="Calibri" w:hAnsi="Calibri" w:eastAsia="宋体" w:cs="Times New Roman"/>
      <w:szCs w:val="22"/>
    </w:rPr>
  </w:style>
  <w:style w:type="paragraph" w:styleId="4">
    <w:name w:val="Body Text Indent"/>
    <w:basedOn w:val="1"/>
    <w:qFormat/>
    <w:uiPriority w:val="0"/>
    <w:pPr>
      <w:spacing w:after="120"/>
      <w:ind w:left="420" w:leftChars="200"/>
    </w:pPr>
  </w:style>
  <w:style w:type="paragraph" w:styleId="5">
    <w:name w:val="Normal Indent"/>
    <w:basedOn w:val="1"/>
    <w:qFormat/>
    <w:uiPriority w:val="0"/>
    <w:pPr>
      <w:spacing w:line="360" w:lineRule="exact"/>
      <w:ind w:firstLine="420" w:firstLineChars="200"/>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 w:type="paragraph" w:customStyle="1" w:styleId="13">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2023-07-02T02:24:00Z</dcterms:created>
  <dc:creator>oa</dc:creator>
  <cp:lastModifiedBy>OA</cp:lastModifiedBy>
  <cp:lastPrinted>2026-01-23T22:54:00Z</cp:lastPrinted>
  <dcterms:modified xsi:type="dcterms:W3CDTF">2026-01-23T15:58:42Z</dcterms:modified>
  <dc:title>国家市场监督管理总局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4C2B3F83AD9A74A6322A736991EB2CE2</vt:lpwstr>
  </property>
</Properties>
</file>