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E44D9" w14:textId="77777777" w:rsidR="006C3254" w:rsidRDefault="00000000" w:rsidP="00177616">
      <w:pPr>
        <w:widowControl/>
        <w:snapToGrid w:val="0"/>
        <w:jc w:val="center"/>
        <w:rPr>
          <w:rFonts w:ascii="Times New Roman" w:hAnsi="Times New Roman" w:cs="Times New Roman" w:eastAsia="宋体"/>
          <w:bCs/>
          <w:kern w:val="0"/>
          <w:sz w:val="21"/>
          <w:szCs w:val="21"/>
          <w:lang w:val="en-GB" w:bidi="ar-AE"/>
        </w:rPr>
      </w:pPr>
      <w:r>
        <w:rPr>
          <w:rFonts w:ascii="Times New Roman" w:hAnsi="Times New Roman" w:cs="Times New Roman" w:eastAsia="宋体"/>
          <w:bCs/>
          <w:kern w:val="0"/>
          <w:sz w:val="21"/>
          <w:szCs w:val="21"/>
          <w:lang w:val="en-GB" w:bidi="ar-AE"/>
        </w:rPr>
        <w:t>经营者集中简易案件公示表</w:t>
      </w:r>
    </w:p>
    <w:tbl>
      <w:tblPr>
        <w:tblW w:w="8300" w:type="dxa"/>
        <w:tblLayout w:type="fixed"/>
        <w:tblLook w:val="04A0" w:firstRow="1" w:lastRow="0" w:firstColumn="1" w:lastColumn="0" w:noHBand="0" w:noVBand="1"/>
      </w:tblPr>
      <w:tblGrid>
        <w:gridCol w:w="1670"/>
        <w:gridCol w:w="1384"/>
        <w:gridCol w:w="5246"/>
      </w:tblGrid>
      <w:tr w:rsidR="006C3254" w14:paraId="421517EB" w14:textId="77777777">
        <w:trPr>
          <w:cantSplit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143E5B" w14:textId="77777777" w:rsidR="006C3254" w:rsidRDefault="00000000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</w:rPr>
              <w:t>案件名称</w:t>
            </w: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8F6E8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泰雷兹公司与雷迪埃公司等经营者新设合营企业案</w:t>
            </w:r>
          </w:p>
        </w:tc>
      </w:tr>
      <w:tr w:rsidR="006C3254" w14:paraId="0EB39B6F" w14:textId="77777777">
        <w:trPr>
          <w:cantSplit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4372F4" w14:textId="77777777" w:rsidR="006C3254" w:rsidRDefault="00000000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交易概况（限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200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字内）</w:t>
            </w: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DD9A6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泰雷兹公司（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“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泰雷兹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”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）、雷迪埃公司（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“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雷迪埃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”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）和鸿海精密工业股份有限公司（商号“富士康”，下称“富士康”）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拟在法国新设合营企业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Tessalia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，三方共同控制该合营企业。合营企业拟从事半导体封装测试业务，面向欧洲市场，不在中国境内从事经济活动。</w:t>
            </w:r>
          </w:p>
        </w:tc>
      </w:tr>
      <w:tr w:rsidR="00177616" w14:paraId="685F82EA" w14:textId="77777777">
        <w:trPr>
          <w:cantSplit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5EBAE8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参与集中的经营者简介（每个限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100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字以内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517FF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</w:pPr>
            <w:r w:rsidRPr="00066451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1.</w:t>
            </w:r>
            <w:r w:rsidRPr="00066451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泰雷兹公司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65094" w14:textId="77777777" w:rsidR="00177616" w:rsidRDefault="00177616" w:rsidP="00177616">
            <w:pPr>
              <w:snapToGrid w:val="0"/>
            </w:pP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泰雷兹公司于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1918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年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2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月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11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日在法国成立，为泛欧交易所巴黎市场（Euronext Paris）上市公司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/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，主要从事航空航天、国防及网络安全与数字业务。</w:t>
            </w:r>
          </w:p>
          <w:p w14:paraId="0DAE076C" w14:textId="77777777" w:rsidR="00177616" w:rsidRPr="00177616" w:rsidRDefault="00177616" w:rsidP="00177616">
            <w:pPr>
              <w:snapToGrid w:val="0"/>
              <w:rPr>
                <w:rFonts w:ascii="Times New Roman" w:hAnsi="Times New Roman" w:cs="Times New Roman" w:eastAsia="宋体"/>
                <w:bCs/>
                <w:kern w:val="0"/>
                <w:sz w:val="21"/>
                <w:szCs w:val="21"/>
                <w:lang w:bidi="ar-AE"/>
              </w:rPr>
            </w:pP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无最终控制人。</w:t>
            </w:r>
          </w:p>
        </w:tc>
      </w:tr>
      <w:tr w:rsidR="00177616" w14:paraId="63062505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2E2C31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21DD5" w14:textId="77777777" w:rsidR="00177616" w:rsidRPr="00066451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 w:rsidRPr="00066451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2.</w:t>
            </w:r>
            <w:r w:rsidRPr="00066451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雷迪埃公司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F398B" w14:textId="77777777" w:rsidR="00177616" w:rsidRPr="00177616" w:rsidRDefault="00177616" w:rsidP="00177616">
            <w:pPr>
              <w:snapToGrid w:val="0"/>
            </w:pP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雷迪埃公司于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1955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年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10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月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21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日在法国注册成立，主要从事射频同轴连接器、电缆组件及其他互连产品的设计、制造和销售。</w:t>
            </w:r>
          </w:p>
          <w:p w14:paraId="30EF2FB6" w14:textId="77777777" w:rsidR="00177616" w:rsidRDefault="00177616" w:rsidP="00177616">
            <w:pPr>
              <w:snapToGrid w:val="0"/>
              <w:rPr>
                <w:rFonts w:ascii="Times New Roman" w:hAnsi="Times New Roman" w:cs="Times New Roman" w:eastAsia="宋体"/>
                <w:bCs/>
                <w:kern w:val="0"/>
                <w:sz w:val="21"/>
                <w:szCs w:val="21"/>
                <w:lang w:bidi="ar-AE"/>
              </w:rPr>
            </w:pP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最终控制人为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HODIALL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（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SAS</w:t>
            </w:r>
            <w:r w:rsidRPr="00177616">
              <w:rPr>
                <w:rFonts w:ascii="Times New Roman" w:hAnsi="Times New Roman" w:cs="Times New Roman" w:eastAsia="宋体"/>
                <w:sz w:val="21"/>
                <w:szCs w:val="21"/>
              </w:rPr>
              <w:t>），主要从事股权投资及所控企业管理。</w:t>
            </w:r>
          </w:p>
        </w:tc>
      </w:tr>
      <w:tr w:rsidR="00177616" w14:paraId="4304DB1D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C70ABA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38093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</w:pPr>
            <w:r w:rsidRPr="00066451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3.</w:t>
            </w:r>
            <w:r w:rsidRPr="00066451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鸿海精密工业股份有限公司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85CBF" w14:textId="03C3CFFF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鸿海精密工业股份有限公司于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1974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年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2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月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20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日在中国台湾</w:t>
            </w:r>
            <w:r w:rsidR="002A73EA">
              <w:rPr>
                <w:rFonts w:hint="eastAsia"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地区</w:t>
            </w: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新北市注册成立，为台湾证券交易所上市公司，主要从事电子制造服务，涵盖消费电子、云计算及网络、计算机终端和电子元件。</w:t>
            </w:r>
          </w:p>
          <w:p w14:paraId="772AE0F4" w14:textId="77777777" w:rsidR="00177616" w:rsidRPr="00066451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 w:rsidRP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无最终控制人。</w:t>
            </w:r>
          </w:p>
        </w:tc>
      </w:tr>
      <w:tr w:rsidR="00177616" w14:paraId="554A3EE8" w14:textId="77777777">
        <w:trPr>
          <w:cantSplit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56C5B9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简易案件理由（可以单选，也可以多选）</w:t>
            </w: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C0A0C" w14:textId="1490C913" w:rsidR="00177616" w:rsidRDefault="002A73EA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sz w:val="21"/>
                <w:szCs w:val="21"/>
                <w:lang w:eastAsia="zh-CN"/>
              </w:rPr>
              <w:t>☑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 xml:space="preserve"> 1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.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在同一相关市场，参与集中的经营者所占的市场份额之和小于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15%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。</w:t>
            </w:r>
          </w:p>
        </w:tc>
      </w:tr>
      <w:tr w:rsidR="00177616" w14:paraId="561AA374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5C2E3D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6997A" w14:textId="5944C9E6" w:rsidR="00177616" w:rsidRDefault="002A73EA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sz w:val="21"/>
                <w:szCs w:val="21"/>
                <w:lang w:eastAsia="zh-CN"/>
              </w:rPr>
              <w:t>☑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2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.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在上下游市场，参与集中的经营者所占的市场份额均小于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25%</w:t>
            </w:r>
            <w:r w:rsidR="00177616"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。</w:t>
            </w:r>
          </w:p>
        </w:tc>
      </w:tr>
      <w:tr w:rsidR="00177616" w14:paraId="632F7212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FD7394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7D7D2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 xml:space="preserve"> 3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不在同一相关市场也不存在上下游关系的参与集中的经营者，在与交易有关的每个市场所占的市场份额均小于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25%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。</w:t>
            </w:r>
          </w:p>
        </w:tc>
      </w:tr>
      <w:tr w:rsidR="00177616" w14:paraId="2B3BD2A1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381420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8E592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 xml:space="preserve"> 4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参与集中的经营者在中国境外设立合营企业，合营企业不在中国境内从事经济活动。</w:t>
            </w:r>
          </w:p>
        </w:tc>
      </w:tr>
      <w:tr w:rsidR="00177616" w14:paraId="1D9E0AAA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0C33FF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37862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 xml:space="preserve"> 5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参与集中的经营者收购境外企业股权或资产的，该境外企业不在中国境内从事经济活动。</w:t>
            </w:r>
          </w:p>
        </w:tc>
      </w:tr>
      <w:tr w:rsidR="00177616" w14:paraId="65E7ED2A" w14:textId="77777777">
        <w:trPr>
          <w:cantSplit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0BE509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E7CD7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 xml:space="preserve"> 6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eastAsia="zh-CN"/>
              </w:rPr>
              <w:t>由两个以上的经营者共同控制的合营企业，通过集中被其中一个或一个以上经营者控制。</w:t>
            </w:r>
          </w:p>
        </w:tc>
      </w:tr>
      <w:tr w:rsidR="00177616" w14:paraId="68C8E140" w14:textId="77777777">
        <w:trPr>
          <w:cantSplit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8252C8" w14:textId="77777777" w:rsidR="00177616" w:rsidRDefault="00177616" w:rsidP="00177616">
            <w:pPr>
              <w:pStyle w:val="a4"/>
              <w:snapToGrid w:val="0"/>
              <w:spacing w:after="0"/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 w:eastAsia="宋体"/>
                <w:bCs/>
                <w:sz w:val="21"/>
                <w:szCs w:val="21"/>
                <w:lang w:val="en-US" w:eastAsia="zh-CN"/>
              </w:rPr>
              <w:lastRenderedPageBreak/>
              <w:t>备注</w:t>
            </w:r>
          </w:p>
        </w:tc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E730F" w14:textId="77777777" w:rsidR="00E82B35" w:rsidRDefault="00000000">
            <w:pPr>
              <w:keepNext/>
              <w:snapToGrid w:val="0"/>
            </w:pPr>
            <w:r>
              <w:rPr>
                <w:rFonts w:ascii="Times New Roman" w:hAnsi="Times New Roman" w:cs="Times New Roman" w:eastAsia="宋体"/>
                <w:b/>
                <w:sz w:val="21"/>
                <w:szCs w:val="21"/>
              </w:rPr>
              <w:t>横向重叠：</w:t>
            </w:r>
          </w:p>
          <w:p w14:paraId="4E80ED53" w14:textId="77777777" w:rsidR="00E82B35" w:rsidRDefault="00000000">
            <w:pPr>
              <w:keepNext/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2025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年全球委外封测服务（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OSAT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）市场：</w:t>
            </w:r>
          </w:p>
          <w:p w14:paraId="431D720D" w14:textId="3C1DC921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富士康：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0—5%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；泰雷兹：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；雷迪埃：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；合营企业：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</w:t>
            </w:r>
            <w:r w:rsidR="00D32E01">
              <w:rPr>
                <w:rFonts w:hint="eastAsia" w:ascii="Times New Roman" w:hAnsi="Times New Roman" w:cs="Times New Roman" w:eastAsia="宋体"/>
                <w:sz w:val="21"/>
                <w:szCs w:val="21"/>
              </w:rPr>
              <w:t>—</w:t>
            </w:r>
            <w:r w:rsidR="002A73EA">
              <w:rPr>
                <w:rFonts w:hint="eastAsia" w:ascii="Times New Roman" w:hAnsi="Times New Roman" w:cs="Times New Roman" w:eastAsia="宋体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；各方合计：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0—5%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。</w:t>
            </w:r>
          </w:p>
          <w:p w14:paraId="5BAD41F3" w14:textId="77777777" w:rsidR="00E82B35" w:rsidRDefault="00000000">
            <w:pPr>
              <w:keepNext/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2025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年中国境内委外封测服务（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OSAT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）市场：</w:t>
            </w:r>
          </w:p>
          <w:p w14:paraId="20C7F054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富士康：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0—5%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；泰雷兹：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；雷迪埃：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；合营企业：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；各方合计：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0—5%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。</w:t>
            </w:r>
          </w:p>
          <w:p w14:paraId="315B9351" w14:textId="77777777" w:rsidR="00E82B35" w:rsidRDefault="00000000">
            <w:pPr>
              <w:keepNext/>
              <w:snapToGrid w:val="0"/>
            </w:pPr>
            <w:r>
              <w:rPr>
                <w:rFonts w:ascii="Times New Roman" w:hAnsi="Times New Roman" w:cs="Times New Roman" w:eastAsia="宋体"/>
                <w:b/>
                <w:sz w:val="21"/>
                <w:szCs w:val="21"/>
              </w:rPr>
              <w:t>纵向关联：</w:t>
            </w:r>
          </w:p>
          <w:p w14:paraId="212F6B3C" w14:textId="77777777" w:rsidR="00E82B35" w:rsidRDefault="00000000">
            <w:pPr>
              <w:keepNext/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上游：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2025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年全球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OSAT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技术及专有技术许可市场：</w:t>
            </w:r>
          </w:p>
          <w:p w14:paraId="3331AA59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富士康：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0—5%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；泰雷兹：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；雷迪埃：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；各方合计：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0—5%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。</w:t>
            </w:r>
          </w:p>
          <w:p w14:paraId="1360F219" w14:textId="77777777" w:rsidR="00E82B35" w:rsidRDefault="00000000">
            <w:pPr>
              <w:keepNext/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2025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年中国境内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OSAT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技术及专有技术许可市场：</w:t>
            </w:r>
          </w:p>
          <w:p w14:paraId="093473CA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富士康：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；泰雷兹：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；雷迪埃：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；各方合计：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0%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。</w:t>
            </w:r>
          </w:p>
          <w:p w14:paraId="3C4AC388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下游：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2025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年全球委外封测服务（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OSAT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）市场，各方份额如上所述。</w:t>
            </w:r>
          </w:p>
          <w:p w14:paraId="1B3C0642" w14:textId="77777777" w:rsidR="00E82B35" w:rsidRDefault="00000000">
            <w:pPr>
              <w:snapToGrid w:val="0"/>
            </w:pP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2025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年中国境内委外封测服务（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OSAT</w:t>
            </w:r>
            <w:r>
              <w:rPr>
                <w:rFonts w:ascii="Times New Roman" w:hAnsi="Times New Roman" w:cs="Times New Roman" w:eastAsia="宋体"/>
                <w:sz w:val="21"/>
                <w:szCs w:val="21"/>
              </w:rPr>
              <w:t>）市场，各方份额如上所述。</w:t>
            </w:r>
          </w:p>
        </w:tc>
      </w:tr>
    </w:tbl>
    <w:p w14:paraId="7D7634D4" w14:textId="77777777" w:rsidR="003144DC" w:rsidRDefault="003144DC"/>
    <w:sectPr w:rsidR="003144DC">
      <w:headerReference w:type="default" r:id="rId7"/>
      <w:footerReference w:type="default" r:id="rId8"/>
      <w:pgSz w:w="11906" w:h="16838"/>
      <w:pgMar w:top="1440" w:right="1803" w:bottom="1440" w:left="1803" w:header="720" w:footer="720" w:gutter="0"/>
      <w:cols w:space="720"/>
      <w:formProt w:val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A291E" w14:textId="77777777" w:rsidR="003144DC" w:rsidRDefault="003144DC" w:rsidP="00066451">
      <w:r>
        <w:rPr>
          <w:rFonts w:ascii="Times New Roman" w:hAnsi="Times New Roman" w:cs="Times New Roman" w:eastAsia="宋体"/>
          <w:sz w:val="21"/>
          <w:szCs w:val="21"/>
        </w:rPr>
        <w:separator/>
      </w:r>
    </w:p>
  </w:endnote>
  <w:endnote w:type="continuationSeparator" w:id="0">
    <w:p w14:paraId="5DF8C489" w14:textId="77777777" w:rsidR="003144DC" w:rsidRDefault="003144DC" w:rsidP="00066451">
      <w:r>
        <w:rPr>
          <w:rFonts w:ascii="Times New Roman" w:hAnsi="Times New Roman" w:cs="Times New Roman" w:eastAsia="宋体"/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4CEFC" w14:textId="77777777" w:rsidR="00E82B35" w:rsidRDefault="00E82B35">
    <w:pPr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8B3FA" w14:textId="77777777" w:rsidR="003144DC" w:rsidRDefault="003144DC" w:rsidP="00066451">
      <w:r>
        <w:rPr>
          <w:rFonts w:ascii="Times New Roman" w:hAnsi="Times New Roman" w:cs="Times New Roman" w:eastAsia="宋体"/>
          <w:sz w:val="21"/>
          <w:szCs w:val="21"/>
        </w:rPr>
        <w:separator/>
      </w:r>
    </w:p>
  </w:footnote>
  <w:footnote w:type="continuationSeparator" w:id="0">
    <w:p w14:paraId="4DD43B4C" w14:textId="77777777" w:rsidR="003144DC" w:rsidRDefault="003144DC" w:rsidP="00066451">
      <w:r>
        <w:rPr>
          <w:rFonts w:ascii="Times New Roman" w:hAnsi="Times New Roman" w:cs="Times New Roman" w:eastAsia="宋体"/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40965" w14:textId="77777777" w:rsidR="00E82B35" w:rsidRDefault="00E82B35">
    <w:pPr>
      <w:snapToGrid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2024F"/>
    <w:multiLevelType w:val="multilevel"/>
    <w:tmpl w:val="9BB2677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37636DC"/>
    <w:multiLevelType w:val="multilevel"/>
    <w:tmpl w:val="BADAEBE6"/>
    <w:lvl w:ilvl="0">
      <w:start w:val="1"/>
      <w:numFmt w:val="decimal"/>
      <w:pStyle w:val="a"/>
      <w:suff w:val="nothing"/>
      <w:lvlText w:val="示例%1："/>
      <w:lvlJc w:val="left"/>
      <w:pPr>
        <w:tabs>
          <w:tab w:val="num" w:pos="0"/>
        </w:tabs>
        <w:ind w:left="0" w:firstLine="363"/>
      </w:pPr>
      <w:rPr>
        <w:rFonts w:ascii="Times New Roman" w:eastAsia="宋体" w:hAnsi="Times New Roman" w:cs="Times New Roman"/>
        <w:b w:val="0"/>
        <w:i w:val="0"/>
        <w:sz w:val="21"/>
        <w:szCs w:val="21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宋体" w:hAnsi="Times New Roman" w:cs="Times New Roman" w:hint="eastAsia"/>
        <w:sz w:val="21"/>
        <w:szCs w:val="21"/>
      </w:rPr>
    </w:lvl>
    <w:lvl w:ilvl="2">
      <w:start w:val="1"/>
      <w:numFmt w:val="decimal"/>
      <w:suff w:val="space"/>
      <w:lvlText w:val="2.2.%3"/>
      <w:lvlJc w:val="left"/>
      <w:pPr>
        <w:tabs>
          <w:tab w:val="num" w:pos="0"/>
        </w:tabs>
        <w:ind w:left="0" w:firstLine="0"/>
      </w:pPr>
      <w:rPr>
        <w:rFonts w:ascii="Times New Roman" w:eastAsia="宋体" w:hAnsi="Times New Roman" w:cs="Times New Roman" w:hint="eastAsia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92" w:hanging="629"/>
      </w:pPr>
      <w:rPr>
        <w:rFonts w:ascii="Times New Roman" w:eastAsia="宋体" w:hAnsi="Times New Roman" w:cs="Times New Roman" w:hint="eastAsia"/>
        <w:sz w:val="21"/>
        <w:szCs w:val="21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992" w:hanging="629"/>
      </w:pPr>
      <w:rPr>
        <w:rFonts w:ascii="Times New Roman" w:eastAsia="宋体" w:hAnsi="Times New Roman" w:cs="Times New Roman" w:hint="eastAsia"/>
        <w:sz w:val="21"/>
        <w:szCs w:val="21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992" w:hanging="629"/>
      </w:pPr>
      <w:rPr>
        <w:rFonts w:ascii="Times New Roman" w:eastAsia="宋体" w:hAnsi="Times New Roman" w:cs="Times New Roman" w:hint="eastAsia"/>
        <w:sz w:val="21"/>
        <w:szCs w:val="21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992" w:hanging="629"/>
      </w:pPr>
      <w:rPr>
        <w:rFonts w:ascii="Times New Roman" w:eastAsia="宋体" w:hAnsi="Times New Roman" w:cs="Times New Roman" w:hint="eastAsia"/>
        <w:sz w:val="21"/>
        <w:szCs w:val="21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992" w:hanging="629"/>
      </w:pPr>
      <w:rPr>
        <w:rFonts w:ascii="Times New Roman" w:eastAsia="宋体" w:hAnsi="Times New Roman" w:cs="Times New Roman" w:hint="eastAsia"/>
        <w:sz w:val="21"/>
        <w:szCs w:val="21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92" w:hanging="629"/>
      </w:pPr>
      <w:rPr>
        <w:rFonts w:ascii="Times New Roman" w:eastAsia="宋体" w:hAnsi="Times New Roman" w:cs="Times New Roman" w:hint="eastAsia"/>
        <w:sz w:val="21"/>
        <w:szCs w:val="21"/>
      </w:rPr>
    </w:lvl>
  </w:abstractNum>
  <w:num w:numId="1" w16cid:durableId="1594237254">
    <w:abstractNumId w:val="0"/>
  </w:num>
  <w:num w:numId="2" w16cid:durableId="104755929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ZL">
    <w15:presenceInfo w15:providerId="None" w15:userId="Z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Q4ODQwNThiYTg4YTBlNDhkZDRmNGNiNWM5NWE1YzAifQ=="/>
  </w:docVars>
  <w:rsids>
    <w:rsidRoot w:val="006C3254"/>
    <w:rsid w:val="00016F29"/>
    <w:rsid w:val="00066451"/>
    <w:rsid w:val="00177616"/>
    <w:rsid w:val="0028095B"/>
    <w:rsid w:val="002A73EA"/>
    <w:rsid w:val="003144DC"/>
    <w:rsid w:val="005311F4"/>
    <w:rsid w:val="0059118E"/>
    <w:rsid w:val="006C3254"/>
    <w:rsid w:val="008E243F"/>
    <w:rsid w:val="00D32E01"/>
    <w:rsid w:val="00D54B7A"/>
    <w:rsid w:val="00E82B35"/>
    <w:rsid w:val="00EF329C"/>
    <w:rsid w:val="00FB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1A143D"/>
  <w15:docId w15:val="{FD31913D-50E1-427F-908A-E51285D22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color w:val="000000"/>
        <w:sz w:val="21"/>
        <w:szCs w:val="21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spacing w:line="360" w:lineRule="auto"/>
      <w:jc w:val="both"/>
    </w:pPr>
    <w:rPr>
      <w:rFonts w:ascii="Times New Roman" w:hAnsi="Times New Roman" w:cs="Times New Roman" w:eastAsia="宋体"/>
      <w:kern w:val="2"/>
      <w:sz w:val="21"/>
      <w:szCs w:val="21"/>
      <w:lang w:bidi="ar-SA"/>
    </w:rPr>
  </w:style>
  <w:style w:type="paragraph" w:styleId="1">
    <w:name w:val="heading 1"/>
    <w:basedOn w:val="a0"/>
    <w:next w:val="a0"/>
    <w:uiPriority w:val="9"/>
    <w:qFormat/>
    <w:pPr>
      <w:keepNext/>
      <w:keepLines/>
      <w:numPr>
        <w:numId w:val="1"/>
      </w:numPr>
      <w:spacing w:before="340" w:after="330"/>
      <w:jc w:val="center"/>
      <w:outlineLvl w:val="0"/>
    </w:p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numPr>
        <w:ilvl w:val="1"/>
        <w:numId w:val="1"/>
      </w:numPr>
      <w:spacing w:before="260" w:after="260"/>
      <w:jc w:val="center"/>
      <w:outlineLvl w:val="1"/>
    </w:p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numPr>
        <w:ilvl w:val="2"/>
        <w:numId w:val="1"/>
      </w:numPr>
      <w:spacing w:before="260" w:after="260"/>
      <w:jc w:val="center"/>
      <w:outlineLvl w:val="2"/>
    </w:p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numPr>
        <w:ilvl w:val="3"/>
        <w:numId w:val="1"/>
      </w:numPr>
      <w:spacing w:before="280" w:after="290"/>
      <w:jc w:val="left"/>
      <w:outlineLvl w:val="3"/>
    </w:p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numPr>
        <w:ilvl w:val="4"/>
        <w:numId w:val="1"/>
      </w:numPr>
      <w:spacing w:before="280" w:after="290"/>
      <w:outlineLvl w:val="4"/>
    </w:pPr>
    <w:rPr>
      <w:rFonts w:ascii="Times New Roman" w:hAnsi="Times New Roman" w:cs="Times New Roman" w:eastAsia="宋体"/>
      <w:b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宋体" w:hAnsi="Times New Roman" w:cs="Times New Roman"/>
      <w:b w:val="0"/>
      <w:i w:val="0"/>
      <w:color w:val="000000"/>
      <w:sz w:val="21"/>
      <w:szCs w:val="21"/>
    </w:rPr>
  </w:style>
  <w:style w:type="character" w:customStyle="1" w:styleId="WW8Num1z1">
    <w:name w:val="WW8Num1z1"/>
    <w:qFormat/>
    <w:rPr>
      <w:rFonts w:ascii="Times New Roman" w:eastAsia="宋体" w:hAnsi="Times New Roman" w:cs="Times New Roman"/>
      <w:color w:val="000000"/>
      <w:sz w:val="21"/>
      <w:szCs w:val="21"/>
    </w:rPr>
  </w:style>
  <w:style w:type="character" w:customStyle="1" w:styleId="4Char">
    <w:name w:val="标题 4 Char"/>
    <w:qFormat/>
    <w:rPr>
      <w:rFonts w:ascii="Times New Roman" w:eastAsia="宋体" w:hAnsi="Times New Roman" w:cs="Times New Roman"/>
      <w:color w:val="000000"/>
      <w:sz w:val="21"/>
      <w:szCs w:val="21"/>
    </w:rPr>
  </w:style>
  <w:style w:type="paragraph" w:customStyle="1" w:styleId="Heading">
    <w:name w:val="Heading"/>
    <w:basedOn w:val="a0"/>
    <w:next w:val="a4"/>
    <w:qFormat/>
    <w:pPr>
      <w:keepNext/>
      <w:spacing w:before="240" w:after="120"/>
    </w:pPr>
  </w:style>
  <w:style w:type="paragraph" w:styleId="a4">
    <w:name w:val="Body Text"/>
    <w:pPr>
      <w:spacing w:after="240" w:line="360" w:lineRule="auto"/>
      <w:jc w:val="both"/>
    </w:pPr>
    <w:rPr>
      <w:rFonts w:ascii="Times New Roman" w:hAnsi="Times New Roman" w:cs="Times New Roman" w:eastAsia="宋体"/>
      <w:sz w:val="21"/>
      <w:szCs w:val="21"/>
      <w:lang w:val="en-GB" w:eastAsia="en-GB" w:bidi="ar-AE"/>
    </w:rPr>
  </w:style>
  <w:style w:type="paragraph" w:styleId="a5">
    <w:name w:val="List"/>
    <w:basedOn w:val="a4"/>
  </w:style>
  <w:style w:type="paragraph" w:styleId="a6">
    <w:name w:val="caption"/>
    <w:basedOn w:val="a0"/>
    <w:qFormat/>
    <w:pPr>
      <w:suppressLineNumbers/>
      <w:spacing w:before="120" w:after="120"/>
    </w:pPr>
    <w:rPr>
      <w:rFonts w:ascii="Times New Roman" w:hAnsi="Times New Roman" w:cs="Times New Roman" w:eastAsia="宋体"/>
      <w:i/>
      <w:iCs/>
      <w:sz w:val="21"/>
      <w:szCs w:val="21"/>
    </w:rPr>
  </w:style>
  <w:style w:type="paragraph" w:customStyle="1" w:styleId="Index">
    <w:name w:val="Index"/>
    <w:basedOn w:val="a0"/>
    <w:qFormat/>
    <w:pPr>
      <w:suppressLineNumbers/>
    </w:pPr>
  </w:style>
  <w:style w:type="paragraph" w:customStyle="1" w:styleId="a7">
    <w:name w:val="标题五"/>
    <w:basedOn w:val="5"/>
    <w:next w:val="a0"/>
    <w:qFormat/>
    <w:pPr>
      <w:numPr>
        <w:ilvl w:val="0"/>
        <w:numId w:val="0"/>
      </w:numPr>
      <w:outlineLvl w:val="9"/>
    </w:pPr>
    <w:rPr>
      <w:rFonts w:ascii="Times New Roman" w:hAnsi="Times New Roman" w:cs="Times New Roman" w:eastAsia="宋体"/>
      <w:b w:val="0"/>
      <w:kern w:val="0"/>
      <w:sz w:val="21"/>
      <w:szCs w:val="21"/>
    </w:rPr>
  </w:style>
  <w:style w:type="paragraph" w:customStyle="1" w:styleId="a8">
    <w:name w:val="标准文件_段"/>
    <w:qFormat/>
    <w:pPr>
      <w:autoSpaceDE w:val="0"/>
      <w:spacing w:line="360" w:lineRule="auto"/>
      <w:ind w:firstLineChars="200" w:firstLine="200"/>
      <w:jc w:val="both"/>
    </w:pPr>
    <w:rPr>
      <w:rFonts w:ascii="Times New Roman" w:hAnsi="Times New Roman" w:cs="Times New Roman" w:eastAsia="宋体"/>
      <w:sz w:val="21"/>
      <w:szCs w:val="21"/>
      <w:lang w:bidi="ar-SA"/>
    </w:rPr>
  </w:style>
  <w:style w:type="paragraph" w:customStyle="1" w:styleId="a">
    <w:name w:val="标准文件_示例×："/>
    <w:basedOn w:val="a0"/>
    <w:next w:val="a9"/>
    <w:qFormat/>
    <w:pPr>
      <w:widowControl/>
      <w:numPr>
        <w:numId w:val="2"/>
      </w:numPr>
    </w:pPr>
    <w:rPr>
      <w:rFonts w:ascii="Times New Roman" w:hAnsi="Times New Roman" w:cs="Times New Roman" w:eastAsia="宋体"/>
      <w:kern w:val="0"/>
      <w:sz w:val="21"/>
      <w:szCs w:val="21"/>
    </w:rPr>
  </w:style>
  <w:style w:type="paragraph" w:customStyle="1" w:styleId="a9">
    <w:name w:val="标准文件_示例内容"/>
    <w:basedOn w:val="a8"/>
    <w:qFormat/>
  </w:style>
  <w:style w:type="paragraph" w:customStyle="1" w:styleId="TableContents">
    <w:name w:val="Table Contents"/>
    <w:basedOn w:val="a0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rFonts w:ascii="Times New Roman" w:hAnsi="Times New Roman" w:cs="Times New Roman" w:eastAsia="宋体"/>
      <w:b/>
      <w:bCs/>
      <w:sz w:val="21"/>
      <w:szCs w:val="21"/>
    </w:rPr>
  </w:style>
  <w:style w:type="paragraph" w:customStyle="1" w:styleId="FrameContents">
    <w:name w:val="Frame Contents"/>
    <w:basedOn w:val="a0"/>
    <w:qFormat/>
  </w:style>
  <w:style w:type="numbering" w:customStyle="1" w:styleId="WW8Num1">
    <w:name w:val="WW8Num1"/>
    <w:qFormat/>
  </w:style>
  <w:style w:type="paragraph" w:styleId="aa">
    <w:name w:val="header"/>
    <w:basedOn w:val="a0"/>
    <w:link w:val="ab"/>
    <w:uiPriority w:val="99"/>
    <w:unhideWhenUsed/>
    <w:rsid w:val="00066451"/>
    <w:pPr>
      <w:tabs>
        <w:tab w:val="center" w:pos="4153"/>
        <w:tab w:val="right" w:pos="8306"/>
      </w:tabs>
      <w:snapToGrid w:val="0"/>
      <w:jc w:val="center"/>
    </w:pPr>
  </w:style>
  <w:style w:type="character" w:customStyle="1" w:styleId="ab">
    <w:name w:val="页眉 字符"/>
    <w:basedOn w:val="a1"/>
    <w:link w:val="aa"/>
    <w:uiPriority w:val="99"/>
    <w:rsid w:val="00066451"/>
    <w:rPr>
      <w:rFonts w:ascii="Times New Roman" w:eastAsia="宋体" w:hAnsi="Times New Roman" w:cs="Times New Roman"/>
      <w:color w:val="000000"/>
      <w:kern w:val="2"/>
      <w:sz w:val="21"/>
      <w:szCs w:val="21"/>
      <w:lang w:bidi="ar-SA"/>
    </w:rPr>
  </w:style>
  <w:style w:type="paragraph" w:styleId="ac">
    <w:name w:val="footer"/>
    <w:basedOn w:val="a0"/>
    <w:link w:val="ad"/>
    <w:uiPriority w:val="99"/>
    <w:unhideWhenUsed/>
    <w:rsid w:val="00066451"/>
    <w:pPr>
      <w:tabs>
        <w:tab w:val="center" w:pos="4153"/>
        <w:tab w:val="right" w:pos="8306"/>
      </w:tabs>
      <w:snapToGrid w:val="0"/>
      <w:jc w:val="left"/>
    </w:pPr>
  </w:style>
  <w:style w:type="character" w:customStyle="1" w:styleId="ad">
    <w:name w:val="页脚 字符"/>
    <w:basedOn w:val="a1"/>
    <w:link w:val="ac"/>
    <w:uiPriority w:val="99"/>
    <w:rsid w:val="00066451"/>
    <w:rPr>
      <w:rFonts w:ascii="Times New Roman" w:eastAsia="宋体" w:hAnsi="Times New Roman" w:cs="Times New Roman"/>
      <w:color w:val="000000"/>
      <w:kern w:val="2"/>
      <w:sz w:val="21"/>
      <w:szCs w:val="21"/>
      <w:lang w:bidi="ar-SA"/>
    </w:rPr>
  </w:style>
  <w:style w:type="paragraph" w:styleId="ae">
    <w:name w:val="Revision"/>
    <w:hidden/>
    <w:uiPriority w:val="99"/>
    <w:semiHidden/>
    <w:rsid w:val="002A73EA"/>
    <w:pPr>
      <w:suppressAutoHyphens w:val="0"/>
    </w:pPr>
    <w:rPr>
      <w:rFonts w:ascii="Times New Roman" w:hAnsi="Times New Roman" w:cs="Times New Roman" w:eastAsia="宋体"/>
      <w:kern w:val="2"/>
      <w:sz w:val="21"/>
      <w:szCs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黑体"/>
        <a:cs typeface="DejaVu Sans"/>
      </a:majorFont>
      <a:minorFont>
        <a:latin typeface="Arial"/>
        <a:ea typeface="宋体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595</Characters>
  <Application>Microsoft Office Word</Application>
  <DocSecurity>0</DocSecurity>
  <Lines>42</Lines>
  <Paragraphs>36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</dc:title>
  <dc:subject/>
  <dc:creator/>
  <dc:description/>
  <cp:lastModifiedBy>ZL</cp:lastModifiedBy>
  <cp:revision>5</cp:revision>
  <dcterms:created xsi:type="dcterms:W3CDTF">2026-10-08T12:05:00Z</dcterms:created>
  <dcterms:modified xsi:type="dcterms:W3CDTF">2026-11-05T08:02:00Z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D8680CD3A85E461D813FF634F907EA05_12</vt:lpwstr>
  </property>
  <property fmtid="{D5CDD505-2E9C-101B-9397-08002B2CF9AE}" pid="3" name="KSOProductBuildVer">
    <vt:lpwstr>2052-12.1.0.21915</vt:lpwstr>
  </property>
  <property fmtid="{D5CDD505-2E9C-101B-9397-08002B2CF9AE}" pid="4" name="KSOTemplateDocerSaveRecord">
    <vt:lpwstr>eyJoZGlkIjoiZjlkZmJjMzA1Y2Y0NTgwNjBkOTU3MmYwNzNhY2UwOGUiLCJ1c2VySWQiOiI0NjIwNjIzNDYifQ==</vt:lpwstr>
  </property>
</Properties>
</file>