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259320">
      <w:pPr>
        <w:jc w:val="center"/>
        <w:rPr>
          <w:rFonts w:ascii="黑体" w:hAnsi="黑体" w:eastAsia="黑体" w:cs="黑体"/>
          <w:bCs/>
          <w:sz w:val="36"/>
          <w:szCs w:val="36"/>
        </w:rPr>
      </w:pPr>
      <w:r>
        <w:rPr>
          <w:rFonts w:hint="eastAsia" w:ascii="黑体" w:hAnsi="黑体" w:eastAsia="黑体" w:cs="黑体"/>
          <w:bCs/>
          <w:sz w:val="36"/>
          <w:szCs w:val="36"/>
        </w:rPr>
        <w:t>经营者集中简易案件公示表</w:t>
      </w:r>
    </w:p>
    <w:tbl>
      <w:tblPr>
        <w:tblStyle w:val="7"/>
        <w:tblW w:w="90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35"/>
        <w:gridCol w:w="1607"/>
        <w:gridCol w:w="5587"/>
      </w:tblGrid>
      <w:tr w14:paraId="7B6E8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jc w:val="center"/>
        </w:trPr>
        <w:tc>
          <w:tcPr>
            <w:tcW w:w="1835" w:type="dxa"/>
            <w:shd w:val="clear" w:color="auto" w:fill="D9D9D9"/>
            <w:vAlign w:val="center"/>
          </w:tcPr>
          <w:p w14:paraId="3989E7C0">
            <w:pPr>
              <w:rPr>
                <w:rFonts w:ascii="宋体" w:hAnsi="宋体" w:eastAsia="宋体" w:cs="Times New Roman"/>
                <w:sz w:val="24"/>
                <w:szCs w:val="24"/>
              </w:rPr>
            </w:pPr>
            <w:r>
              <w:rPr>
                <w:rFonts w:hint="eastAsia" w:ascii="宋体" w:hAnsi="宋体" w:eastAsia="宋体" w:cs="Times New Roman"/>
                <w:sz w:val="24"/>
                <w:szCs w:val="24"/>
                <w:lang w:val="en-GB"/>
              </w:rPr>
              <w:t>案件名称</w:t>
            </w:r>
          </w:p>
        </w:tc>
        <w:tc>
          <w:tcPr>
            <w:tcW w:w="7194" w:type="dxa"/>
            <w:gridSpan w:val="2"/>
            <w:vAlign w:val="center"/>
          </w:tcPr>
          <w:p w14:paraId="7A8C8245">
            <w:pPr>
              <w:rPr>
                <w:rFonts w:ascii="宋体" w:hAnsi="宋体" w:eastAsia="宋体" w:cs="Times New Roman"/>
                <w:sz w:val="24"/>
                <w:szCs w:val="24"/>
              </w:rPr>
            </w:pPr>
            <w:r>
              <w:rPr>
                <w:rFonts w:hint="eastAsia" w:ascii="宋体" w:hAnsi="宋体" w:eastAsia="宋体" w:cs="Times New Roman"/>
                <w:sz w:val="24"/>
                <w:szCs w:val="24"/>
                <w:lang w:val="en-US" w:eastAsia="zh-CN"/>
              </w:rPr>
              <w:t>宜昌城发控股集团有限公司与宜昌市创元国有控股有限公司收购启迪环境科技发展股份有限公司股权案</w:t>
            </w:r>
          </w:p>
        </w:tc>
      </w:tr>
      <w:tr w14:paraId="1E1CD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1" w:hRule="atLeast"/>
          <w:jc w:val="center"/>
        </w:trPr>
        <w:tc>
          <w:tcPr>
            <w:tcW w:w="1835" w:type="dxa"/>
            <w:shd w:val="clear" w:color="auto" w:fill="D9D9D9"/>
            <w:vAlign w:val="center"/>
          </w:tcPr>
          <w:p w14:paraId="599FEEA4">
            <w:pPr>
              <w:rPr>
                <w:rFonts w:ascii="宋体" w:hAnsi="宋体" w:eastAsia="宋体" w:cs="Times New Roman"/>
                <w:sz w:val="24"/>
                <w:szCs w:val="24"/>
              </w:rPr>
            </w:pPr>
            <w:r>
              <w:rPr>
                <w:rFonts w:hint="eastAsia" w:ascii="宋体" w:hAnsi="宋体" w:eastAsia="宋体" w:cs="Times New Roman"/>
                <w:sz w:val="24"/>
                <w:szCs w:val="24"/>
                <w:lang w:val="en-GB"/>
              </w:rPr>
              <w:t>交易概况（限200字内）</w:t>
            </w:r>
          </w:p>
        </w:tc>
        <w:tc>
          <w:tcPr>
            <w:tcW w:w="7194" w:type="dxa"/>
            <w:gridSpan w:val="2"/>
            <w:vAlign w:val="center"/>
          </w:tcPr>
          <w:p w14:paraId="0DC01CC8">
            <w:pPr>
              <w:rPr>
                <w:rFonts w:ascii="Times New Roman" w:hAnsi="Times New Roman" w:eastAsia="宋体" w:cs="Times New Roman"/>
                <w:szCs w:val="24"/>
              </w:rPr>
            </w:pPr>
            <w:r>
              <w:rPr>
                <w:rFonts w:hint="eastAsia" w:ascii="宋体" w:hAnsi="宋体" w:eastAsia="宋体" w:cs="Times New Roman"/>
                <w:sz w:val="24"/>
                <w:szCs w:val="24"/>
                <w:lang w:val="en-US" w:eastAsia="zh-CN"/>
              </w:rPr>
              <w:t>宜昌城发控股集团有限公司（“城发控股”）、宜昌市创元国有控股有限公司（“创元国控”）拟通过破产重整的方式</w:t>
            </w:r>
            <w:bookmarkStart w:id="0" w:name="_GoBack"/>
            <w:bookmarkEnd w:id="0"/>
            <w:r>
              <w:rPr>
                <w:rFonts w:hint="eastAsia" w:ascii="宋体" w:hAnsi="宋体" w:eastAsia="宋体" w:cs="Times New Roman"/>
                <w:sz w:val="24"/>
                <w:szCs w:val="24"/>
                <w:lang w:val="en-US" w:eastAsia="zh-CN"/>
              </w:rPr>
              <w:t>共同收购启迪环境科技发展股份有限公司（“启迪环境”）18.3%的股权</w:t>
            </w:r>
            <w:r>
              <w:rPr>
                <w:rFonts w:hint="eastAsia" w:ascii="宋体" w:hAnsi="宋体" w:eastAsia="宋体" w:cs="Times New Roman"/>
                <w:sz w:val="24"/>
                <w:szCs w:val="24"/>
              </w:rPr>
              <w:t>。</w:t>
            </w:r>
            <w:r>
              <w:rPr>
                <w:rFonts w:hint="eastAsia" w:ascii="宋体" w:hAnsi="宋体" w:eastAsia="宋体" w:cs="Times New Roman"/>
                <w:sz w:val="24"/>
                <w:szCs w:val="24"/>
                <w:lang w:val="en-US" w:eastAsia="zh-CN"/>
              </w:rPr>
              <w:t>启迪环境主要业务为环卫服务、污水处理业务等。交易前，</w:t>
            </w:r>
            <w:r>
              <w:rPr>
                <w:rFonts w:hint="eastAsia" w:ascii="宋体" w:hAnsi="宋体" w:eastAsia="宋体" w:cs="宋体"/>
                <w:sz w:val="24"/>
                <w:szCs w:val="24"/>
                <w:lang w:val="en-US" w:eastAsia="zh-CN"/>
              </w:rPr>
              <w:t>启迪环境无最终控制人；</w:t>
            </w:r>
            <w:r>
              <w:rPr>
                <w:rFonts w:hint="eastAsia" w:ascii="宋体" w:hAnsi="宋体" w:eastAsia="宋体" w:cs="Times New Roman"/>
                <w:sz w:val="24"/>
                <w:szCs w:val="24"/>
              </w:rPr>
              <w:t>交易后，</w:t>
            </w:r>
            <w:r>
              <w:rPr>
                <w:rFonts w:hint="eastAsia" w:ascii="宋体" w:hAnsi="宋体" w:eastAsia="宋体" w:cs="Times New Roman"/>
                <w:sz w:val="24"/>
                <w:szCs w:val="24"/>
                <w:lang w:val="en-US" w:eastAsia="zh-CN"/>
              </w:rPr>
              <w:t>城发控股、创元国控共同控制启迪环境。</w:t>
            </w:r>
          </w:p>
        </w:tc>
      </w:tr>
      <w:tr w14:paraId="26A67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2" w:hRule="atLeast"/>
          <w:jc w:val="center"/>
        </w:trPr>
        <w:tc>
          <w:tcPr>
            <w:tcW w:w="1835" w:type="dxa"/>
            <w:vMerge w:val="restart"/>
            <w:shd w:val="clear" w:color="auto" w:fill="D9D9D9"/>
            <w:vAlign w:val="center"/>
          </w:tcPr>
          <w:p w14:paraId="5488176B">
            <w:pPr>
              <w:rPr>
                <w:rFonts w:ascii="宋体" w:hAnsi="宋体" w:eastAsia="宋体" w:cs="Times New Roman"/>
                <w:sz w:val="24"/>
                <w:szCs w:val="24"/>
              </w:rPr>
            </w:pPr>
            <w:r>
              <w:rPr>
                <w:rFonts w:hint="eastAsia" w:ascii="宋体" w:hAnsi="宋体" w:eastAsia="宋体" w:cs="Times New Roman"/>
                <w:sz w:val="24"/>
                <w:szCs w:val="24"/>
                <w:lang w:val="en-GB"/>
              </w:rPr>
              <w:t>参与集中的经营者简介（每个限</w:t>
            </w:r>
            <w:r>
              <w:rPr>
                <w:rFonts w:hint="eastAsia" w:ascii="宋体" w:hAnsi="宋体" w:eastAsia="宋体" w:cs="Times New Roman"/>
                <w:sz w:val="24"/>
                <w:szCs w:val="24"/>
              </w:rPr>
              <w:t>100字以内</w:t>
            </w:r>
            <w:r>
              <w:rPr>
                <w:rFonts w:hint="eastAsia" w:ascii="宋体" w:hAnsi="宋体" w:eastAsia="宋体" w:cs="Times New Roman"/>
                <w:sz w:val="24"/>
                <w:szCs w:val="24"/>
                <w:lang w:val="en-GB"/>
              </w:rPr>
              <w:t>）</w:t>
            </w:r>
          </w:p>
        </w:tc>
        <w:tc>
          <w:tcPr>
            <w:tcW w:w="1607" w:type="dxa"/>
            <w:vAlign w:val="center"/>
          </w:tcPr>
          <w:p w14:paraId="03F7449C">
            <w:pPr>
              <w:rPr>
                <w:rFonts w:hint="default" w:ascii="宋体" w:hAnsi="宋体" w:eastAsia="宋体" w:cs="Times New Roman"/>
                <w:sz w:val="24"/>
                <w:szCs w:val="24"/>
                <w:lang w:val="en-US" w:eastAsia="zh-CN"/>
              </w:rPr>
            </w:pPr>
            <w:r>
              <w:rPr>
                <w:rFonts w:hint="eastAsia" w:ascii="宋体" w:hAnsi="宋体" w:eastAsia="宋体" w:cs="Times New Roman"/>
                <w:sz w:val="24"/>
                <w:szCs w:val="24"/>
              </w:rPr>
              <w:t>1</w:t>
            </w:r>
            <w:r>
              <w:rPr>
                <w:rFonts w:ascii="宋体" w:hAnsi="宋体" w:eastAsia="宋体" w:cs="Times New Roman"/>
                <w:sz w:val="24"/>
                <w:szCs w:val="24"/>
              </w:rPr>
              <w:t>.</w:t>
            </w:r>
            <w:r>
              <w:rPr>
                <w:rFonts w:hint="eastAsia" w:ascii="宋体" w:hAnsi="宋体" w:eastAsia="宋体" w:cs="Times New Roman"/>
                <w:sz w:val="24"/>
                <w:szCs w:val="24"/>
                <w:lang w:val="en-US" w:eastAsia="zh-CN"/>
              </w:rPr>
              <w:t>城发控股</w:t>
            </w:r>
          </w:p>
        </w:tc>
        <w:tc>
          <w:tcPr>
            <w:tcW w:w="5587" w:type="dxa"/>
            <w:vAlign w:val="center"/>
          </w:tcPr>
          <w:p w14:paraId="400FB4E4">
            <w:pPr>
              <w:rPr>
                <w:rFonts w:ascii="宋体" w:hAnsi="宋体" w:eastAsia="宋体" w:cs="Times New Roman"/>
                <w:sz w:val="24"/>
                <w:szCs w:val="24"/>
              </w:rPr>
            </w:pPr>
            <w:r>
              <w:rPr>
                <w:rFonts w:hint="eastAsia" w:ascii="宋体" w:hAnsi="宋体" w:eastAsia="宋体" w:cs="Times New Roman"/>
                <w:sz w:val="24"/>
                <w:szCs w:val="24"/>
                <w:lang w:val="en-US" w:eastAsia="zh-CN"/>
              </w:rPr>
              <w:t>城发控股</w:t>
            </w:r>
            <w:r>
              <w:rPr>
                <w:rFonts w:hint="eastAsia" w:ascii="宋体" w:hAnsi="宋体" w:eastAsia="宋体" w:cs="Times New Roman"/>
                <w:sz w:val="24"/>
                <w:szCs w:val="24"/>
              </w:rPr>
              <w:t>于</w:t>
            </w:r>
            <w:r>
              <w:rPr>
                <w:rFonts w:hint="eastAsia" w:ascii="宋体" w:hAnsi="宋体" w:eastAsia="宋体" w:cs="Times New Roman"/>
                <w:sz w:val="24"/>
                <w:szCs w:val="24"/>
                <w:lang w:val="en-US" w:eastAsia="zh-CN"/>
              </w:rPr>
              <w:t>2015</w:t>
            </w:r>
            <w:r>
              <w:rPr>
                <w:rFonts w:hint="eastAsia" w:ascii="宋体" w:hAnsi="宋体" w:eastAsia="宋体" w:cs="Times New Roman"/>
                <w:sz w:val="24"/>
                <w:szCs w:val="24"/>
              </w:rPr>
              <w:t>年</w:t>
            </w:r>
            <w:r>
              <w:rPr>
                <w:rFonts w:hint="eastAsia" w:ascii="宋体" w:hAnsi="宋体" w:eastAsia="宋体" w:cs="Times New Roman"/>
                <w:sz w:val="24"/>
                <w:szCs w:val="24"/>
                <w:lang w:val="en-US" w:eastAsia="zh-CN"/>
              </w:rPr>
              <w:t>10</w:t>
            </w:r>
            <w:r>
              <w:rPr>
                <w:rFonts w:hint="eastAsia" w:ascii="宋体" w:hAnsi="宋体" w:eastAsia="宋体" w:cs="Times New Roman"/>
                <w:sz w:val="24"/>
                <w:szCs w:val="24"/>
              </w:rPr>
              <w:t>月</w:t>
            </w:r>
            <w:r>
              <w:rPr>
                <w:rFonts w:hint="eastAsia" w:ascii="宋体" w:hAnsi="宋体" w:eastAsia="宋体" w:cs="Times New Roman"/>
                <w:sz w:val="24"/>
                <w:szCs w:val="24"/>
                <w:lang w:val="en-US" w:eastAsia="zh-CN"/>
              </w:rPr>
              <w:t>29</w:t>
            </w:r>
            <w:r>
              <w:rPr>
                <w:rFonts w:hint="eastAsia" w:ascii="宋体" w:hAnsi="宋体" w:eastAsia="宋体" w:cs="Times New Roman"/>
                <w:sz w:val="24"/>
                <w:szCs w:val="24"/>
              </w:rPr>
              <w:t>日成立于</w:t>
            </w:r>
            <w:r>
              <w:rPr>
                <w:rFonts w:hint="eastAsia" w:ascii="宋体" w:hAnsi="宋体" w:eastAsia="宋体" w:cs="Times New Roman"/>
                <w:sz w:val="24"/>
                <w:szCs w:val="24"/>
                <w:lang w:val="en-US" w:eastAsia="zh-CN"/>
              </w:rPr>
              <w:t>湖北省宜昌市</w:t>
            </w:r>
            <w:r>
              <w:rPr>
                <w:rFonts w:hint="eastAsia" w:ascii="宋体" w:hAnsi="宋体" w:eastAsia="宋体" w:cs="Times New Roman"/>
                <w:sz w:val="24"/>
                <w:szCs w:val="24"/>
              </w:rPr>
              <w:t>，主要业务为</w:t>
            </w:r>
            <w:r>
              <w:rPr>
                <w:rFonts w:hint="eastAsia" w:ascii="宋体" w:hAnsi="宋体" w:eastAsia="宋体" w:cs="Times New Roman"/>
                <w:sz w:val="24"/>
                <w:szCs w:val="24"/>
                <w:lang w:val="en-US" w:eastAsia="zh-CN"/>
              </w:rPr>
              <w:t>交通物流、智能制造等</w:t>
            </w:r>
            <w:r>
              <w:rPr>
                <w:rFonts w:hint="eastAsia" w:ascii="宋体" w:hAnsi="宋体" w:eastAsia="宋体" w:cs="Times New Roman"/>
                <w:sz w:val="24"/>
                <w:szCs w:val="24"/>
              </w:rPr>
              <w:t>。</w:t>
            </w:r>
          </w:p>
          <w:p w14:paraId="359B6CB7">
            <w:pPr>
              <w:rPr>
                <w:rFonts w:ascii="宋体" w:hAnsi="宋体" w:eastAsia="宋体" w:cs="Times New Roman"/>
                <w:sz w:val="24"/>
                <w:szCs w:val="24"/>
              </w:rPr>
            </w:pPr>
            <w:r>
              <w:rPr>
                <w:rFonts w:hint="eastAsia" w:ascii="宋体" w:hAnsi="宋体" w:eastAsia="宋体" w:cs="Times New Roman"/>
                <w:sz w:val="24"/>
                <w:szCs w:val="24"/>
                <w:lang w:val="en-US" w:eastAsia="zh-CN"/>
              </w:rPr>
              <w:t>城发控股为湖北省宜昌市人民政府国有资产监督管理委员会下属企业</w:t>
            </w:r>
            <w:r>
              <w:rPr>
                <w:rFonts w:hint="eastAsia" w:ascii="宋体" w:hAnsi="宋体" w:eastAsia="宋体" w:cs="Times New Roman"/>
                <w:sz w:val="24"/>
                <w:szCs w:val="24"/>
              </w:rPr>
              <w:t>。</w:t>
            </w:r>
          </w:p>
        </w:tc>
      </w:tr>
      <w:tr w14:paraId="4842B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4" w:hRule="atLeast"/>
          <w:jc w:val="center"/>
        </w:trPr>
        <w:tc>
          <w:tcPr>
            <w:tcW w:w="1835" w:type="dxa"/>
            <w:vMerge w:val="continue"/>
            <w:shd w:val="clear" w:color="auto" w:fill="D9D9D9"/>
            <w:vAlign w:val="center"/>
          </w:tcPr>
          <w:p w14:paraId="5A8F503B">
            <w:pPr>
              <w:rPr>
                <w:rFonts w:ascii="宋体" w:hAnsi="宋体" w:eastAsia="宋体" w:cs="Times New Roman"/>
                <w:sz w:val="24"/>
                <w:szCs w:val="24"/>
              </w:rPr>
            </w:pPr>
          </w:p>
        </w:tc>
        <w:tc>
          <w:tcPr>
            <w:tcW w:w="1607" w:type="dxa"/>
            <w:vAlign w:val="center"/>
          </w:tcPr>
          <w:p w14:paraId="4705C9E4">
            <w:pPr>
              <w:rPr>
                <w:rFonts w:hint="default" w:ascii="宋体" w:hAnsi="宋体" w:eastAsia="宋体" w:cs="Times New Roman"/>
                <w:sz w:val="24"/>
                <w:szCs w:val="24"/>
                <w:lang w:val="en-US" w:eastAsia="zh-CN"/>
              </w:rPr>
            </w:pPr>
            <w:r>
              <w:rPr>
                <w:rFonts w:hint="eastAsia" w:ascii="宋体" w:hAnsi="宋体" w:eastAsia="宋体" w:cs="Times New Roman"/>
                <w:sz w:val="24"/>
                <w:szCs w:val="24"/>
              </w:rPr>
              <w:t>2.</w:t>
            </w:r>
            <w:r>
              <w:rPr>
                <w:rFonts w:hint="eastAsia" w:ascii="宋体" w:hAnsi="宋体" w:eastAsia="宋体" w:cs="Times New Roman"/>
                <w:sz w:val="24"/>
                <w:szCs w:val="24"/>
                <w:lang w:val="en-US" w:eastAsia="zh-CN"/>
              </w:rPr>
              <w:t>创元国控</w:t>
            </w:r>
          </w:p>
        </w:tc>
        <w:tc>
          <w:tcPr>
            <w:tcW w:w="5587" w:type="dxa"/>
            <w:vAlign w:val="center"/>
          </w:tcPr>
          <w:p w14:paraId="441EFD3B">
            <w:pPr>
              <w:rPr>
                <w:rFonts w:ascii="宋体" w:hAnsi="宋体" w:eastAsia="宋体" w:cs="Times New Roman"/>
                <w:sz w:val="24"/>
                <w:szCs w:val="24"/>
              </w:rPr>
            </w:pPr>
            <w:r>
              <w:rPr>
                <w:rFonts w:hint="eastAsia" w:ascii="宋体" w:hAnsi="宋体" w:eastAsia="宋体" w:cs="Times New Roman"/>
                <w:sz w:val="24"/>
                <w:szCs w:val="24"/>
                <w:lang w:val="en-US" w:eastAsia="zh-CN" w:bidi="ar-AE"/>
              </w:rPr>
              <w:t>创元国控</w:t>
            </w:r>
            <w:r>
              <w:rPr>
                <w:rFonts w:hint="eastAsia" w:ascii="宋体" w:hAnsi="宋体" w:eastAsia="宋体" w:cs="Times New Roman"/>
                <w:sz w:val="24"/>
                <w:szCs w:val="24"/>
              </w:rPr>
              <w:t>于</w:t>
            </w:r>
            <w:r>
              <w:rPr>
                <w:rFonts w:hint="eastAsia" w:ascii="宋体" w:hAnsi="宋体" w:eastAsia="宋体" w:cs="Times New Roman"/>
                <w:sz w:val="24"/>
                <w:szCs w:val="24"/>
                <w:lang w:val="en-US" w:eastAsia="zh-CN"/>
              </w:rPr>
              <w:t>2004</w:t>
            </w:r>
            <w:r>
              <w:rPr>
                <w:rFonts w:hint="eastAsia" w:ascii="宋体" w:hAnsi="宋体" w:eastAsia="宋体" w:cs="Times New Roman"/>
                <w:sz w:val="24"/>
                <w:szCs w:val="24"/>
              </w:rPr>
              <w:t>年</w:t>
            </w:r>
            <w:r>
              <w:rPr>
                <w:rFonts w:hint="eastAsia" w:ascii="宋体" w:hAnsi="宋体" w:eastAsia="宋体" w:cs="Times New Roman"/>
                <w:sz w:val="24"/>
                <w:szCs w:val="24"/>
                <w:lang w:val="en-US" w:eastAsia="zh-CN"/>
              </w:rPr>
              <w:t>6</w:t>
            </w:r>
            <w:r>
              <w:rPr>
                <w:rFonts w:hint="eastAsia" w:ascii="宋体" w:hAnsi="宋体" w:eastAsia="宋体" w:cs="Times New Roman"/>
                <w:sz w:val="24"/>
                <w:szCs w:val="24"/>
              </w:rPr>
              <w:t>月</w:t>
            </w:r>
            <w:r>
              <w:rPr>
                <w:rFonts w:hint="eastAsia" w:ascii="宋体" w:hAnsi="宋体" w:eastAsia="宋体" w:cs="Times New Roman"/>
                <w:sz w:val="24"/>
                <w:szCs w:val="24"/>
                <w:lang w:val="en-US" w:eastAsia="zh-CN"/>
              </w:rPr>
              <w:t>3</w:t>
            </w:r>
            <w:r>
              <w:rPr>
                <w:rFonts w:hint="eastAsia" w:ascii="宋体" w:hAnsi="宋体" w:eastAsia="宋体" w:cs="Times New Roman"/>
                <w:sz w:val="24"/>
                <w:szCs w:val="24"/>
              </w:rPr>
              <w:t>日成立于</w:t>
            </w:r>
            <w:r>
              <w:rPr>
                <w:rFonts w:hint="eastAsia" w:ascii="宋体" w:hAnsi="宋体" w:eastAsia="宋体" w:cs="Times New Roman"/>
                <w:sz w:val="24"/>
                <w:szCs w:val="24"/>
                <w:lang w:val="en-US" w:eastAsia="zh-CN"/>
              </w:rPr>
              <w:t>湖北省宜昌市</w:t>
            </w:r>
            <w:r>
              <w:rPr>
                <w:rFonts w:hint="eastAsia" w:ascii="宋体" w:hAnsi="宋体" w:eastAsia="宋体" w:cs="Times New Roman"/>
                <w:sz w:val="24"/>
                <w:szCs w:val="24"/>
              </w:rPr>
              <w:t>，主要业务为</w:t>
            </w:r>
            <w:r>
              <w:rPr>
                <w:rFonts w:hint="eastAsia" w:ascii="宋体" w:hAnsi="宋体" w:eastAsia="宋体" w:cs="Times New Roman"/>
                <w:sz w:val="24"/>
                <w:szCs w:val="24"/>
                <w:lang w:val="en-US" w:eastAsia="zh-CN"/>
              </w:rPr>
              <w:t>安置房工程建设、工程施工</w:t>
            </w:r>
            <w:r>
              <w:rPr>
                <w:rFonts w:hint="eastAsia" w:ascii="宋体" w:hAnsi="宋体" w:eastAsia="宋体" w:cs="Times New Roman"/>
                <w:sz w:val="24"/>
                <w:szCs w:val="24"/>
              </w:rPr>
              <w:t>等。</w:t>
            </w:r>
          </w:p>
          <w:p w14:paraId="73E58C42">
            <w:pPr>
              <w:rPr>
                <w:rFonts w:ascii="宋体" w:hAnsi="宋体" w:eastAsia="宋体" w:cs="Times New Roman"/>
                <w:sz w:val="24"/>
                <w:szCs w:val="24"/>
              </w:rPr>
            </w:pPr>
            <w:r>
              <w:rPr>
                <w:rFonts w:hint="eastAsia" w:ascii="宋体" w:hAnsi="宋体" w:eastAsia="宋体" w:cs="Times New Roman"/>
                <w:sz w:val="24"/>
                <w:szCs w:val="24"/>
                <w:lang w:val="en-US" w:eastAsia="zh-CN"/>
              </w:rPr>
              <w:t>创元国控的最终控制人是湖北西陵城市发展集团有限公司，主要业务是资产管理、创业投资</w:t>
            </w:r>
            <w:r>
              <w:rPr>
                <w:rFonts w:hint="eastAsia" w:ascii="宋体" w:hAnsi="宋体" w:eastAsia="宋体" w:cs="Times New Roman"/>
                <w:sz w:val="24"/>
                <w:szCs w:val="24"/>
              </w:rPr>
              <w:t>。</w:t>
            </w:r>
          </w:p>
        </w:tc>
      </w:tr>
      <w:tr w14:paraId="4E49E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4" w:hRule="atLeast"/>
          <w:jc w:val="center"/>
        </w:trPr>
        <w:tc>
          <w:tcPr>
            <w:tcW w:w="1835" w:type="dxa"/>
            <w:vMerge w:val="continue"/>
            <w:shd w:val="clear" w:color="auto" w:fill="D9D9D9"/>
            <w:vAlign w:val="center"/>
          </w:tcPr>
          <w:p w14:paraId="4309905B">
            <w:pPr>
              <w:rPr>
                <w:rFonts w:ascii="宋体" w:hAnsi="宋体" w:eastAsia="宋体" w:cs="Times New Roman"/>
                <w:sz w:val="24"/>
                <w:szCs w:val="24"/>
              </w:rPr>
            </w:pPr>
          </w:p>
        </w:tc>
        <w:tc>
          <w:tcPr>
            <w:tcW w:w="1607" w:type="dxa"/>
            <w:vAlign w:val="center"/>
          </w:tcPr>
          <w:p w14:paraId="788E1A5B">
            <w:pPr>
              <w:rPr>
                <w:rFonts w:hint="default" w:ascii="宋体" w:hAnsi="宋体" w:eastAsia="宋体" w:cs="Times New Roman"/>
                <w:sz w:val="24"/>
                <w:szCs w:val="24"/>
                <w:lang w:val="en-US" w:eastAsia="zh-CN"/>
              </w:rPr>
            </w:pPr>
            <w:r>
              <w:rPr>
                <w:rFonts w:hint="eastAsia" w:ascii="宋体" w:hAnsi="宋体" w:eastAsia="宋体" w:cs="Times New Roman"/>
                <w:sz w:val="24"/>
                <w:szCs w:val="24"/>
                <w:lang w:val="en-US" w:eastAsia="zh-CN"/>
              </w:rPr>
              <w:t>3.启迪环境</w:t>
            </w:r>
          </w:p>
        </w:tc>
        <w:tc>
          <w:tcPr>
            <w:tcW w:w="5587" w:type="dxa"/>
            <w:vAlign w:val="center"/>
          </w:tcPr>
          <w:p w14:paraId="57868071">
            <w:pPr>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t>启迪环境于1993年10月11日成立于湖北省宜昌市，主要业务为环卫服务、污水处理业务等。</w:t>
            </w:r>
          </w:p>
          <w:p w14:paraId="5B85919B">
            <w:pPr>
              <w:rPr>
                <w:rFonts w:hint="default" w:ascii="宋体" w:hAnsi="宋体" w:eastAsia="宋体" w:cs="Times New Roman"/>
                <w:sz w:val="24"/>
                <w:szCs w:val="24"/>
                <w:lang w:val="en-US" w:eastAsia="zh-CN"/>
              </w:rPr>
            </w:pPr>
            <w:r>
              <w:rPr>
                <w:rFonts w:hint="eastAsia" w:ascii="宋体" w:hAnsi="宋体" w:eastAsia="宋体" w:cs="Times New Roman"/>
                <w:sz w:val="24"/>
                <w:szCs w:val="24"/>
                <w:lang w:val="en-US" w:eastAsia="zh-CN"/>
              </w:rPr>
              <w:t>启迪环境无最终控制人。</w:t>
            </w:r>
          </w:p>
        </w:tc>
      </w:tr>
      <w:tr w14:paraId="2C1B9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1835" w:type="dxa"/>
            <w:vMerge w:val="restart"/>
            <w:shd w:val="clear" w:color="auto" w:fill="D9D9D9"/>
            <w:vAlign w:val="center"/>
          </w:tcPr>
          <w:p w14:paraId="6C14C3B8">
            <w:pPr>
              <w:rPr>
                <w:rFonts w:ascii="宋体" w:hAnsi="宋体" w:eastAsia="宋体" w:cs="Times New Roman"/>
                <w:sz w:val="24"/>
                <w:szCs w:val="24"/>
              </w:rPr>
            </w:pPr>
            <w:r>
              <w:rPr>
                <w:rFonts w:hint="eastAsia" w:ascii="宋体" w:hAnsi="宋体" w:eastAsia="宋体" w:cs="Times New Roman"/>
                <w:sz w:val="24"/>
                <w:szCs w:val="24"/>
                <w:lang w:val="en-GB"/>
              </w:rPr>
              <w:t>简易案件理由（可以单选，也可以多选）</w:t>
            </w:r>
          </w:p>
        </w:tc>
        <w:tc>
          <w:tcPr>
            <w:tcW w:w="7194" w:type="dxa"/>
            <w:gridSpan w:val="2"/>
            <w:vAlign w:val="center"/>
          </w:tcPr>
          <w:p w14:paraId="73A56B8B">
            <w:pPr>
              <w:rPr>
                <w:rFonts w:ascii="宋体" w:hAnsi="宋体" w:eastAsia="宋体" w:cs="Times New Roman"/>
                <w:sz w:val="24"/>
                <w:szCs w:val="24"/>
              </w:rPr>
            </w:pPr>
            <w:r>
              <w:rPr>
                <w:rFonts w:hint="eastAsia" w:ascii="宋体" w:hAnsi="宋体" w:eastAsia="宋体" w:cs="Times New Roman"/>
                <w:sz w:val="24"/>
                <w:szCs w:val="24"/>
                <w:lang w:val="en-GB"/>
              </w:rPr>
              <w:sym w:font="Wingdings" w:char="00A8"/>
            </w:r>
            <w:r>
              <w:rPr>
                <w:rFonts w:hint="eastAsia" w:ascii="宋体" w:hAnsi="宋体" w:eastAsia="宋体" w:cs="Times New Roman"/>
                <w:sz w:val="24"/>
                <w:szCs w:val="24"/>
                <w:lang w:val="en-GB"/>
              </w:rPr>
              <w:t xml:space="preserve"> 1、在同一相关市场，所有参与集中的经营者所占市场份额之和小于</w:t>
            </w:r>
            <w:r>
              <w:rPr>
                <w:rFonts w:hint="eastAsia" w:ascii="宋体" w:hAnsi="宋体" w:eastAsia="宋体" w:cs="Times New Roman"/>
                <w:sz w:val="24"/>
                <w:szCs w:val="24"/>
              </w:rPr>
              <w:t>15%</w:t>
            </w:r>
            <w:r>
              <w:rPr>
                <w:rFonts w:hint="eastAsia" w:ascii="宋体" w:hAnsi="宋体" w:eastAsia="宋体" w:cs="Times New Roman"/>
                <w:sz w:val="24"/>
                <w:szCs w:val="24"/>
                <w:lang w:val="en-GB"/>
              </w:rPr>
              <w:t>。</w:t>
            </w:r>
          </w:p>
        </w:tc>
      </w:tr>
      <w:tr w14:paraId="75AE4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835" w:type="dxa"/>
            <w:vMerge w:val="continue"/>
            <w:shd w:val="clear" w:color="auto" w:fill="D9D9D9"/>
            <w:vAlign w:val="center"/>
          </w:tcPr>
          <w:p w14:paraId="3A76D20E">
            <w:pPr>
              <w:rPr>
                <w:rFonts w:ascii="宋体" w:hAnsi="宋体" w:eastAsia="宋体" w:cs="Times New Roman"/>
                <w:sz w:val="24"/>
                <w:szCs w:val="24"/>
              </w:rPr>
            </w:pPr>
          </w:p>
        </w:tc>
        <w:tc>
          <w:tcPr>
            <w:tcW w:w="7194" w:type="dxa"/>
            <w:gridSpan w:val="2"/>
            <w:vAlign w:val="center"/>
          </w:tcPr>
          <w:p w14:paraId="7B653BA6">
            <w:pPr>
              <w:rPr>
                <w:rFonts w:ascii="宋体" w:hAnsi="宋体" w:eastAsia="宋体" w:cs="Times New Roman"/>
                <w:sz w:val="24"/>
                <w:szCs w:val="24"/>
              </w:rPr>
            </w:pPr>
            <w:r>
              <w:rPr>
                <w:rFonts w:hint="eastAsia" w:ascii="宋体" w:hAnsi="宋体" w:eastAsia="宋体" w:cs="Times New Roman"/>
                <w:sz w:val="24"/>
                <w:szCs w:val="24"/>
                <w:lang w:val="en-GB"/>
              </w:rPr>
              <w:sym w:font="Wingdings" w:char="00A8"/>
            </w:r>
            <w:r>
              <w:rPr>
                <w:rFonts w:hint="eastAsia" w:ascii="宋体" w:hAnsi="宋体" w:eastAsia="宋体" w:cs="Times New Roman"/>
                <w:sz w:val="24"/>
                <w:szCs w:val="24"/>
                <w:lang w:val="en-GB"/>
              </w:rPr>
              <w:t xml:space="preserve"> 2、存在上下游关系的参与集中的经营者，在上下游市场所占的市场份额均小于</w:t>
            </w:r>
            <w:r>
              <w:rPr>
                <w:rFonts w:hint="eastAsia" w:ascii="宋体" w:hAnsi="宋体" w:eastAsia="宋体" w:cs="Times New Roman"/>
                <w:sz w:val="24"/>
                <w:szCs w:val="24"/>
              </w:rPr>
              <w:t>25%</w:t>
            </w:r>
            <w:r>
              <w:rPr>
                <w:rFonts w:hint="eastAsia" w:ascii="宋体" w:hAnsi="宋体" w:eastAsia="宋体" w:cs="Times New Roman"/>
                <w:sz w:val="24"/>
                <w:szCs w:val="24"/>
                <w:lang w:val="en-GB"/>
              </w:rPr>
              <w:t>。</w:t>
            </w:r>
          </w:p>
        </w:tc>
      </w:tr>
      <w:tr w14:paraId="63396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835" w:type="dxa"/>
            <w:vMerge w:val="continue"/>
            <w:shd w:val="clear" w:color="auto" w:fill="D9D9D9"/>
            <w:vAlign w:val="center"/>
          </w:tcPr>
          <w:p w14:paraId="397253E4">
            <w:pPr>
              <w:rPr>
                <w:rFonts w:ascii="宋体" w:hAnsi="宋体" w:eastAsia="宋体" w:cs="Times New Roman"/>
                <w:sz w:val="24"/>
                <w:szCs w:val="24"/>
              </w:rPr>
            </w:pPr>
          </w:p>
        </w:tc>
        <w:tc>
          <w:tcPr>
            <w:tcW w:w="7194" w:type="dxa"/>
            <w:gridSpan w:val="2"/>
            <w:vAlign w:val="center"/>
          </w:tcPr>
          <w:p w14:paraId="720920BA">
            <w:pPr>
              <w:rPr>
                <w:rFonts w:ascii="宋体" w:hAnsi="宋体" w:eastAsia="宋体" w:cs="Times New Roman"/>
                <w:sz w:val="24"/>
                <w:szCs w:val="24"/>
              </w:rPr>
            </w:pPr>
            <w:r>
              <w:rPr>
                <w:rFonts w:hint="eastAsia" w:ascii="宋体" w:hAnsi="宋体" w:eastAsia="宋体" w:cs="Times New Roman"/>
                <w:sz w:val="24"/>
                <w:szCs w:val="24"/>
                <w:lang w:val="en-GB"/>
              </w:rPr>
              <w:sym w:font="Wingdings" w:char="00FE"/>
            </w:r>
            <w:r>
              <w:rPr>
                <w:rFonts w:hint="eastAsia" w:ascii="宋体" w:hAnsi="宋体" w:eastAsia="宋体" w:cs="Times New Roman"/>
                <w:sz w:val="24"/>
                <w:szCs w:val="24"/>
                <w:lang w:val="en-GB"/>
              </w:rPr>
              <w:t xml:space="preserve"> 3、不在同一相关市场、也不存在上下游关系的参与集中的经营者，在与交易有关的每个市场所占的份额均小于25%。</w:t>
            </w:r>
          </w:p>
        </w:tc>
      </w:tr>
      <w:tr w14:paraId="7587E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jc w:val="center"/>
        </w:trPr>
        <w:tc>
          <w:tcPr>
            <w:tcW w:w="1835" w:type="dxa"/>
            <w:vMerge w:val="continue"/>
            <w:shd w:val="clear" w:color="auto" w:fill="D9D9D9"/>
            <w:vAlign w:val="center"/>
          </w:tcPr>
          <w:p w14:paraId="2BB1B11A">
            <w:pPr>
              <w:rPr>
                <w:rFonts w:ascii="宋体" w:hAnsi="宋体" w:eastAsia="宋体" w:cs="Times New Roman"/>
                <w:sz w:val="24"/>
                <w:szCs w:val="24"/>
              </w:rPr>
            </w:pPr>
          </w:p>
        </w:tc>
        <w:tc>
          <w:tcPr>
            <w:tcW w:w="7194" w:type="dxa"/>
            <w:gridSpan w:val="2"/>
            <w:vAlign w:val="center"/>
          </w:tcPr>
          <w:p w14:paraId="5AE3F056">
            <w:pPr>
              <w:rPr>
                <w:rFonts w:ascii="宋体" w:hAnsi="宋体" w:eastAsia="宋体" w:cs="Times New Roman"/>
                <w:sz w:val="24"/>
                <w:szCs w:val="24"/>
              </w:rPr>
            </w:pPr>
            <w:r>
              <w:rPr>
                <w:rFonts w:hint="eastAsia" w:ascii="宋体" w:hAnsi="宋体" w:eastAsia="宋体" w:cs="Times New Roman"/>
                <w:sz w:val="24"/>
                <w:szCs w:val="24"/>
                <w:lang w:val="en-GB"/>
              </w:rPr>
              <w:sym w:font="Wingdings" w:char="00A8"/>
            </w:r>
            <w:r>
              <w:rPr>
                <w:rFonts w:hint="eastAsia" w:ascii="宋体" w:hAnsi="宋体" w:eastAsia="宋体" w:cs="Times New Roman"/>
                <w:sz w:val="24"/>
                <w:szCs w:val="24"/>
                <w:lang w:val="en-GB"/>
              </w:rPr>
              <w:t xml:space="preserve"> 4、参与集中的经营者在中国境外设立合营企业，合营企业不在中国境内从事经济活动。</w:t>
            </w:r>
          </w:p>
        </w:tc>
      </w:tr>
      <w:tr w14:paraId="72B9E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1835" w:type="dxa"/>
            <w:vMerge w:val="continue"/>
            <w:shd w:val="clear" w:color="auto" w:fill="D9D9D9"/>
            <w:vAlign w:val="center"/>
          </w:tcPr>
          <w:p w14:paraId="7AD2CDF8">
            <w:pPr>
              <w:rPr>
                <w:rFonts w:ascii="宋体" w:hAnsi="宋体" w:eastAsia="宋体" w:cs="Times New Roman"/>
                <w:sz w:val="24"/>
                <w:szCs w:val="24"/>
              </w:rPr>
            </w:pPr>
          </w:p>
        </w:tc>
        <w:tc>
          <w:tcPr>
            <w:tcW w:w="7194" w:type="dxa"/>
            <w:gridSpan w:val="2"/>
            <w:vAlign w:val="center"/>
          </w:tcPr>
          <w:p w14:paraId="0434A566">
            <w:pPr>
              <w:rPr>
                <w:rFonts w:ascii="宋体" w:hAnsi="宋体" w:eastAsia="宋体" w:cs="Times New Roman"/>
                <w:sz w:val="24"/>
                <w:szCs w:val="24"/>
              </w:rPr>
            </w:pPr>
            <w:r>
              <w:rPr>
                <w:rFonts w:hint="eastAsia" w:ascii="宋体" w:hAnsi="宋体" w:eastAsia="宋体" w:cs="Times New Roman"/>
                <w:sz w:val="24"/>
                <w:szCs w:val="24"/>
                <w:lang w:val="en-GB"/>
              </w:rPr>
              <w:sym w:font="Wingdings" w:char="00A8"/>
            </w:r>
            <w:r>
              <w:rPr>
                <w:rFonts w:hint="eastAsia" w:ascii="宋体" w:hAnsi="宋体" w:eastAsia="宋体" w:cs="Times New Roman"/>
                <w:sz w:val="24"/>
                <w:szCs w:val="24"/>
                <w:lang w:val="en-GB"/>
              </w:rPr>
              <w:t xml:space="preserve"> 5、参与集中的经营者收购境外企业股权或资产的，该境外企业不在中国境内从事经济活动。</w:t>
            </w:r>
          </w:p>
        </w:tc>
      </w:tr>
      <w:tr w14:paraId="296AD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1835" w:type="dxa"/>
            <w:vMerge w:val="continue"/>
            <w:shd w:val="clear" w:color="auto" w:fill="D9D9D9"/>
            <w:vAlign w:val="center"/>
          </w:tcPr>
          <w:p w14:paraId="6122545A">
            <w:pPr>
              <w:rPr>
                <w:rFonts w:ascii="宋体" w:hAnsi="宋体" w:eastAsia="宋体" w:cs="Times New Roman"/>
                <w:sz w:val="24"/>
                <w:szCs w:val="24"/>
              </w:rPr>
            </w:pPr>
          </w:p>
        </w:tc>
        <w:tc>
          <w:tcPr>
            <w:tcW w:w="7194" w:type="dxa"/>
            <w:gridSpan w:val="2"/>
            <w:vAlign w:val="center"/>
          </w:tcPr>
          <w:p w14:paraId="7D0AFBCD">
            <w:pPr>
              <w:rPr>
                <w:rFonts w:ascii="宋体" w:hAnsi="宋体" w:eastAsia="宋体" w:cs="Times New Roman"/>
                <w:sz w:val="24"/>
                <w:szCs w:val="24"/>
              </w:rPr>
            </w:pPr>
            <w:r>
              <w:rPr>
                <w:rFonts w:hint="eastAsia" w:ascii="宋体" w:hAnsi="宋体" w:eastAsia="宋体" w:cs="Times New Roman"/>
                <w:sz w:val="24"/>
                <w:szCs w:val="24"/>
                <w:lang w:val="en-GB"/>
              </w:rPr>
              <w:sym w:font="Wingdings" w:char="00A8"/>
            </w:r>
            <w:r>
              <w:rPr>
                <w:rFonts w:hint="eastAsia" w:ascii="宋体" w:hAnsi="宋体" w:eastAsia="宋体" w:cs="Times New Roman"/>
                <w:sz w:val="24"/>
                <w:szCs w:val="24"/>
                <w:lang w:val="en-GB"/>
              </w:rPr>
              <w:t xml:space="preserve"> 6、由两个以上的经营者共同控制的合营企业，通过集中被其中一个或一个以上经营者控制。</w:t>
            </w:r>
          </w:p>
        </w:tc>
      </w:tr>
      <w:tr w14:paraId="7CEB2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0" w:hRule="atLeast"/>
          <w:jc w:val="center"/>
        </w:trPr>
        <w:tc>
          <w:tcPr>
            <w:tcW w:w="1835" w:type="dxa"/>
            <w:shd w:val="clear" w:color="auto" w:fill="D9D9D9"/>
            <w:vAlign w:val="center"/>
          </w:tcPr>
          <w:p w14:paraId="0207EF0C">
            <w:pPr>
              <w:rPr>
                <w:rFonts w:ascii="宋体" w:hAnsi="宋体" w:eastAsia="宋体" w:cs="Times New Roman"/>
                <w:sz w:val="24"/>
                <w:szCs w:val="24"/>
              </w:rPr>
            </w:pPr>
            <w:r>
              <w:rPr>
                <w:rFonts w:hint="eastAsia" w:ascii="宋体" w:hAnsi="宋体" w:eastAsia="宋体" w:cs="Times New Roman"/>
                <w:sz w:val="24"/>
                <w:szCs w:val="24"/>
              </w:rPr>
              <w:t>备注</w:t>
            </w:r>
          </w:p>
        </w:tc>
        <w:tc>
          <w:tcPr>
            <w:tcW w:w="7194" w:type="dxa"/>
            <w:gridSpan w:val="2"/>
            <w:vAlign w:val="center"/>
          </w:tcPr>
          <w:p w14:paraId="46E418FB">
            <w:pPr>
              <w:rPr>
                <w:rFonts w:ascii="宋体" w:hAnsi="宋体" w:eastAsia="宋体" w:cs="Times New Roman"/>
                <w:b/>
                <w:sz w:val="24"/>
                <w:szCs w:val="24"/>
                <w:lang w:val="en-GB"/>
              </w:rPr>
            </w:pPr>
            <w:r>
              <w:rPr>
                <w:rFonts w:hint="eastAsia" w:ascii="宋体" w:hAnsi="宋体" w:eastAsia="宋体" w:cs="Times New Roman"/>
                <w:b/>
                <w:sz w:val="24"/>
                <w:szCs w:val="24"/>
                <w:lang w:val="en-US" w:eastAsia="zh-CN"/>
              </w:rPr>
              <w:t>混合集中</w:t>
            </w:r>
            <w:r>
              <w:rPr>
                <w:rFonts w:hint="eastAsia" w:ascii="宋体" w:hAnsi="宋体" w:eastAsia="宋体" w:cs="Times New Roman"/>
                <w:b/>
                <w:sz w:val="24"/>
                <w:szCs w:val="24"/>
                <w:lang w:val="en-GB"/>
              </w:rPr>
              <w:t>：</w:t>
            </w:r>
          </w:p>
          <w:p w14:paraId="7C271921">
            <w:pPr>
              <w:rPr>
                <w:rFonts w:ascii="宋体" w:hAnsi="宋体" w:eastAsia="宋体" w:cs="Times New Roman"/>
                <w:b/>
                <w:sz w:val="24"/>
                <w:szCs w:val="24"/>
                <w:lang w:val="en-GB"/>
              </w:rPr>
            </w:pPr>
            <w:r>
              <w:rPr>
                <w:rFonts w:hint="eastAsia" w:ascii="宋体" w:hAnsi="宋体" w:eastAsia="宋体" w:cs="Times New Roman"/>
                <w:sz w:val="24"/>
                <w:szCs w:val="24"/>
                <w:lang w:val="en-GB"/>
              </w:rPr>
              <w:t>2</w:t>
            </w:r>
            <w:r>
              <w:rPr>
                <w:rFonts w:ascii="宋体" w:hAnsi="宋体" w:eastAsia="宋体" w:cs="Times New Roman"/>
                <w:sz w:val="24"/>
                <w:szCs w:val="24"/>
                <w:lang w:val="en-GB"/>
              </w:rPr>
              <w:t>02</w:t>
            </w:r>
            <w:r>
              <w:rPr>
                <w:rFonts w:hint="eastAsia" w:ascii="宋体" w:hAnsi="宋体" w:eastAsia="宋体" w:cs="Times New Roman"/>
                <w:sz w:val="24"/>
                <w:szCs w:val="24"/>
                <w:lang w:val="en-US" w:eastAsia="zh-CN"/>
              </w:rPr>
              <w:t>5</w:t>
            </w:r>
            <w:r>
              <w:rPr>
                <w:rFonts w:hint="eastAsia" w:ascii="宋体" w:hAnsi="宋体" w:eastAsia="宋体" w:cs="Times New Roman"/>
                <w:sz w:val="24"/>
                <w:szCs w:val="24"/>
                <w:lang w:val="en-GB"/>
              </w:rPr>
              <w:t>年中国境内</w:t>
            </w:r>
            <w:r>
              <w:rPr>
                <w:rFonts w:hint="eastAsia" w:ascii="宋体" w:hAnsi="宋体" w:eastAsia="宋体" w:cs="Times New Roman"/>
                <w:sz w:val="24"/>
                <w:szCs w:val="24"/>
                <w:lang w:val="en-US" w:eastAsia="zh-CN"/>
              </w:rPr>
              <w:t>环卫服务业务</w:t>
            </w:r>
            <w:r>
              <w:rPr>
                <w:rFonts w:hint="eastAsia" w:ascii="宋体" w:hAnsi="宋体" w:eastAsia="宋体" w:cs="Times New Roman"/>
                <w:sz w:val="24"/>
                <w:szCs w:val="24"/>
              </w:rPr>
              <w:t>市场</w:t>
            </w:r>
          </w:p>
          <w:p w14:paraId="21170754">
            <w:pPr>
              <w:rPr>
                <w:rFonts w:ascii="宋体" w:hAnsi="宋体" w:eastAsia="宋体" w:cs="Times New Roman"/>
                <w:sz w:val="24"/>
                <w:szCs w:val="24"/>
                <w:lang w:val="en-GB"/>
              </w:rPr>
            </w:pPr>
            <w:r>
              <w:rPr>
                <w:rFonts w:hint="eastAsia" w:ascii="宋体" w:hAnsi="宋体" w:eastAsia="宋体" w:cs="Times New Roman"/>
                <w:sz w:val="24"/>
                <w:szCs w:val="24"/>
                <w:lang w:val="en-US" w:eastAsia="zh-CN"/>
              </w:rPr>
              <w:t>启迪环境</w:t>
            </w:r>
            <w:r>
              <w:rPr>
                <w:rFonts w:hint="eastAsia" w:ascii="宋体" w:hAnsi="宋体" w:eastAsia="宋体" w:cs="Times New Roman"/>
                <w:sz w:val="24"/>
                <w:szCs w:val="24"/>
                <w:lang w:val="en-GB"/>
              </w:rPr>
              <w:t>：0</w:t>
            </w:r>
            <w:r>
              <w:rPr>
                <w:rFonts w:ascii="宋体" w:hAnsi="宋体" w:eastAsia="宋体" w:cs="Times New Roman"/>
                <w:sz w:val="24"/>
                <w:szCs w:val="24"/>
                <w:lang w:val="en-GB"/>
              </w:rPr>
              <w:t>-5%</w:t>
            </w:r>
          </w:p>
          <w:p w14:paraId="5D403329">
            <w:pPr>
              <w:rPr>
                <w:rFonts w:ascii="宋体" w:hAnsi="宋体" w:eastAsia="宋体" w:cs="Times New Roman"/>
                <w:sz w:val="24"/>
                <w:szCs w:val="24"/>
              </w:rPr>
            </w:pPr>
            <w:r>
              <w:rPr>
                <w:rFonts w:ascii="宋体" w:hAnsi="宋体" w:eastAsia="宋体" w:cs="Times New Roman"/>
                <w:sz w:val="24"/>
                <w:szCs w:val="24"/>
              </w:rPr>
              <w:t>202</w:t>
            </w:r>
            <w:r>
              <w:rPr>
                <w:rFonts w:hint="eastAsia" w:ascii="宋体" w:hAnsi="宋体" w:eastAsia="宋体" w:cs="Times New Roman"/>
                <w:sz w:val="24"/>
                <w:szCs w:val="24"/>
                <w:lang w:val="en-US" w:eastAsia="zh-CN"/>
              </w:rPr>
              <w:t>5</w:t>
            </w:r>
            <w:r>
              <w:rPr>
                <w:rFonts w:hint="eastAsia" w:ascii="宋体" w:hAnsi="宋体" w:eastAsia="宋体" w:cs="Times New Roman"/>
                <w:sz w:val="24"/>
                <w:szCs w:val="24"/>
              </w:rPr>
              <w:t>年</w:t>
            </w:r>
            <w:r>
              <w:rPr>
                <w:rFonts w:hint="eastAsia" w:ascii="宋体" w:hAnsi="宋体" w:eastAsia="宋体" w:cs="Times New Roman"/>
                <w:sz w:val="24"/>
                <w:szCs w:val="24"/>
                <w:lang w:val="en-GB"/>
              </w:rPr>
              <w:t>中国境内</w:t>
            </w:r>
            <w:r>
              <w:rPr>
                <w:rFonts w:hint="eastAsia" w:ascii="宋体" w:hAnsi="宋体" w:eastAsia="宋体" w:cs="Times New Roman"/>
                <w:sz w:val="24"/>
                <w:szCs w:val="24"/>
                <w:lang w:val="en-US" w:eastAsia="zh-CN"/>
              </w:rPr>
              <w:t>市政污水处理业务</w:t>
            </w:r>
            <w:r>
              <w:rPr>
                <w:rFonts w:hint="eastAsia" w:ascii="宋体" w:hAnsi="宋体" w:eastAsia="宋体" w:cs="Times New Roman"/>
                <w:sz w:val="24"/>
                <w:szCs w:val="24"/>
              </w:rPr>
              <w:t>市场</w:t>
            </w:r>
          </w:p>
          <w:p w14:paraId="1B67EC91">
            <w:pPr>
              <w:rPr>
                <w:rFonts w:ascii="宋体" w:hAnsi="宋体" w:eastAsia="宋体" w:cs="Times New Roman"/>
                <w:sz w:val="24"/>
                <w:szCs w:val="24"/>
                <w:lang w:val="en-GB"/>
              </w:rPr>
            </w:pPr>
            <w:r>
              <w:rPr>
                <w:rFonts w:hint="eastAsia" w:ascii="宋体" w:hAnsi="宋体" w:eastAsia="宋体" w:cs="Times New Roman"/>
                <w:sz w:val="24"/>
                <w:szCs w:val="24"/>
                <w:lang w:val="en-US" w:eastAsia="zh-CN"/>
              </w:rPr>
              <w:t>启迪环境</w:t>
            </w:r>
            <w:r>
              <w:rPr>
                <w:rFonts w:hint="eastAsia" w:ascii="宋体" w:hAnsi="宋体" w:eastAsia="宋体" w:cs="Times New Roman"/>
                <w:sz w:val="24"/>
                <w:szCs w:val="24"/>
                <w:lang w:val="en-GB"/>
              </w:rPr>
              <w:t>：0</w:t>
            </w:r>
            <w:r>
              <w:rPr>
                <w:rFonts w:ascii="宋体" w:hAnsi="宋体" w:eastAsia="宋体" w:cs="Times New Roman"/>
                <w:sz w:val="24"/>
                <w:szCs w:val="24"/>
                <w:lang w:val="en-GB"/>
              </w:rPr>
              <w:t>-5%</w:t>
            </w:r>
          </w:p>
        </w:tc>
      </w:tr>
    </w:tbl>
    <w:p w14:paraId="17314216">
      <w:pPr>
        <w:spacing w:line="480" w:lineRule="auto"/>
        <w:jc w:val="left"/>
        <w:rPr>
          <w:rFonts w:ascii="仿宋" w:hAnsi="仿宋" w:eastAsia="仿宋" w:cs="Times New Roman"/>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4EB9"/>
    <w:rsid w:val="00007295"/>
    <w:rsid w:val="00010363"/>
    <w:rsid w:val="00010A5C"/>
    <w:rsid w:val="00033ECC"/>
    <w:rsid w:val="00042A8F"/>
    <w:rsid w:val="0004380E"/>
    <w:rsid w:val="000537BB"/>
    <w:rsid w:val="00083899"/>
    <w:rsid w:val="000C2C76"/>
    <w:rsid w:val="000D38F0"/>
    <w:rsid w:val="000E0F43"/>
    <w:rsid w:val="00191F15"/>
    <w:rsid w:val="001E7797"/>
    <w:rsid w:val="0022489E"/>
    <w:rsid w:val="0022533A"/>
    <w:rsid w:val="00230773"/>
    <w:rsid w:val="00260EC2"/>
    <w:rsid w:val="00275C86"/>
    <w:rsid w:val="00285EA1"/>
    <w:rsid w:val="002A214B"/>
    <w:rsid w:val="002A372E"/>
    <w:rsid w:val="002B74AE"/>
    <w:rsid w:val="002C10D9"/>
    <w:rsid w:val="002F49E6"/>
    <w:rsid w:val="00316BAF"/>
    <w:rsid w:val="00322D22"/>
    <w:rsid w:val="003C4C35"/>
    <w:rsid w:val="00423EDA"/>
    <w:rsid w:val="004316CE"/>
    <w:rsid w:val="00451E5D"/>
    <w:rsid w:val="00475ED5"/>
    <w:rsid w:val="004E5722"/>
    <w:rsid w:val="005051DC"/>
    <w:rsid w:val="00522D23"/>
    <w:rsid w:val="00552B75"/>
    <w:rsid w:val="00555DFE"/>
    <w:rsid w:val="00561011"/>
    <w:rsid w:val="00563830"/>
    <w:rsid w:val="00563ECC"/>
    <w:rsid w:val="00575C6C"/>
    <w:rsid w:val="0059710A"/>
    <w:rsid w:val="005B42BA"/>
    <w:rsid w:val="005C67C4"/>
    <w:rsid w:val="005D11B0"/>
    <w:rsid w:val="006307C4"/>
    <w:rsid w:val="00645023"/>
    <w:rsid w:val="00664EB9"/>
    <w:rsid w:val="00671709"/>
    <w:rsid w:val="006A063D"/>
    <w:rsid w:val="006B7E1F"/>
    <w:rsid w:val="006C3629"/>
    <w:rsid w:val="006C3655"/>
    <w:rsid w:val="006D1260"/>
    <w:rsid w:val="006D5D8F"/>
    <w:rsid w:val="00706505"/>
    <w:rsid w:val="0072491E"/>
    <w:rsid w:val="007401F9"/>
    <w:rsid w:val="007B2E95"/>
    <w:rsid w:val="007C48D7"/>
    <w:rsid w:val="007D4969"/>
    <w:rsid w:val="007E1D80"/>
    <w:rsid w:val="007E7FD6"/>
    <w:rsid w:val="007F1017"/>
    <w:rsid w:val="00806E42"/>
    <w:rsid w:val="0080731A"/>
    <w:rsid w:val="00810855"/>
    <w:rsid w:val="00814709"/>
    <w:rsid w:val="0083139A"/>
    <w:rsid w:val="00831892"/>
    <w:rsid w:val="008324FB"/>
    <w:rsid w:val="00834655"/>
    <w:rsid w:val="008362B4"/>
    <w:rsid w:val="008B0853"/>
    <w:rsid w:val="008C7F27"/>
    <w:rsid w:val="008D0329"/>
    <w:rsid w:val="008F067E"/>
    <w:rsid w:val="008F717C"/>
    <w:rsid w:val="00911F25"/>
    <w:rsid w:val="009356D1"/>
    <w:rsid w:val="00943624"/>
    <w:rsid w:val="00945C2D"/>
    <w:rsid w:val="00960FBA"/>
    <w:rsid w:val="00977EE9"/>
    <w:rsid w:val="009808D9"/>
    <w:rsid w:val="00993AEC"/>
    <w:rsid w:val="00995280"/>
    <w:rsid w:val="009C4A3F"/>
    <w:rsid w:val="009D205A"/>
    <w:rsid w:val="009E628C"/>
    <w:rsid w:val="00A059F8"/>
    <w:rsid w:val="00A0682C"/>
    <w:rsid w:val="00A109E3"/>
    <w:rsid w:val="00A45EE2"/>
    <w:rsid w:val="00A56571"/>
    <w:rsid w:val="00A82EB4"/>
    <w:rsid w:val="00A97C48"/>
    <w:rsid w:val="00AA7BEF"/>
    <w:rsid w:val="00AB2777"/>
    <w:rsid w:val="00AE7A7C"/>
    <w:rsid w:val="00B12337"/>
    <w:rsid w:val="00B904F4"/>
    <w:rsid w:val="00BB06D5"/>
    <w:rsid w:val="00BC7E29"/>
    <w:rsid w:val="00BD2C81"/>
    <w:rsid w:val="00BD5E34"/>
    <w:rsid w:val="00BE7E93"/>
    <w:rsid w:val="00C2054C"/>
    <w:rsid w:val="00C2128C"/>
    <w:rsid w:val="00C6281F"/>
    <w:rsid w:val="00C66594"/>
    <w:rsid w:val="00C76722"/>
    <w:rsid w:val="00C866FC"/>
    <w:rsid w:val="00C87306"/>
    <w:rsid w:val="00C97A69"/>
    <w:rsid w:val="00D012F6"/>
    <w:rsid w:val="00D0604D"/>
    <w:rsid w:val="00D07C69"/>
    <w:rsid w:val="00D20C88"/>
    <w:rsid w:val="00D4153E"/>
    <w:rsid w:val="00D42190"/>
    <w:rsid w:val="00D44762"/>
    <w:rsid w:val="00D549D5"/>
    <w:rsid w:val="00D82204"/>
    <w:rsid w:val="00DA438E"/>
    <w:rsid w:val="00DA5200"/>
    <w:rsid w:val="00DA7AB8"/>
    <w:rsid w:val="00DB2503"/>
    <w:rsid w:val="00DC08F6"/>
    <w:rsid w:val="00DD69C7"/>
    <w:rsid w:val="00DE0A2B"/>
    <w:rsid w:val="00DE48B2"/>
    <w:rsid w:val="00EE2487"/>
    <w:rsid w:val="00EE2ED2"/>
    <w:rsid w:val="00EE4A67"/>
    <w:rsid w:val="00EE6265"/>
    <w:rsid w:val="00F17177"/>
    <w:rsid w:val="00F27E64"/>
    <w:rsid w:val="00F542C9"/>
    <w:rsid w:val="00FB5466"/>
    <w:rsid w:val="00FC3269"/>
    <w:rsid w:val="01154EDD"/>
    <w:rsid w:val="014C79C6"/>
    <w:rsid w:val="03BD5070"/>
    <w:rsid w:val="04D8694E"/>
    <w:rsid w:val="05860158"/>
    <w:rsid w:val="0DB56076"/>
    <w:rsid w:val="11036B00"/>
    <w:rsid w:val="125C471A"/>
    <w:rsid w:val="136823C5"/>
    <w:rsid w:val="14A51EC8"/>
    <w:rsid w:val="1AF13750"/>
    <w:rsid w:val="33DF6B01"/>
    <w:rsid w:val="33E62322"/>
    <w:rsid w:val="35EF127D"/>
    <w:rsid w:val="35FA7C22"/>
    <w:rsid w:val="392A081F"/>
    <w:rsid w:val="3C355E58"/>
    <w:rsid w:val="3C742437"/>
    <w:rsid w:val="3FE93F08"/>
    <w:rsid w:val="428D3D2D"/>
    <w:rsid w:val="42CB6BCE"/>
    <w:rsid w:val="479E48B1"/>
    <w:rsid w:val="47ED2E2F"/>
    <w:rsid w:val="4CC528E0"/>
    <w:rsid w:val="4DAF7E58"/>
    <w:rsid w:val="4ED13696"/>
    <w:rsid w:val="4F5B7FA5"/>
    <w:rsid w:val="4FBB1348"/>
    <w:rsid w:val="51404276"/>
    <w:rsid w:val="541859EC"/>
    <w:rsid w:val="55E9151D"/>
    <w:rsid w:val="5AD94C95"/>
    <w:rsid w:val="5F374A00"/>
    <w:rsid w:val="685F3791"/>
    <w:rsid w:val="68F73FA8"/>
    <w:rsid w:val="6A576E16"/>
    <w:rsid w:val="6BE802E5"/>
    <w:rsid w:val="6D38656D"/>
    <w:rsid w:val="6F6A50AE"/>
    <w:rsid w:val="727147ED"/>
    <w:rsid w:val="73CF0150"/>
    <w:rsid w:val="7449370C"/>
    <w:rsid w:val="7BDB7D4D"/>
    <w:rsid w:val="7C8E41ED"/>
    <w:rsid w:val="7CA67789"/>
    <w:rsid w:val="7D6A07B6"/>
    <w:rsid w:val="7F905E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9"/>
    <w:qFormat/>
    <w:uiPriority w:val="9"/>
    <w:pPr>
      <w:keepNext/>
      <w:keepLines/>
      <w:widowControl/>
      <w:adjustRightInd w:val="0"/>
      <w:snapToGrid w:val="0"/>
      <w:spacing w:line="360" w:lineRule="auto"/>
      <w:jc w:val="left"/>
      <w:outlineLvl w:val="0"/>
    </w:pPr>
    <w:rPr>
      <w:rFonts w:eastAsia="仿宋"/>
      <w:b/>
      <w:bCs/>
      <w:kern w:val="44"/>
      <w:sz w:val="24"/>
      <w:szCs w:val="44"/>
    </w:rPr>
  </w:style>
  <w:style w:type="paragraph" w:styleId="3">
    <w:name w:val="heading 3"/>
    <w:basedOn w:val="1"/>
    <w:next w:val="1"/>
    <w:link w:val="13"/>
    <w:semiHidden/>
    <w:unhideWhenUsed/>
    <w:qFormat/>
    <w:uiPriority w:val="9"/>
    <w:pPr>
      <w:keepNext/>
      <w:keepLines/>
      <w:spacing w:before="260" w:after="260" w:line="416" w:lineRule="auto"/>
      <w:outlineLvl w:val="2"/>
    </w:pPr>
    <w:rPr>
      <w:b/>
      <w:bCs/>
      <w:sz w:val="32"/>
      <w:szCs w:val="32"/>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Title"/>
    <w:basedOn w:val="1"/>
    <w:next w:val="1"/>
    <w:link w:val="10"/>
    <w:qFormat/>
    <w:uiPriority w:val="0"/>
    <w:pPr>
      <w:spacing w:line="360" w:lineRule="auto"/>
      <w:jc w:val="center"/>
      <w:outlineLvl w:val="0"/>
    </w:pPr>
    <w:rPr>
      <w:rFonts w:eastAsia="仿宋" w:asciiTheme="majorHAnsi" w:hAnsiTheme="majorHAnsi" w:cstheme="majorBidi"/>
      <w:b/>
      <w:bCs/>
      <w:sz w:val="30"/>
      <w:szCs w:val="32"/>
    </w:rPr>
  </w:style>
  <w:style w:type="character" w:customStyle="1" w:styleId="9">
    <w:name w:val="标题 1 字符"/>
    <w:link w:val="2"/>
    <w:qFormat/>
    <w:uiPriority w:val="9"/>
    <w:rPr>
      <w:rFonts w:eastAsia="仿宋"/>
      <w:b/>
      <w:bCs/>
      <w:kern w:val="44"/>
      <w:sz w:val="24"/>
      <w:szCs w:val="44"/>
    </w:rPr>
  </w:style>
  <w:style w:type="character" w:customStyle="1" w:styleId="10">
    <w:name w:val="标题 字符"/>
    <w:basedOn w:val="8"/>
    <w:link w:val="6"/>
    <w:qFormat/>
    <w:uiPriority w:val="0"/>
    <w:rPr>
      <w:rFonts w:eastAsia="仿宋" w:asciiTheme="majorHAnsi" w:hAnsiTheme="majorHAnsi" w:cstheme="majorBidi"/>
      <w:b/>
      <w:bCs/>
      <w:sz w:val="30"/>
      <w:szCs w:val="32"/>
    </w:rPr>
  </w:style>
  <w:style w:type="character" w:customStyle="1" w:styleId="11">
    <w:name w:val="页眉 字符"/>
    <w:basedOn w:val="8"/>
    <w:link w:val="5"/>
    <w:qFormat/>
    <w:uiPriority w:val="99"/>
    <w:rPr>
      <w:sz w:val="18"/>
      <w:szCs w:val="18"/>
    </w:rPr>
  </w:style>
  <w:style w:type="character" w:customStyle="1" w:styleId="12">
    <w:name w:val="页脚 字符"/>
    <w:basedOn w:val="8"/>
    <w:link w:val="4"/>
    <w:qFormat/>
    <w:uiPriority w:val="99"/>
    <w:rPr>
      <w:sz w:val="18"/>
      <w:szCs w:val="18"/>
    </w:rPr>
  </w:style>
  <w:style w:type="character" w:customStyle="1" w:styleId="13">
    <w:name w:val="标题 3 字符"/>
    <w:basedOn w:val="8"/>
    <w:link w:val="3"/>
    <w:semiHidden/>
    <w:qFormat/>
    <w:uiPriority w:val="9"/>
    <w:rPr>
      <w:b/>
      <w:bCs/>
      <w:sz w:val="32"/>
      <w:szCs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751</Words>
  <Characters>793</Characters>
  <Lines>5</Lines>
  <Paragraphs>1</Paragraphs>
  <TotalTime>1</TotalTime>
  <ScaleCrop>false</ScaleCrop>
  <LinksUpToDate>false</LinksUpToDate>
  <CharactersWithSpaces>799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2023-09-12T06:35:00Z</dcterms:created>
  <dc:creator>Kel Yu</dc:creator>
  <cp:lastModifiedBy>张涛</cp:lastModifiedBy>
  <dcterms:modified xsi:type="dcterms:W3CDTF">2026-10-30T01:06:00Z</dcterms:modified>
  <cp:revision>132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eyJoZGlkIjoiMDljYzUzMWQ4OWI0YzBkYjYzMDRhZTY5ZjZkYmFmYTgiLCJ1c2VySWQiOiIxMDU0NTYwOTY2In0=</vt:lpwstr>
  </property>
  <property fmtid="{D5CDD505-2E9C-101B-9397-08002B2CF9AE}" pid="3" name="KSOProductBuildVer">
    <vt:lpwstr>2052-12.1.0.28505</vt:lpwstr>
  </property>
  <property fmtid="{D5CDD505-2E9C-101B-9397-08002B2CF9AE}" pid="4" name="ICV">
    <vt:lpwstr>E5BBF571850A412089D00996564B7ECD_12</vt:lpwstr>
  </property>
</Properties>
</file>