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605F" w14:textId="77777777" w:rsidR="001A587A" w:rsidRPr="001E14B8" w:rsidRDefault="001A587A" w:rsidP="001A587A">
      <w:pPr>
        <w:widowControl/>
        <w:spacing w:before="120" w:after="120"/>
        <w:jc w:val="center"/>
        <w:rPr>
          <w:rFonts w:ascii="黑体" w:eastAsia="黑体" w:hAnsi="黑体" w:cs="Arial"/>
          <w:sz w:val="36"/>
          <w:szCs w:val="36"/>
        </w:rPr>
      </w:pPr>
      <w:r w:rsidRPr="001E14B8">
        <w:rPr>
          <w:rFonts w:ascii="黑体" w:eastAsia="黑体" w:hAnsi="黑体" w:cs="方正小标宋简体" w:hint="eastAsia"/>
          <w:kern w:val="0"/>
          <w:sz w:val="36"/>
          <w:szCs w:val="36"/>
          <w:lang w:val="en-GB" w:bidi="ar"/>
        </w:rPr>
        <w:t>经营者集中简易案件公示表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14"/>
        <w:gridCol w:w="1799"/>
        <w:gridCol w:w="4783"/>
      </w:tblGrid>
      <w:tr w:rsidR="004C530D" w:rsidRPr="004C530D" w14:paraId="137944BD" w14:textId="77777777" w:rsidTr="54702E23">
        <w:trPr>
          <w:trHeight w:val="458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6EC62" w14:textId="77777777" w:rsidR="004C530D" w:rsidRPr="004C530D" w:rsidRDefault="004C530D" w:rsidP="004C530D">
            <w:pPr>
              <w:rPr>
                <w:rFonts w:cs="Arial"/>
                <w:b/>
                <w:sz w:val="24"/>
                <w:lang w:eastAsia="en-GB"/>
              </w:rPr>
            </w:pPr>
            <w:r w:rsidRPr="004C530D">
              <w:rPr>
                <w:rFonts w:cs="Arial" w:hint="eastAsia"/>
                <w:bCs/>
                <w:sz w:val="24"/>
                <w:szCs w:val="28"/>
              </w:rPr>
              <w:t>案件名称</w:t>
            </w: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73A6C" w14:textId="6DD6E847" w:rsidR="004C530D" w:rsidRPr="00091A81" w:rsidRDefault="004C530D" w:rsidP="004C530D">
            <w:pPr>
              <w:widowControl/>
              <w:tabs>
                <w:tab w:val="left" w:pos="720"/>
              </w:tabs>
              <w:rPr>
                <w:sz w:val="24"/>
                <w:lang w:eastAsia="en-US"/>
              </w:rPr>
            </w:pPr>
            <w:r w:rsidRPr="00091A81">
              <w:rPr>
                <w:kern w:val="0"/>
                <w:sz w:val="24"/>
                <w:lang w:eastAsia="en-GB"/>
              </w:rPr>
              <w:t>FCWB LLC</w:t>
            </w:r>
            <w:r w:rsidRPr="00091A81">
              <w:rPr>
                <w:kern w:val="0"/>
                <w:sz w:val="24"/>
                <w:lang w:eastAsia="en-GB"/>
              </w:rPr>
              <w:t>与</w:t>
            </w:r>
            <w:r w:rsidR="00344A9B" w:rsidRPr="00091A81">
              <w:rPr>
                <w:kern w:val="0"/>
                <w:sz w:val="24"/>
                <w:lang w:eastAsia="en-GB"/>
              </w:rPr>
              <w:t>AIC Parent, Inc.</w:t>
            </w:r>
            <w:proofErr w:type="spellStart"/>
            <w:r w:rsidRPr="00091A81">
              <w:rPr>
                <w:kern w:val="0"/>
                <w:sz w:val="24"/>
                <w:lang w:eastAsia="en-GB"/>
              </w:rPr>
              <w:t>等经营者收购</w:t>
            </w:r>
            <w:r w:rsidRPr="00091A81">
              <w:rPr>
                <w:kern w:val="0"/>
                <w:sz w:val="24"/>
                <w:lang w:eastAsia="en-GB"/>
              </w:rPr>
              <w:t>InPost</w:t>
            </w:r>
            <w:proofErr w:type="spellEnd"/>
            <w:r w:rsidRPr="00091A81">
              <w:rPr>
                <w:kern w:val="0"/>
                <w:sz w:val="24"/>
                <w:lang w:eastAsia="en-GB"/>
              </w:rPr>
              <w:t>, S.A.</w:t>
            </w:r>
            <w:proofErr w:type="spellStart"/>
            <w:r w:rsidRPr="00091A81">
              <w:rPr>
                <w:kern w:val="0"/>
                <w:sz w:val="24"/>
                <w:lang w:eastAsia="en-GB"/>
              </w:rPr>
              <w:t>股权案</w:t>
            </w:r>
            <w:proofErr w:type="spellEnd"/>
          </w:p>
        </w:tc>
      </w:tr>
      <w:tr w:rsidR="004C530D" w:rsidRPr="004C530D" w14:paraId="215F359A" w14:textId="77777777" w:rsidTr="54702E23">
        <w:trPr>
          <w:trHeight w:val="359"/>
        </w:trPr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EB1BF" w14:textId="77777777" w:rsidR="004C530D" w:rsidRPr="004C530D" w:rsidRDefault="004C530D" w:rsidP="004C530D">
            <w:pPr>
              <w:rPr>
                <w:rFonts w:cs="Arial"/>
                <w:b/>
                <w:sz w:val="24"/>
                <w:lang w:eastAsia="en-GB"/>
              </w:rPr>
            </w:pPr>
            <w:r w:rsidRPr="004C530D">
              <w:rPr>
                <w:rFonts w:cs="Arial" w:hint="eastAsia"/>
                <w:bCs/>
                <w:sz w:val="24"/>
                <w:szCs w:val="28"/>
              </w:rPr>
              <w:t>交易概况（限</w:t>
            </w:r>
            <w:r w:rsidRPr="004C530D">
              <w:rPr>
                <w:rFonts w:cs="Arial"/>
                <w:bCs/>
                <w:sz w:val="24"/>
                <w:szCs w:val="28"/>
              </w:rPr>
              <w:t>200</w:t>
            </w:r>
            <w:r w:rsidRPr="004C530D">
              <w:rPr>
                <w:rFonts w:cs="Arial" w:hint="eastAsia"/>
                <w:bCs/>
                <w:sz w:val="24"/>
                <w:szCs w:val="28"/>
              </w:rPr>
              <w:t>字内）</w:t>
            </w: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5B0E0" w14:textId="6AFDF051" w:rsidR="004C530D" w:rsidRPr="00091A81" w:rsidRDefault="004C530D" w:rsidP="004C530D">
            <w:pPr>
              <w:rPr>
                <w:sz w:val="24"/>
              </w:rPr>
            </w:pPr>
            <w:r w:rsidRPr="00091A81">
              <w:rPr>
                <w:kern w:val="0"/>
                <w:sz w:val="24"/>
              </w:rPr>
              <w:t>本次交易由</w:t>
            </w:r>
            <w:r w:rsidRPr="00091A81">
              <w:rPr>
                <w:kern w:val="0"/>
                <w:sz w:val="24"/>
              </w:rPr>
              <w:t>FCWB LLC</w:t>
            </w:r>
            <w:r w:rsidRPr="00091A81">
              <w:rPr>
                <w:kern w:val="0"/>
                <w:sz w:val="24"/>
              </w:rPr>
              <w:t>（</w:t>
            </w:r>
            <w:r w:rsidRPr="00091A81">
              <w:rPr>
                <w:kern w:val="0"/>
                <w:sz w:val="24"/>
              </w:rPr>
              <w:t>“</w:t>
            </w:r>
            <w:r w:rsidRPr="00091A81">
              <w:rPr>
                <w:b/>
                <w:bCs/>
                <w:kern w:val="0"/>
                <w:sz w:val="24"/>
              </w:rPr>
              <w:t>FCWB</w:t>
            </w:r>
            <w:r w:rsidRPr="00091A81">
              <w:rPr>
                <w:kern w:val="0"/>
                <w:sz w:val="24"/>
              </w:rPr>
              <w:t>”</w:t>
            </w:r>
            <w:r w:rsidRPr="00091A81">
              <w:rPr>
                <w:kern w:val="0"/>
                <w:sz w:val="24"/>
              </w:rPr>
              <w:t>）、</w:t>
            </w:r>
            <w:r w:rsidRPr="00091A81">
              <w:rPr>
                <w:kern w:val="0"/>
                <w:sz w:val="24"/>
              </w:rPr>
              <w:t xml:space="preserve">AIC </w:t>
            </w:r>
            <w:r w:rsidRPr="00091A81">
              <w:rPr>
                <w:bCs/>
                <w:kern w:val="0"/>
                <w:sz w:val="24"/>
              </w:rPr>
              <w:t>Parent, Inc.</w:t>
            </w:r>
            <w:r w:rsidRPr="00091A81">
              <w:rPr>
                <w:kern w:val="0"/>
                <w:sz w:val="24"/>
              </w:rPr>
              <w:t>（</w:t>
            </w:r>
            <w:r w:rsidRPr="00091A81">
              <w:rPr>
                <w:kern w:val="0"/>
                <w:sz w:val="24"/>
              </w:rPr>
              <w:t>“</w:t>
            </w:r>
            <w:r w:rsidRPr="00091A81">
              <w:rPr>
                <w:b/>
                <w:bCs/>
                <w:kern w:val="0"/>
                <w:sz w:val="24"/>
              </w:rPr>
              <w:t>AIC</w:t>
            </w:r>
            <w:r w:rsidRPr="00091A81">
              <w:rPr>
                <w:kern w:val="0"/>
                <w:sz w:val="24"/>
              </w:rPr>
              <w:t>”</w:t>
            </w:r>
            <w:r w:rsidRPr="00091A81">
              <w:rPr>
                <w:kern w:val="0"/>
                <w:sz w:val="24"/>
              </w:rPr>
              <w:t>）、</w:t>
            </w:r>
            <w:r w:rsidRPr="00091A81">
              <w:rPr>
                <w:bCs/>
                <w:kern w:val="0"/>
                <w:sz w:val="24"/>
              </w:rPr>
              <w:t>A&amp;R Investments Limited</w:t>
            </w:r>
            <w:r w:rsidRPr="00091A81">
              <w:rPr>
                <w:kern w:val="0"/>
                <w:sz w:val="24"/>
              </w:rPr>
              <w:t>（</w:t>
            </w:r>
            <w:r w:rsidRPr="00091A81">
              <w:rPr>
                <w:kern w:val="0"/>
                <w:sz w:val="24"/>
              </w:rPr>
              <w:t>“</w:t>
            </w:r>
            <w:r w:rsidRPr="00091A81">
              <w:rPr>
                <w:b/>
                <w:bCs/>
                <w:kern w:val="0"/>
                <w:sz w:val="24"/>
              </w:rPr>
              <w:t>A&amp;R</w:t>
            </w:r>
            <w:r w:rsidRPr="00091A81">
              <w:rPr>
                <w:kern w:val="0"/>
                <w:sz w:val="24"/>
              </w:rPr>
              <w:t>”</w:t>
            </w:r>
            <w:r w:rsidRPr="00091A81">
              <w:rPr>
                <w:kern w:val="0"/>
                <w:sz w:val="24"/>
              </w:rPr>
              <w:t>）及</w:t>
            </w:r>
            <w:r w:rsidRPr="00091A81">
              <w:rPr>
                <w:kern w:val="0"/>
                <w:sz w:val="24"/>
              </w:rPr>
              <w:t>PPF Group N.V.</w:t>
            </w:r>
            <w:r w:rsidRPr="00091A81">
              <w:rPr>
                <w:kern w:val="0"/>
                <w:sz w:val="24"/>
              </w:rPr>
              <w:t>组建收购主体，以经推荐的公开要约方式收购</w:t>
            </w:r>
            <w:proofErr w:type="spellStart"/>
            <w:r w:rsidRPr="00091A81">
              <w:rPr>
                <w:bCs/>
                <w:kern w:val="0"/>
                <w:sz w:val="24"/>
              </w:rPr>
              <w:t>InPost</w:t>
            </w:r>
            <w:proofErr w:type="spellEnd"/>
            <w:r w:rsidRPr="00091A81">
              <w:rPr>
                <w:bCs/>
                <w:kern w:val="0"/>
                <w:sz w:val="24"/>
              </w:rPr>
              <w:t>, S.A.</w:t>
            </w:r>
            <w:r w:rsidRPr="00091A81">
              <w:rPr>
                <w:kern w:val="0"/>
                <w:sz w:val="24"/>
              </w:rPr>
              <w:t>（</w:t>
            </w:r>
            <w:r w:rsidRPr="00091A81">
              <w:rPr>
                <w:kern w:val="0"/>
                <w:sz w:val="24"/>
              </w:rPr>
              <w:t>“</w:t>
            </w:r>
            <w:proofErr w:type="spellStart"/>
            <w:r w:rsidRPr="00091A81">
              <w:rPr>
                <w:b/>
                <w:bCs/>
                <w:kern w:val="0"/>
                <w:sz w:val="24"/>
              </w:rPr>
              <w:t>InPost</w:t>
            </w:r>
            <w:proofErr w:type="spellEnd"/>
            <w:r w:rsidRPr="00091A81">
              <w:rPr>
                <w:kern w:val="0"/>
                <w:sz w:val="24"/>
              </w:rPr>
              <w:t>”</w:t>
            </w:r>
            <w:r w:rsidRPr="00091A81">
              <w:rPr>
                <w:kern w:val="0"/>
                <w:sz w:val="24"/>
              </w:rPr>
              <w:t>）全部已发行流通股。</w:t>
            </w:r>
            <w:proofErr w:type="spellStart"/>
            <w:r w:rsidR="00B0235F" w:rsidRPr="00091A81">
              <w:rPr>
                <w:kern w:val="0"/>
                <w:sz w:val="24"/>
              </w:rPr>
              <w:t>InPost</w:t>
            </w:r>
            <w:proofErr w:type="spellEnd"/>
            <w:r w:rsidR="00B0235F" w:rsidRPr="00091A81">
              <w:rPr>
                <w:kern w:val="0"/>
                <w:sz w:val="24"/>
              </w:rPr>
              <w:t>主要在波兰、卢森堡等欧洲国家提供小件包裹快递服务</w:t>
            </w:r>
            <w:r w:rsidR="00B0235F">
              <w:rPr>
                <w:rFonts w:hint="eastAsia"/>
                <w:kern w:val="0"/>
                <w:sz w:val="24"/>
              </w:rPr>
              <w:t>。</w:t>
            </w:r>
            <w:r w:rsidRPr="00091A81">
              <w:rPr>
                <w:kern w:val="0"/>
                <w:sz w:val="24"/>
              </w:rPr>
              <w:t>本次交易前，</w:t>
            </w:r>
            <w:proofErr w:type="spellStart"/>
            <w:r w:rsidRPr="00091A81">
              <w:rPr>
                <w:kern w:val="0"/>
                <w:sz w:val="24"/>
              </w:rPr>
              <w:t>InPost</w:t>
            </w:r>
            <w:proofErr w:type="spellEnd"/>
            <w:r w:rsidRPr="00091A81">
              <w:rPr>
                <w:kern w:val="0"/>
                <w:sz w:val="24"/>
              </w:rPr>
              <w:t>是一家没有最终控制人的上市公司</w:t>
            </w:r>
            <w:r w:rsidR="003454B2">
              <w:rPr>
                <w:rFonts w:hint="eastAsia"/>
                <w:kern w:val="0"/>
                <w:sz w:val="24"/>
              </w:rPr>
              <w:t>；</w:t>
            </w:r>
            <w:r w:rsidRPr="00091A81">
              <w:rPr>
                <w:kern w:val="0"/>
                <w:sz w:val="24"/>
              </w:rPr>
              <w:t>本次交易后，</w:t>
            </w:r>
            <w:r w:rsidRPr="00091A81">
              <w:rPr>
                <w:bCs/>
                <w:kern w:val="0"/>
                <w:sz w:val="24"/>
              </w:rPr>
              <w:t>FCWB</w:t>
            </w:r>
            <w:r w:rsidRPr="00091A81">
              <w:rPr>
                <w:bCs/>
                <w:kern w:val="0"/>
                <w:sz w:val="24"/>
              </w:rPr>
              <w:t>、</w:t>
            </w:r>
            <w:r w:rsidRPr="00091A81">
              <w:rPr>
                <w:bCs/>
                <w:kern w:val="0"/>
                <w:sz w:val="24"/>
              </w:rPr>
              <w:t>AIC</w:t>
            </w:r>
            <w:r w:rsidRPr="00091A81">
              <w:rPr>
                <w:bCs/>
                <w:kern w:val="0"/>
                <w:sz w:val="24"/>
              </w:rPr>
              <w:t>、</w:t>
            </w:r>
            <w:r w:rsidRPr="00091A81">
              <w:rPr>
                <w:bCs/>
                <w:kern w:val="0"/>
                <w:sz w:val="24"/>
              </w:rPr>
              <w:t>A&amp;R</w:t>
            </w:r>
            <w:r w:rsidRPr="00091A81">
              <w:rPr>
                <w:bCs/>
                <w:kern w:val="0"/>
                <w:sz w:val="24"/>
              </w:rPr>
              <w:t>及</w:t>
            </w:r>
            <w:r w:rsidRPr="00091A81">
              <w:rPr>
                <w:bCs/>
                <w:kern w:val="0"/>
                <w:sz w:val="24"/>
              </w:rPr>
              <w:t>PPF Group N.V.</w:t>
            </w:r>
            <w:r w:rsidRPr="00091A81">
              <w:rPr>
                <w:bCs/>
                <w:kern w:val="0"/>
                <w:sz w:val="24"/>
              </w:rPr>
              <w:t>将分别间接持有</w:t>
            </w:r>
            <w:proofErr w:type="spellStart"/>
            <w:r w:rsidRPr="00091A81">
              <w:rPr>
                <w:bCs/>
                <w:kern w:val="0"/>
                <w:sz w:val="24"/>
              </w:rPr>
              <w:t>InPost</w:t>
            </w:r>
            <w:proofErr w:type="spellEnd"/>
            <w:r w:rsidRPr="00091A81">
              <w:rPr>
                <w:bCs/>
                <w:kern w:val="0"/>
                <w:sz w:val="24"/>
              </w:rPr>
              <w:t xml:space="preserve"> 37%</w:t>
            </w:r>
            <w:r w:rsidRPr="00091A81">
              <w:rPr>
                <w:bCs/>
                <w:kern w:val="0"/>
                <w:sz w:val="24"/>
              </w:rPr>
              <w:t>、</w:t>
            </w:r>
            <w:r w:rsidRPr="00091A81">
              <w:rPr>
                <w:bCs/>
                <w:kern w:val="0"/>
                <w:sz w:val="24"/>
              </w:rPr>
              <w:t>37%</w:t>
            </w:r>
            <w:r w:rsidRPr="00091A81">
              <w:rPr>
                <w:bCs/>
                <w:kern w:val="0"/>
                <w:sz w:val="24"/>
              </w:rPr>
              <w:t>、</w:t>
            </w:r>
            <w:r w:rsidRPr="00091A81">
              <w:rPr>
                <w:bCs/>
                <w:kern w:val="0"/>
                <w:sz w:val="24"/>
              </w:rPr>
              <w:t>16%</w:t>
            </w:r>
            <w:r w:rsidRPr="00091A81">
              <w:rPr>
                <w:bCs/>
                <w:kern w:val="0"/>
                <w:sz w:val="24"/>
              </w:rPr>
              <w:t>和</w:t>
            </w:r>
            <w:r w:rsidRPr="00091A81">
              <w:rPr>
                <w:bCs/>
                <w:kern w:val="0"/>
                <w:sz w:val="24"/>
              </w:rPr>
              <w:t>10%</w:t>
            </w:r>
            <w:r w:rsidRPr="00091A81">
              <w:rPr>
                <w:bCs/>
                <w:kern w:val="0"/>
                <w:sz w:val="24"/>
              </w:rPr>
              <w:t>的股份，</w:t>
            </w:r>
            <w:proofErr w:type="spellStart"/>
            <w:r w:rsidRPr="00091A81">
              <w:rPr>
                <w:bCs/>
                <w:kern w:val="0"/>
                <w:sz w:val="24"/>
              </w:rPr>
              <w:t>InPost</w:t>
            </w:r>
            <w:proofErr w:type="spellEnd"/>
            <w:r w:rsidRPr="00091A81">
              <w:rPr>
                <w:bCs/>
                <w:kern w:val="0"/>
                <w:sz w:val="24"/>
              </w:rPr>
              <w:t>将由</w:t>
            </w:r>
            <w:r w:rsidRPr="00091A81">
              <w:rPr>
                <w:bCs/>
                <w:kern w:val="0"/>
                <w:sz w:val="24"/>
              </w:rPr>
              <w:t>FCWB</w:t>
            </w:r>
            <w:r w:rsidRPr="00091A81">
              <w:rPr>
                <w:bCs/>
                <w:kern w:val="0"/>
                <w:sz w:val="24"/>
              </w:rPr>
              <w:t>、</w:t>
            </w:r>
            <w:r w:rsidRPr="00091A81">
              <w:rPr>
                <w:bCs/>
                <w:kern w:val="0"/>
                <w:sz w:val="24"/>
              </w:rPr>
              <w:t>AIC</w:t>
            </w:r>
            <w:r w:rsidRPr="00091A81">
              <w:rPr>
                <w:bCs/>
                <w:kern w:val="0"/>
                <w:sz w:val="24"/>
              </w:rPr>
              <w:t>和</w:t>
            </w:r>
            <w:r w:rsidRPr="00091A81">
              <w:rPr>
                <w:bCs/>
                <w:kern w:val="0"/>
                <w:sz w:val="24"/>
              </w:rPr>
              <w:t>A&amp;R</w:t>
            </w:r>
            <w:r w:rsidRPr="00091A81">
              <w:rPr>
                <w:bCs/>
                <w:kern w:val="0"/>
                <w:sz w:val="24"/>
              </w:rPr>
              <w:t>共同控制。</w:t>
            </w:r>
          </w:p>
        </w:tc>
      </w:tr>
      <w:tr w:rsidR="004C530D" w:rsidRPr="004C530D" w14:paraId="477A97E4" w14:textId="77777777" w:rsidTr="54702E23">
        <w:trPr>
          <w:trHeight w:val="468"/>
        </w:trPr>
        <w:tc>
          <w:tcPr>
            <w:tcW w:w="103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81F93" w14:textId="77777777" w:rsidR="004C530D" w:rsidRPr="004C530D" w:rsidRDefault="004C530D" w:rsidP="004C530D">
            <w:pPr>
              <w:rPr>
                <w:rFonts w:cs="Arial"/>
                <w:b/>
                <w:sz w:val="24"/>
              </w:rPr>
            </w:pPr>
            <w:r w:rsidRPr="004C530D">
              <w:rPr>
                <w:rFonts w:cs="Arial" w:hint="eastAsia"/>
                <w:bCs/>
                <w:sz w:val="24"/>
                <w:szCs w:val="28"/>
              </w:rPr>
              <w:t>参与集中的经营者简介（每个限</w:t>
            </w:r>
            <w:r w:rsidRPr="004C530D">
              <w:rPr>
                <w:rFonts w:cs="Arial"/>
                <w:bCs/>
                <w:sz w:val="24"/>
                <w:szCs w:val="28"/>
              </w:rPr>
              <w:t>100</w:t>
            </w:r>
            <w:r w:rsidRPr="004C530D">
              <w:rPr>
                <w:rFonts w:cs="Arial" w:hint="eastAsia"/>
                <w:bCs/>
                <w:sz w:val="24"/>
                <w:szCs w:val="28"/>
              </w:rPr>
              <w:t>字内）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20F2" w14:textId="77777777" w:rsidR="004C530D" w:rsidRPr="00091A81" w:rsidRDefault="004C530D" w:rsidP="004C530D">
            <w:pPr>
              <w:widowControl/>
              <w:numPr>
                <w:ilvl w:val="0"/>
                <w:numId w:val="6"/>
              </w:numPr>
              <w:adjustRightInd w:val="0"/>
              <w:jc w:val="left"/>
              <w:rPr>
                <w:sz w:val="24"/>
              </w:rPr>
            </w:pPr>
            <w:r w:rsidRPr="00091A81">
              <w:rPr>
                <w:bCs/>
                <w:kern w:val="0"/>
                <w:sz w:val="24"/>
              </w:rPr>
              <w:t>FCWB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CB5E3" w14:textId="54527612" w:rsidR="004C530D" w:rsidRPr="00091A81" w:rsidRDefault="004C530D" w:rsidP="0AAFE6E7">
            <w:pPr>
              <w:tabs>
                <w:tab w:val="left" w:pos="720"/>
              </w:tabs>
              <w:rPr>
                <w:sz w:val="24"/>
                <w:highlight w:val="lightGray"/>
              </w:rPr>
            </w:pPr>
            <w:r w:rsidRPr="00091A81">
              <w:rPr>
                <w:kern w:val="0"/>
                <w:sz w:val="24"/>
              </w:rPr>
              <w:t>FCWB</w:t>
            </w:r>
            <w:r w:rsidRPr="00091A81">
              <w:rPr>
                <w:sz w:val="24"/>
              </w:rPr>
              <w:t>于</w:t>
            </w:r>
            <w:r w:rsidRPr="00091A81">
              <w:rPr>
                <w:sz w:val="24"/>
              </w:rPr>
              <w:t>2026</w:t>
            </w:r>
            <w:r w:rsidRPr="00091A81">
              <w:rPr>
                <w:sz w:val="24"/>
              </w:rPr>
              <w:t>年</w:t>
            </w:r>
            <w:r w:rsidRPr="00091A81">
              <w:rPr>
                <w:sz w:val="24"/>
              </w:rPr>
              <w:t>1</w:t>
            </w:r>
            <w:r w:rsidRPr="00091A81">
              <w:rPr>
                <w:sz w:val="24"/>
              </w:rPr>
              <w:t>月</w:t>
            </w:r>
            <w:r w:rsidRPr="00091A81">
              <w:rPr>
                <w:sz w:val="24"/>
              </w:rPr>
              <w:t>30</w:t>
            </w:r>
            <w:r w:rsidRPr="00091A81">
              <w:rPr>
                <w:sz w:val="24"/>
              </w:rPr>
              <w:t>日成立于美国。</w:t>
            </w:r>
            <w:r w:rsidRPr="00091A81">
              <w:rPr>
                <w:kern w:val="0"/>
                <w:sz w:val="24"/>
              </w:rPr>
              <w:t>FCWB</w:t>
            </w:r>
            <w:r w:rsidRPr="00091A81">
              <w:rPr>
                <w:sz w:val="24"/>
              </w:rPr>
              <w:t>主要</w:t>
            </w:r>
            <w:r w:rsidR="000650F1" w:rsidRPr="00091A81">
              <w:rPr>
                <w:sz w:val="24"/>
              </w:rPr>
              <w:t>业务</w:t>
            </w:r>
            <w:r w:rsidRPr="00091A81">
              <w:rPr>
                <w:sz w:val="24"/>
              </w:rPr>
              <w:t>为</w:t>
            </w:r>
            <w:r w:rsidR="2E36B082" w:rsidRPr="00091A81">
              <w:rPr>
                <w:sz w:val="24"/>
              </w:rPr>
              <w:t>持有股份</w:t>
            </w:r>
            <w:r w:rsidRPr="00091A81">
              <w:rPr>
                <w:sz w:val="24"/>
              </w:rPr>
              <w:t>。</w:t>
            </w:r>
          </w:p>
          <w:p w14:paraId="67DA945D" w14:textId="77777777" w:rsidR="004C530D" w:rsidRPr="00091A81" w:rsidRDefault="004C530D" w:rsidP="004C530D">
            <w:pPr>
              <w:widowControl/>
              <w:tabs>
                <w:tab w:val="left" w:pos="720"/>
              </w:tabs>
              <w:rPr>
                <w:kern w:val="0"/>
                <w:sz w:val="24"/>
                <w:highlight w:val="lightGray"/>
              </w:rPr>
            </w:pPr>
            <w:r w:rsidRPr="00091A81">
              <w:rPr>
                <w:bCs/>
                <w:kern w:val="0"/>
                <w:sz w:val="24"/>
              </w:rPr>
              <w:t>FCWB</w:t>
            </w:r>
            <w:r w:rsidRPr="00091A81">
              <w:rPr>
                <w:sz w:val="24"/>
              </w:rPr>
              <w:t>的最终控制人为联邦快递公司（</w:t>
            </w:r>
            <w:r w:rsidRPr="00091A81">
              <w:rPr>
                <w:sz w:val="24"/>
              </w:rPr>
              <w:t>FedEx Corporation</w:t>
            </w:r>
            <w:r w:rsidRPr="00091A81">
              <w:rPr>
                <w:sz w:val="24"/>
              </w:rPr>
              <w:t>，</w:t>
            </w:r>
            <w:r w:rsidRPr="00091A81">
              <w:rPr>
                <w:sz w:val="24"/>
              </w:rPr>
              <w:t>“</w:t>
            </w:r>
            <w:r w:rsidRPr="00091A81">
              <w:rPr>
                <w:b/>
                <w:bCs/>
                <w:sz w:val="24"/>
              </w:rPr>
              <w:t>联邦快递</w:t>
            </w:r>
            <w:r w:rsidRPr="00091A81">
              <w:rPr>
                <w:sz w:val="24"/>
              </w:rPr>
              <w:t>”</w:t>
            </w:r>
            <w:r w:rsidRPr="00091A81">
              <w:rPr>
                <w:sz w:val="24"/>
              </w:rPr>
              <w:t>）。联邦快递为全球客户和企业提供广泛的运输、电子商务及商务服务，依托其全球网络提供综合业务解决方案。</w:t>
            </w:r>
          </w:p>
        </w:tc>
      </w:tr>
      <w:tr w:rsidR="004C530D" w:rsidRPr="004C530D" w14:paraId="2C17B208" w14:textId="77777777" w:rsidTr="54702E23">
        <w:trPr>
          <w:trHeight w:val="468"/>
        </w:trPr>
        <w:tc>
          <w:tcPr>
            <w:tcW w:w="1033" w:type="pct"/>
            <w:vMerge/>
            <w:vAlign w:val="center"/>
          </w:tcPr>
          <w:p w14:paraId="4521D314" w14:textId="77777777" w:rsidR="004C530D" w:rsidRPr="004C530D" w:rsidRDefault="004C530D" w:rsidP="004C530D">
            <w:pPr>
              <w:rPr>
                <w:rFonts w:cs="Arial"/>
                <w:bCs/>
                <w:sz w:val="24"/>
                <w:szCs w:val="28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8A85" w14:textId="77777777" w:rsidR="004C530D" w:rsidRPr="00091A81" w:rsidRDefault="004C530D" w:rsidP="004C530D">
            <w:pPr>
              <w:widowControl/>
              <w:numPr>
                <w:ilvl w:val="0"/>
                <w:numId w:val="6"/>
              </w:numPr>
              <w:adjustRightInd w:val="0"/>
              <w:jc w:val="left"/>
              <w:rPr>
                <w:sz w:val="24"/>
              </w:rPr>
            </w:pPr>
            <w:r w:rsidRPr="00091A81">
              <w:rPr>
                <w:bCs/>
                <w:kern w:val="0"/>
                <w:sz w:val="24"/>
              </w:rPr>
              <w:t>AIC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DEB80" w14:textId="4B4A72A2" w:rsidR="004C530D" w:rsidRPr="00091A81" w:rsidRDefault="004C530D" w:rsidP="004C530D">
            <w:pPr>
              <w:tabs>
                <w:tab w:val="left" w:pos="720"/>
              </w:tabs>
              <w:rPr>
                <w:sz w:val="24"/>
              </w:rPr>
            </w:pPr>
            <w:r w:rsidRPr="00091A81">
              <w:rPr>
                <w:sz w:val="24"/>
              </w:rPr>
              <w:t>AIC</w:t>
            </w:r>
            <w:r w:rsidRPr="00091A81">
              <w:rPr>
                <w:sz w:val="24"/>
              </w:rPr>
              <w:t>于</w:t>
            </w:r>
            <w:r w:rsidRPr="00091A81">
              <w:rPr>
                <w:sz w:val="24"/>
              </w:rPr>
              <w:t>2022</w:t>
            </w:r>
            <w:r w:rsidRPr="00091A81">
              <w:rPr>
                <w:sz w:val="24"/>
              </w:rPr>
              <w:t>年</w:t>
            </w:r>
            <w:r w:rsidRPr="00091A81">
              <w:rPr>
                <w:sz w:val="24"/>
              </w:rPr>
              <w:t>5</w:t>
            </w:r>
            <w:r w:rsidRPr="00091A81">
              <w:rPr>
                <w:sz w:val="24"/>
              </w:rPr>
              <w:t>月</w:t>
            </w:r>
            <w:r w:rsidRPr="00091A81">
              <w:rPr>
                <w:sz w:val="24"/>
              </w:rPr>
              <w:t>19</w:t>
            </w:r>
            <w:r w:rsidRPr="00091A81">
              <w:rPr>
                <w:sz w:val="24"/>
              </w:rPr>
              <w:t>日成立于美国。</w:t>
            </w:r>
            <w:r w:rsidRPr="00091A81">
              <w:rPr>
                <w:sz w:val="24"/>
              </w:rPr>
              <w:t>AIC</w:t>
            </w:r>
            <w:r w:rsidRPr="00091A81">
              <w:rPr>
                <w:sz w:val="24"/>
              </w:rPr>
              <w:t>是</w:t>
            </w:r>
            <w:r w:rsidRPr="00091A81">
              <w:rPr>
                <w:sz w:val="24"/>
              </w:rPr>
              <w:t>Advent International, L.P.</w:t>
            </w:r>
            <w:r w:rsidRPr="00091A81">
              <w:rPr>
                <w:sz w:val="24"/>
              </w:rPr>
              <w:t>（</w:t>
            </w:r>
            <w:r w:rsidRPr="00091A81">
              <w:rPr>
                <w:sz w:val="24"/>
              </w:rPr>
              <w:t>“</w:t>
            </w:r>
            <w:r w:rsidRPr="00091A81">
              <w:rPr>
                <w:b/>
                <w:bCs/>
                <w:sz w:val="24"/>
              </w:rPr>
              <w:t>安宏资本</w:t>
            </w:r>
            <w:r w:rsidRPr="00091A81">
              <w:rPr>
                <w:sz w:val="24"/>
              </w:rPr>
              <w:t>”</w:t>
            </w:r>
            <w:r w:rsidRPr="00091A81">
              <w:rPr>
                <w:sz w:val="24"/>
              </w:rPr>
              <w:t>）</w:t>
            </w:r>
            <w:r w:rsidR="000650F1" w:rsidRPr="00091A81">
              <w:rPr>
                <w:sz w:val="24"/>
              </w:rPr>
              <w:t>的最终控股公司</w:t>
            </w:r>
            <w:r w:rsidRPr="00091A81">
              <w:rPr>
                <w:sz w:val="24"/>
              </w:rPr>
              <w:t>。安宏资本</w:t>
            </w:r>
            <w:r w:rsidR="5D51DA8F" w:rsidRPr="00091A81">
              <w:rPr>
                <w:sz w:val="24"/>
              </w:rPr>
              <w:t>主要从事</w:t>
            </w:r>
            <w:r w:rsidRPr="00091A81">
              <w:rPr>
                <w:sz w:val="24"/>
              </w:rPr>
              <w:t>股权</w:t>
            </w:r>
            <w:r w:rsidR="0E5F6D62" w:rsidRPr="00091A81">
              <w:rPr>
                <w:sz w:val="24"/>
              </w:rPr>
              <w:t>收购</w:t>
            </w:r>
            <w:r w:rsidRPr="00091A81">
              <w:rPr>
                <w:sz w:val="24"/>
              </w:rPr>
              <w:t>和投资基金</w:t>
            </w:r>
            <w:r w:rsidR="7AB76E28" w:rsidRPr="00091A81">
              <w:rPr>
                <w:sz w:val="24"/>
              </w:rPr>
              <w:t>管理</w:t>
            </w:r>
            <w:r w:rsidR="00FF7D91" w:rsidRPr="00B24876">
              <w:rPr>
                <w:rFonts w:hint="eastAsia"/>
                <w:sz w:val="24"/>
              </w:rPr>
              <w:t>业务</w:t>
            </w:r>
            <w:r w:rsidR="00FF7D91">
              <w:rPr>
                <w:rFonts w:hint="eastAsia"/>
                <w:sz w:val="24"/>
              </w:rPr>
              <w:t>，</w:t>
            </w:r>
            <w:r w:rsidR="00FF7D91" w:rsidRPr="00B24876">
              <w:rPr>
                <w:rFonts w:hint="eastAsia"/>
                <w:sz w:val="24"/>
              </w:rPr>
              <w:t>涵盖全球多个行业，包括医疗保健、工业、技术、消费品，以及商业和金融服务等</w:t>
            </w:r>
            <w:r w:rsidRPr="00091A81">
              <w:rPr>
                <w:sz w:val="24"/>
              </w:rPr>
              <w:t>。</w:t>
            </w:r>
          </w:p>
          <w:p w14:paraId="2B4C6050" w14:textId="1864CEE1" w:rsidR="004C530D" w:rsidRPr="00091A81" w:rsidRDefault="004C530D" w:rsidP="004C530D">
            <w:pPr>
              <w:tabs>
                <w:tab w:val="left" w:pos="720"/>
              </w:tabs>
              <w:rPr>
                <w:sz w:val="24"/>
              </w:rPr>
            </w:pPr>
            <w:r w:rsidRPr="00091A81">
              <w:rPr>
                <w:sz w:val="24"/>
              </w:rPr>
              <w:t>AIC</w:t>
            </w:r>
            <w:r w:rsidRPr="00091A81">
              <w:rPr>
                <w:sz w:val="24"/>
              </w:rPr>
              <w:t>无最终控制人。</w:t>
            </w:r>
          </w:p>
        </w:tc>
      </w:tr>
      <w:tr w:rsidR="004C530D" w:rsidRPr="004C530D" w14:paraId="2FAFCFE3" w14:textId="77777777" w:rsidTr="54702E23">
        <w:trPr>
          <w:trHeight w:val="468"/>
        </w:trPr>
        <w:tc>
          <w:tcPr>
            <w:tcW w:w="1033" w:type="pct"/>
            <w:vMerge/>
            <w:vAlign w:val="center"/>
          </w:tcPr>
          <w:p w14:paraId="2415B5FF" w14:textId="77777777" w:rsidR="004C530D" w:rsidRPr="004C530D" w:rsidRDefault="004C530D" w:rsidP="004C530D">
            <w:pPr>
              <w:rPr>
                <w:rFonts w:cs="Arial"/>
                <w:bCs/>
                <w:sz w:val="24"/>
                <w:szCs w:val="28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D059" w14:textId="77777777" w:rsidR="004C530D" w:rsidRPr="00091A81" w:rsidRDefault="004C530D" w:rsidP="004C530D">
            <w:pPr>
              <w:widowControl/>
              <w:numPr>
                <w:ilvl w:val="0"/>
                <w:numId w:val="6"/>
              </w:numPr>
              <w:adjustRightInd w:val="0"/>
              <w:jc w:val="left"/>
              <w:rPr>
                <w:sz w:val="24"/>
              </w:rPr>
            </w:pPr>
            <w:r w:rsidRPr="00091A81">
              <w:rPr>
                <w:bCs/>
                <w:kern w:val="0"/>
                <w:sz w:val="24"/>
              </w:rPr>
              <w:t>A&amp;R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CE8EE" w14:textId="77777777" w:rsidR="004C530D" w:rsidRPr="00091A81" w:rsidRDefault="004C530D" w:rsidP="004C530D">
            <w:pPr>
              <w:tabs>
                <w:tab w:val="left" w:pos="720"/>
              </w:tabs>
              <w:rPr>
                <w:sz w:val="24"/>
              </w:rPr>
            </w:pPr>
            <w:r w:rsidRPr="00091A81">
              <w:rPr>
                <w:sz w:val="24"/>
              </w:rPr>
              <w:t>A&amp;R</w:t>
            </w:r>
            <w:r w:rsidRPr="00091A81">
              <w:rPr>
                <w:sz w:val="24"/>
              </w:rPr>
              <w:t>于</w:t>
            </w:r>
            <w:r w:rsidRPr="00091A81">
              <w:rPr>
                <w:sz w:val="24"/>
              </w:rPr>
              <w:t>2005</w:t>
            </w:r>
            <w:r w:rsidRPr="00091A81">
              <w:rPr>
                <w:sz w:val="24"/>
              </w:rPr>
              <w:t>年</w:t>
            </w:r>
            <w:r w:rsidRPr="00091A81">
              <w:rPr>
                <w:sz w:val="24"/>
              </w:rPr>
              <w:t>6</w:t>
            </w:r>
            <w:r w:rsidRPr="00091A81">
              <w:rPr>
                <w:sz w:val="24"/>
              </w:rPr>
              <w:t>月</w:t>
            </w:r>
            <w:r w:rsidRPr="00091A81">
              <w:rPr>
                <w:sz w:val="24"/>
              </w:rPr>
              <w:t>24</w:t>
            </w:r>
            <w:r w:rsidRPr="00091A81">
              <w:rPr>
                <w:sz w:val="24"/>
              </w:rPr>
              <w:t>日成立于马耳他。</w:t>
            </w:r>
            <w:r w:rsidRPr="00091A81">
              <w:rPr>
                <w:sz w:val="24"/>
              </w:rPr>
              <w:t>A&amp;R</w:t>
            </w:r>
            <w:r w:rsidRPr="00091A81">
              <w:rPr>
                <w:sz w:val="24"/>
              </w:rPr>
              <w:t>是一家投资公司，其全球投资组合涉及物流、物流自动化、电子商务、分析解决方案、营销自动化以及生态创新等多个领域。</w:t>
            </w:r>
          </w:p>
          <w:p w14:paraId="73D0E360" w14:textId="7C675091" w:rsidR="004C530D" w:rsidRPr="00091A81" w:rsidRDefault="004C530D" w:rsidP="004C530D">
            <w:pPr>
              <w:tabs>
                <w:tab w:val="left" w:pos="720"/>
              </w:tabs>
              <w:rPr>
                <w:sz w:val="24"/>
              </w:rPr>
            </w:pPr>
            <w:r w:rsidRPr="00091A81">
              <w:rPr>
                <w:sz w:val="24"/>
              </w:rPr>
              <w:t>A&amp;R</w:t>
            </w:r>
            <w:r w:rsidRPr="00091A81">
              <w:rPr>
                <w:sz w:val="24"/>
              </w:rPr>
              <w:t>的最终控制人为两名自然人。</w:t>
            </w:r>
          </w:p>
        </w:tc>
      </w:tr>
      <w:tr w:rsidR="004C530D" w:rsidRPr="004C530D" w14:paraId="0534D59F" w14:textId="77777777" w:rsidTr="54702E23">
        <w:trPr>
          <w:trHeight w:val="491"/>
        </w:trPr>
        <w:tc>
          <w:tcPr>
            <w:tcW w:w="1033" w:type="pct"/>
            <w:vMerge/>
            <w:vAlign w:val="center"/>
          </w:tcPr>
          <w:p w14:paraId="06C7149B" w14:textId="77777777" w:rsidR="004C530D" w:rsidRPr="004C530D" w:rsidRDefault="004C530D" w:rsidP="004C530D">
            <w:pPr>
              <w:widowControl/>
              <w:jc w:val="left"/>
              <w:rPr>
                <w:rFonts w:cs="Arial"/>
                <w:b/>
                <w:sz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2952" w14:textId="77777777" w:rsidR="004C530D" w:rsidRPr="00091A81" w:rsidRDefault="004C530D" w:rsidP="004C530D">
            <w:pPr>
              <w:widowControl/>
              <w:numPr>
                <w:ilvl w:val="0"/>
                <w:numId w:val="6"/>
              </w:numPr>
              <w:adjustRightInd w:val="0"/>
              <w:jc w:val="left"/>
              <w:rPr>
                <w:kern w:val="0"/>
                <w:sz w:val="24"/>
              </w:rPr>
            </w:pPr>
            <w:proofErr w:type="spellStart"/>
            <w:r w:rsidRPr="00091A81">
              <w:rPr>
                <w:kern w:val="0"/>
                <w:sz w:val="24"/>
              </w:rPr>
              <w:t>InPost</w:t>
            </w:r>
            <w:proofErr w:type="spellEnd"/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3EC4F" w14:textId="54E94674" w:rsidR="004C530D" w:rsidRPr="00091A81" w:rsidRDefault="004C530D" w:rsidP="004C530D">
            <w:pPr>
              <w:tabs>
                <w:tab w:val="left" w:pos="720"/>
              </w:tabs>
              <w:rPr>
                <w:sz w:val="24"/>
              </w:rPr>
            </w:pPr>
            <w:proofErr w:type="spellStart"/>
            <w:r w:rsidRPr="00091A81">
              <w:rPr>
                <w:sz w:val="24"/>
              </w:rPr>
              <w:t>InPost</w:t>
            </w:r>
            <w:proofErr w:type="spellEnd"/>
            <w:r w:rsidRPr="00091A81">
              <w:rPr>
                <w:sz w:val="24"/>
              </w:rPr>
              <w:t>于</w:t>
            </w:r>
            <w:r w:rsidRPr="00091A81">
              <w:rPr>
                <w:sz w:val="24"/>
              </w:rPr>
              <w:t>2020</w:t>
            </w:r>
            <w:r w:rsidRPr="00091A81">
              <w:rPr>
                <w:sz w:val="24"/>
              </w:rPr>
              <w:t>年</w:t>
            </w:r>
            <w:r w:rsidRPr="00091A81">
              <w:rPr>
                <w:sz w:val="24"/>
              </w:rPr>
              <w:t>11</w:t>
            </w:r>
            <w:r w:rsidRPr="00091A81">
              <w:rPr>
                <w:sz w:val="24"/>
              </w:rPr>
              <w:t>月</w:t>
            </w:r>
            <w:r w:rsidRPr="00091A81">
              <w:rPr>
                <w:sz w:val="24"/>
              </w:rPr>
              <w:t>6</w:t>
            </w:r>
            <w:r w:rsidRPr="00091A81">
              <w:rPr>
                <w:sz w:val="24"/>
              </w:rPr>
              <w:t>日成立于卢森堡，于</w:t>
            </w:r>
            <w:r w:rsidRPr="00091A81">
              <w:rPr>
                <w:sz w:val="24"/>
              </w:rPr>
              <w:t>2021</w:t>
            </w:r>
            <w:r w:rsidRPr="00091A81">
              <w:rPr>
                <w:sz w:val="24"/>
              </w:rPr>
              <w:t>年</w:t>
            </w:r>
            <w:r w:rsidRPr="00091A81">
              <w:rPr>
                <w:sz w:val="24"/>
              </w:rPr>
              <w:t>1</w:t>
            </w:r>
            <w:r w:rsidRPr="00091A81">
              <w:rPr>
                <w:sz w:val="24"/>
              </w:rPr>
              <w:t>月</w:t>
            </w:r>
            <w:r w:rsidRPr="00091A81">
              <w:rPr>
                <w:sz w:val="24"/>
              </w:rPr>
              <w:t>27</w:t>
            </w:r>
            <w:r w:rsidRPr="00091A81">
              <w:rPr>
                <w:sz w:val="24"/>
              </w:rPr>
              <w:t>日在阿姆斯特丹泛欧交易所上市。</w:t>
            </w:r>
            <w:proofErr w:type="spellStart"/>
            <w:r w:rsidRPr="00091A81">
              <w:rPr>
                <w:sz w:val="24"/>
              </w:rPr>
              <w:t>InPost</w:t>
            </w:r>
            <w:proofErr w:type="spellEnd"/>
            <w:r w:rsidRPr="00091A81">
              <w:rPr>
                <w:sz w:val="24"/>
              </w:rPr>
              <w:t>主要</w:t>
            </w:r>
            <w:r w:rsidR="00F91B6B" w:rsidRPr="00091A81">
              <w:rPr>
                <w:sz w:val="24"/>
              </w:rPr>
              <w:t>在波兰、卢森堡等欧洲国家</w:t>
            </w:r>
            <w:r w:rsidRPr="00091A81">
              <w:rPr>
                <w:sz w:val="24"/>
              </w:rPr>
              <w:t>提供小件包裹快递服务。</w:t>
            </w:r>
          </w:p>
          <w:p w14:paraId="79FD4B0B" w14:textId="77777777" w:rsidR="004C530D" w:rsidRPr="00091A81" w:rsidRDefault="004C530D" w:rsidP="004C530D">
            <w:pPr>
              <w:widowControl/>
              <w:rPr>
                <w:sz w:val="24"/>
              </w:rPr>
            </w:pPr>
            <w:proofErr w:type="spellStart"/>
            <w:r w:rsidRPr="00091A81">
              <w:rPr>
                <w:sz w:val="24"/>
              </w:rPr>
              <w:t>InPost</w:t>
            </w:r>
            <w:proofErr w:type="spellEnd"/>
            <w:r w:rsidRPr="00091A81">
              <w:rPr>
                <w:sz w:val="24"/>
              </w:rPr>
              <w:t>无最终控制人。</w:t>
            </w:r>
          </w:p>
        </w:tc>
      </w:tr>
      <w:tr w:rsidR="004C530D" w:rsidRPr="004C530D" w14:paraId="20BE5FDB" w14:textId="77777777" w:rsidTr="54702E23">
        <w:trPr>
          <w:trHeight w:val="279"/>
        </w:trPr>
        <w:tc>
          <w:tcPr>
            <w:tcW w:w="103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3D91A" w14:textId="77777777" w:rsidR="004C530D" w:rsidRPr="004C530D" w:rsidRDefault="004C530D" w:rsidP="004C530D">
            <w:pPr>
              <w:rPr>
                <w:rFonts w:cs="Arial"/>
                <w:b/>
                <w:sz w:val="24"/>
              </w:rPr>
            </w:pPr>
            <w:r w:rsidRPr="004C530D">
              <w:rPr>
                <w:rFonts w:cs="Arial" w:hint="eastAsia"/>
                <w:bCs/>
                <w:sz w:val="24"/>
                <w:szCs w:val="28"/>
              </w:rPr>
              <w:t>简易案件理由（可以单选，也可以多选）</w:t>
            </w: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C97F4" w14:textId="77777777" w:rsidR="004C530D" w:rsidRPr="004C530D" w:rsidRDefault="004C530D" w:rsidP="004C530D">
            <w:pPr>
              <w:rPr>
                <w:rFonts w:cs="Arial"/>
                <w:sz w:val="24"/>
              </w:rPr>
            </w:pPr>
            <w:r w:rsidRPr="004C530D">
              <w:rPr>
                <w:rFonts w:ascii="Wingdings" w:eastAsia="Wingdings" w:hAnsi="Wingdings" w:cs="Wingdings"/>
                <w:sz w:val="24"/>
                <w:szCs w:val="28"/>
              </w:rPr>
              <w:t>¨</w:t>
            </w:r>
            <w:r w:rsidRPr="004C530D">
              <w:rPr>
                <w:rFonts w:eastAsia="Wingdings" w:cs="Wingdings" w:hint="eastAsia"/>
                <w:kern w:val="0"/>
                <w:sz w:val="20"/>
                <w:szCs w:val="20"/>
              </w:rPr>
              <w:t xml:space="preserve"> </w:t>
            </w:r>
            <w:r w:rsidRPr="004C530D">
              <w:rPr>
                <w:bCs/>
                <w:sz w:val="24"/>
              </w:rPr>
              <w:t>1.</w:t>
            </w:r>
            <w:r w:rsidRPr="004C530D">
              <w:rPr>
                <w:bCs/>
                <w:sz w:val="24"/>
              </w:rPr>
              <w:t>在同一相关市场，参与集中的经营者所占的市场份额之和小于</w:t>
            </w:r>
            <w:r w:rsidRPr="004C530D">
              <w:rPr>
                <w:bCs/>
                <w:sz w:val="24"/>
              </w:rPr>
              <w:t>15%</w:t>
            </w:r>
            <w:r w:rsidRPr="004C530D">
              <w:rPr>
                <w:bCs/>
                <w:sz w:val="24"/>
              </w:rPr>
              <w:t>。</w:t>
            </w:r>
          </w:p>
        </w:tc>
      </w:tr>
      <w:tr w:rsidR="004C530D" w:rsidRPr="004C530D" w14:paraId="317BF661" w14:textId="77777777" w:rsidTr="54702E23">
        <w:trPr>
          <w:trHeight w:val="330"/>
        </w:trPr>
        <w:tc>
          <w:tcPr>
            <w:tcW w:w="1033" w:type="pct"/>
            <w:vMerge/>
            <w:vAlign w:val="center"/>
          </w:tcPr>
          <w:p w14:paraId="427023D5" w14:textId="77777777" w:rsidR="004C530D" w:rsidRPr="004C530D" w:rsidRDefault="004C530D" w:rsidP="004C530D">
            <w:pPr>
              <w:widowControl/>
              <w:jc w:val="left"/>
              <w:rPr>
                <w:rFonts w:cs="Arial"/>
                <w:b/>
                <w:sz w:val="24"/>
              </w:rPr>
            </w:pP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B82F6" w14:textId="77777777" w:rsidR="004C530D" w:rsidRPr="004C530D" w:rsidRDefault="004C530D" w:rsidP="004C530D">
            <w:pPr>
              <w:rPr>
                <w:rFonts w:cs="Arial"/>
                <w:sz w:val="24"/>
              </w:rPr>
            </w:pPr>
            <w:r w:rsidRPr="004C530D">
              <w:rPr>
                <w:rFonts w:ascii="Wingdings" w:eastAsia="Wingdings" w:hAnsi="Wingdings" w:cs="Wingdings"/>
                <w:sz w:val="24"/>
                <w:szCs w:val="28"/>
              </w:rPr>
              <w:t>¨</w:t>
            </w:r>
            <w:r w:rsidRPr="004C530D">
              <w:rPr>
                <w:bCs/>
                <w:sz w:val="24"/>
              </w:rPr>
              <w:t xml:space="preserve"> 2.</w:t>
            </w:r>
            <w:r w:rsidRPr="004C530D">
              <w:rPr>
                <w:bCs/>
                <w:sz w:val="24"/>
              </w:rPr>
              <w:t>在上下游市场，参与集中的经营者所占的市场份额均小于</w:t>
            </w:r>
            <w:r w:rsidRPr="004C530D">
              <w:rPr>
                <w:bCs/>
                <w:sz w:val="24"/>
              </w:rPr>
              <w:t>25%</w:t>
            </w:r>
            <w:r w:rsidRPr="004C530D">
              <w:rPr>
                <w:bCs/>
                <w:sz w:val="24"/>
              </w:rPr>
              <w:t>。</w:t>
            </w:r>
          </w:p>
        </w:tc>
      </w:tr>
      <w:tr w:rsidR="004C530D" w:rsidRPr="004C530D" w14:paraId="504AF7C6" w14:textId="77777777" w:rsidTr="54702E23">
        <w:trPr>
          <w:trHeight w:val="285"/>
        </w:trPr>
        <w:tc>
          <w:tcPr>
            <w:tcW w:w="1033" w:type="pct"/>
            <w:vMerge/>
            <w:vAlign w:val="center"/>
          </w:tcPr>
          <w:p w14:paraId="7BA7A700" w14:textId="77777777" w:rsidR="004C530D" w:rsidRPr="004C530D" w:rsidRDefault="004C530D" w:rsidP="004C530D">
            <w:pPr>
              <w:widowControl/>
              <w:jc w:val="left"/>
              <w:rPr>
                <w:rFonts w:cs="Arial"/>
                <w:b/>
                <w:sz w:val="24"/>
              </w:rPr>
            </w:pP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E9AF1" w14:textId="77777777" w:rsidR="004C530D" w:rsidRPr="004C530D" w:rsidRDefault="004C530D" w:rsidP="004C530D">
            <w:pPr>
              <w:rPr>
                <w:rFonts w:cs="Arial"/>
                <w:sz w:val="24"/>
              </w:rPr>
            </w:pPr>
            <w:r w:rsidRPr="004C530D">
              <w:rPr>
                <w:rFonts w:ascii="Wingdings" w:eastAsia="Wingdings" w:hAnsi="Wingdings" w:cs="Wingdings"/>
                <w:sz w:val="24"/>
                <w:szCs w:val="28"/>
              </w:rPr>
              <w:t>¨</w:t>
            </w:r>
            <w:r w:rsidRPr="004C530D">
              <w:rPr>
                <w:sz w:val="24"/>
              </w:rPr>
              <w:t xml:space="preserve"> 3.</w:t>
            </w:r>
            <w:r w:rsidRPr="004C530D">
              <w:rPr>
                <w:sz w:val="24"/>
              </w:rPr>
              <w:t>不在同一相关市场也不存在上下游关系的参与集中的经营者，在与交易有关的每个市场所占的市场份额均小于</w:t>
            </w:r>
            <w:r w:rsidRPr="004C530D">
              <w:rPr>
                <w:sz w:val="24"/>
              </w:rPr>
              <w:t>25%</w:t>
            </w:r>
            <w:r w:rsidRPr="004C530D">
              <w:rPr>
                <w:sz w:val="24"/>
              </w:rPr>
              <w:t>。</w:t>
            </w:r>
          </w:p>
        </w:tc>
      </w:tr>
      <w:tr w:rsidR="004C530D" w:rsidRPr="004C530D" w14:paraId="74A2117B" w14:textId="77777777" w:rsidTr="54702E23">
        <w:trPr>
          <w:trHeight w:val="629"/>
        </w:trPr>
        <w:tc>
          <w:tcPr>
            <w:tcW w:w="1033" w:type="pct"/>
            <w:vMerge/>
            <w:vAlign w:val="center"/>
          </w:tcPr>
          <w:p w14:paraId="67105A2B" w14:textId="77777777" w:rsidR="004C530D" w:rsidRPr="004C530D" w:rsidRDefault="004C530D" w:rsidP="004C530D">
            <w:pPr>
              <w:widowControl/>
              <w:jc w:val="left"/>
              <w:rPr>
                <w:rFonts w:cs="Arial"/>
                <w:b/>
                <w:sz w:val="24"/>
              </w:rPr>
            </w:pP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00B65" w14:textId="77777777" w:rsidR="004C530D" w:rsidRPr="004C530D" w:rsidRDefault="004C530D" w:rsidP="004C530D">
            <w:pPr>
              <w:rPr>
                <w:rFonts w:cs="Arial"/>
                <w:sz w:val="24"/>
              </w:rPr>
            </w:pPr>
            <w:r w:rsidRPr="004C530D">
              <w:rPr>
                <w:rFonts w:ascii="Wingdings" w:eastAsia="Wingdings" w:hAnsi="Wingdings" w:cs="Wingdings"/>
                <w:sz w:val="24"/>
                <w:szCs w:val="28"/>
              </w:rPr>
              <w:t>¨</w:t>
            </w:r>
            <w:r w:rsidRPr="004C530D">
              <w:rPr>
                <w:bCs/>
                <w:sz w:val="24"/>
              </w:rPr>
              <w:t xml:space="preserve"> 4.</w:t>
            </w:r>
            <w:r w:rsidRPr="004C530D">
              <w:rPr>
                <w:bCs/>
                <w:sz w:val="24"/>
              </w:rPr>
              <w:t>参与集中的经营者在中国境外设立合营企业，合营企业不在中国境内从事经济活动。</w:t>
            </w:r>
          </w:p>
        </w:tc>
      </w:tr>
      <w:tr w:rsidR="004C530D" w:rsidRPr="004C530D" w14:paraId="214C108A" w14:textId="77777777" w:rsidTr="54702E23">
        <w:trPr>
          <w:trHeight w:val="264"/>
        </w:trPr>
        <w:tc>
          <w:tcPr>
            <w:tcW w:w="1033" w:type="pct"/>
            <w:vMerge/>
            <w:vAlign w:val="center"/>
          </w:tcPr>
          <w:p w14:paraId="08859C30" w14:textId="77777777" w:rsidR="004C530D" w:rsidRPr="004C530D" w:rsidRDefault="004C530D" w:rsidP="004C530D">
            <w:pPr>
              <w:widowControl/>
              <w:jc w:val="left"/>
              <w:rPr>
                <w:rFonts w:cs="Arial"/>
                <w:b/>
                <w:sz w:val="24"/>
              </w:rPr>
            </w:pP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5A4B3" w14:textId="77777777" w:rsidR="004C530D" w:rsidRPr="004C530D" w:rsidRDefault="004C530D" w:rsidP="004C530D">
            <w:pPr>
              <w:rPr>
                <w:rFonts w:cs="Arial"/>
                <w:kern w:val="0"/>
                <w:sz w:val="24"/>
              </w:rPr>
            </w:pPr>
            <w:r w:rsidRPr="004C530D">
              <w:rPr>
                <w:rFonts w:ascii="Wingdings" w:eastAsia="Wingdings" w:hAnsi="Wingdings" w:cs="Wingdings"/>
                <w:sz w:val="24"/>
                <w:szCs w:val="28"/>
              </w:rPr>
              <w:t>þ</w:t>
            </w:r>
            <w:r w:rsidRPr="004C530D">
              <w:rPr>
                <w:bCs/>
                <w:sz w:val="24"/>
              </w:rPr>
              <w:t xml:space="preserve"> 5.</w:t>
            </w:r>
            <w:r w:rsidRPr="004C530D">
              <w:rPr>
                <w:bCs/>
                <w:sz w:val="24"/>
              </w:rPr>
              <w:t>参与集中的经营者收购境外企业股权或资产的，该境外企业不在中国境内从事经济活动。</w:t>
            </w:r>
          </w:p>
        </w:tc>
      </w:tr>
      <w:tr w:rsidR="004C530D" w:rsidRPr="004C530D" w14:paraId="1F0BDD27" w14:textId="77777777" w:rsidTr="54702E23">
        <w:trPr>
          <w:trHeight w:val="345"/>
        </w:trPr>
        <w:tc>
          <w:tcPr>
            <w:tcW w:w="1033" w:type="pct"/>
            <w:vMerge/>
            <w:vAlign w:val="center"/>
          </w:tcPr>
          <w:p w14:paraId="7E2349BB" w14:textId="77777777" w:rsidR="004C530D" w:rsidRPr="004C530D" w:rsidRDefault="004C530D" w:rsidP="004C530D">
            <w:pPr>
              <w:widowControl/>
              <w:jc w:val="left"/>
              <w:rPr>
                <w:rFonts w:cs="Arial"/>
                <w:b/>
                <w:sz w:val="24"/>
              </w:rPr>
            </w:pP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095B4" w14:textId="77777777" w:rsidR="004C530D" w:rsidRPr="004C530D" w:rsidRDefault="004C530D" w:rsidP="004C530D">
            <w:pPr>
              <w:rPr>
                <w:rFonts w:cs="Arial"/>
                <w:sz w:val="24"/>
              </w:rPr>
            </w:pPr>
            <w:r w:rsidRPr="004C530D">
              <w:rPr>
                <w:rFonts w:ascii="Wingdings" w:eastAsia="Wingdings" w:hAnsi="Wingdings" w:cs="Wingdings"/>
                <w:sz w:val="24"/>
                <w:szCs w:val="28"/>
              </w:rPr>
              <w:t>¨</w:t>
            </w:r>
            <w:r w:rsidRPr="004C530D">
              <w:rPr>
                <w:bCs/>
                <w:sz w:val="24"/>
              </w:rPr>
              <w:t xml:space="preserve"> 6.</w:t>
            </w:r>
            <w:r w:rsidRPr="004C530D">
              <w:rPr>
                <w:bCs/>
                <w:sz w:val="24"/>
              </w:rPr>
              <w:t>由两个以上的经营者共同控制的合营企业，通过集中被其中一个或一个以上经营者控制。</w:t>
            </w:r>
          </w:p>
        </w:tc>
      </w:tr>
      <w:tr w:rsidR="004C530D" w:rsidRPr="004C530D" w14:paraId="61079A4C" w14:textId="77777777" w:rsidTr="54702E23"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FF4F1" w14:textId="77777777" w:rsidR="004C530D" w:rsidRPr="004C530D" w:rsidRDefault="004C530D" w:rsidP="004C530D">
            <w:pPr>
              <w:rPr>
                <w:rFonts w:cs="Arial"/>
                <w:b/>
                <w:sz w:val="24"/>
                <w:lang w:eastAsia="en-GB"/>
              </w:rPr>
            </w:pPr>
            <w:r w:rsidRPr="004C530D">
              <w:rPr>
                <w:rFonts w:cs="Arial" w:hint="eastAsia"/>
                <w:bCs/>
                <w:sz w:val="24"/>
                <w:szCs w:val="28"/>
              </w:rPr>
              <w:t>备注</w:t>
            </w:r>
          </w:p>
        </w:tc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477E0" w14:textId="77777777" w:rsidR="004C530D" w:rsidRPr="004C530D" w:rsidRDefault="004C530D" w:rsidP="004C530D">
            <w:pPr>
              <w:rPr>
                <w:rFonts w:cs="Arial"/>
                <w:sz w:val="24"/>
                <w:highlight w:val="yellow"/>
              </w:rPr>
            </w:pPr>
            <w:r w:rsidRPr="004C530D">
              <w:rPr>
                <w:rFonts w:cs="Arial"/>
                <w:sz w:val="24"/>
              </w:rPr>
              <w:t>不适用</w:t>
            </w:r>
          </w:p>
        </w:tc>
      </w:tr>
    </w:tbl>
    <w:p w14:paraId="065DD14A" w14:textId="77777777" w:rsidR="002029C9" w:rsidRPr="005B7120" w:rsidRDefault="002029C9" w:rsidP="001A587A"/>
    <w:sectPr w:rsidR="002029C9" w:rsidRPr="005B7120" w:rsidSect="00740D90">
      <w:headerReference w:type="default" r:id="rId10"/>
      <w:footerReference w:type="default" r:id="rId11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7621" w14:textId="77777777" w:rsidR="00C4264A" w:rsidRDefault="00C4264A" w:rsidP="009D4707">
      <w:r>
        <w:separator/>
      </w:r>
    </w:p>
  </w:endnote>
  <w:endnote w:type="continuationSeparator" w:id="0">
    <w:p w14:paraId="152BDAA6" w14:textId="77777777" w:rsidR="00C4264A" w:rsidRDefault="00C4264A" w:rsidP="009D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090068"/>
      <w:docPartObj>
        <w:docPartGallery w:val="Page Numbers (Bottom of Page)"/>
        <w:docPartUnique/>
      </w:docPartObj>
    </w:sdtPr>
    <w:sdtContent>
      <w:p w14:paraId="7C232398" w14:textId="4C55FB02" w:rsidR="00515F36" w:rsidRDefault="00515F3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C08D3C" w14:textId="77777777" w:rsidR="002029C9" w:rsidRDefault="00202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83BB" w14:textId="77777777" w:rsidR="00C4264A" w:rsidRDefault="00C4264A" w:rsidP="009D4707">
      <w:r>
        <w:separator/>
      </w:r>
    </w:p>
  </w:footnote>
  <w:footnote w:type="continuationSeparator" w:id="0">
    <w:p w14:paraId="00E5B4B2" w14:textId="77777777" w:rsidR="00C4264A" w:rsidRDefault="00C4264A" w:rsidP="009D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5AF5" w14:textId="77777777" w:rsidR="002029C9" w:rsidRDefault="002029C9" w:rsidP="001652C8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5AF"/>
    <w:multiLevelType w:val="multilevel"/>
    <w:tmpl w:val="6900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8C13AD"/>
    <w:multiLevelType w:val="hybridMultilevel"/>
    <w:tmpl w:val="EC2C19E0"/>
    <w:lvl w:ilvl="0" w:tplc="6F045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AA4ACF"/>
    <w:multiLevelType w:val="hybridMultilevel"/>
    <w:tmpl w:val="19E83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07F50"/>
    <w:multiLevelType w:val="hybridMultilevel"/>
    <w:tmpl w:val="85D6D9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num w:numId="1" w16cid:durableId="119570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579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082617">
    <w:abstractNumId w:val="2"/>
  </w:num>
  <w:num w:numId="4" w16cid:durableId="724990924">
    <w:abstractNumId w:val="0"/>
  </w:num>
  <w:num w:numId="5" w16cid:durableId="967395697">
    <w:abstractNumId w:val="1"/>
  </w:num>
  <w:num w:numId="6" w16cid:durableId="1269654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NzAyMTEzMTQxMTJQ0lEKTi0uzszPAykwqQUAohAvGSwAAAA="/>
    <w:docVar w:name="OfficeIni" w:val="Shanghai - Baker &amp; McKenzie FenXun - SIMPLIFIED CHINESE (ALL).ini"/>
  </w:docVars>
  <w:rsids>
    <w:rsidRoot w:val="00017741"/>
    <w:rsid w:val="0000184B"/>
    <w:rsid w:val="000035B3"/>
    <w:rsid w:val="0000731D"/>
    <w:rsid w:val="000123B6"/>
    <w:rsid w:val="00016C2A"/>
    <w:rsid w:val="00017741"/>
    <w:rsid w:val="000259B9"/>
    <w:rsid w:val="000650F1"/>
    <w:rsid w:val="0007747C"/>
    <w:rsid w:val="00082C93"/>
    <w:rsid w:val="00091A81"/>
    <w:rsid w:val="00093921"/>
    <w:rsid w:val="00096C02"/>
    <w:rsid w:val="000A2400"/>
    <w:rsid w:val="000A28AA"/>
    <w:rsid w:val="000C6A31"/>
    <w:rsid w:val="000D4AA7"/>
    <w:rsid w:val="000D6A8D"/>
    <w:rsid w:val="001255B6"/>
    <w:rsid w:val="0013421B"/>
    <w:rsid w:val="00135428"/>
    <w:rsid w:val="00142DDB"/>
    <w:rsid w:val="00153D2A"/>
    <w:rsid w:val="00164B31"/>
    <w:rsid w:val="001658D5"/>
    <w:rsid w:val="00174767"/>
    <w:rsid w:val="00175615"/>
    <w:rsid w:val="00197649"/>
    <w:rsid w:val="001A587A"/>
    <w:rsid w:val="001B2EE7"/>
    <w:rsid w:val="001C1C12"/>
    <w:rsid w:val="001C4A68"/>
    <w:rsid w:val="001E707E"/>
    <w:rsid w:val="001F66BA"/>
    <w:rsid w:val="002029C9"/>
    <w:rsid w:val="00215D0C"/>
    <w:rsid w:val="002351D0"/>
    <w:rsid w:val="00281C49"/>
    <w:rsid w:val="0029BA15"/>
    <w:rsid w:val="002B4729"/>
    <w:rsid w:val="002B549E"/>
    <w:rsid w:val="002D6816"/>
    <w:rsid w:val="002E5A27"/>
    <w:rsid w:val="002F196D"/>
    <w:rsid w:val="002F5AEC"/>
    <w:rsid w:val="00313FEC"/>
    <w:rsid w:val="00324778"/>
    <w:rsid w:val="00341EBC"/>
    <w:rsid w:val="00344A9B"/>
    <w:rsid w:val="003454B2"/>
    <w:rsid w:val="003512B5"/>
    <w:rsid w:val="00361219"/>
    <w:rsid w:val="003B268D"/>
    <w:rsid w:val="003B428A"/>
    <w:rsid w:val="003B6E1E"/>
    <w:rsid w:val="003C2B0D"/>
    <w:rsid w:val="003E5052"/>
    <w:rsid w:val="0040119F"/>
    <w:rsid w:val="0041294F"/>
    <w:rsid w:val="00412AD7"/>
    <w:rsid w:val="00414F97"/>
    <w:rsid w:val="004266E9"/>
    <w:rsid w:val="00444A72"/>
    <w:rsid w:val="00454C1B"/>
    <w:rsid w:val="0047305D"/>
    <w:rsid w:val="0047543C"/>
    <w:rsid w:val="004918CB"/>
    <w:rsid w:val="00493FE0"/>
    <w:rsid w:val="004A18C0"/>
    <w:rsid w:val="004A309A"/>
    <w:rsid w:val="004B134A"/>
    <w:rsid w:val="004B7297"/>
    <w:rsid w:val="004C002A"/>
    <w:rsid w:val="004C530D"/>
    <w:rsid w:val="004F5376"/>
    <w:rsid w:val="00501883"/>
    <w:rsid w:val="00513D7D"/>
    <w:rsid w:val="00515F36"/>
    <w:rsid w:val="00524C31"/>
    <w:rsid w:val="005518EF"/>
    <w:rsid w:val="00560E2C"/>
    <w:rsid w:val="005613AC"/>
    <w:rsid w:val="00561B9A"/>
    <w:rsid w:val="0058413B"/>
    <w:rsid w:val="0059782C"/>
    <w:rsid w:val="005A24A1"/>
    <w:rsid w:val="005A7031"/>
    <w:rsid w:val="005B7120"/>
    <w:rsid w:val="005F7E85"/>
    <w:rsid w:val="006026B4"/>
    <w:rsid w:val="00630DD7"/>
    <w:rsid w:val="006336E2"/>
    <w:rsid w:val="00655969"/>
    <w:rsid w:val="00660036"/>
    <w:rsid w:val="00660581"/>
    <w:rsid w:val="00662F0E"/>
    <w:rsid w:val="0067782D"/>
    <w:rsid w:val="00680708"/>
    <w:rsid w:val="00692D56"/>
    <w:rsid w:val="006C1543"/>
    <w:rsid w:val="006D376B"/>
    <w:rsid w:val="006D54C1"/>
    <w:rsid w:val="006E50B6"/>
    <w:rsid w:val="007315B8"/>
    <w:rsid w:val="007351CF"/>
    <w:rsid w:val="00737AA0"/>
    <w:rsid w:val="00752811"/>
    <w:rsid w:val="00755254"/>
    <w:rsid w:val="00763D94"/>
    <w:rsid w:val="007972DB"/>
    <w:rsid w:val="007C4B3A"/>
    <w:rsid w:val="007D580A"/>
    <w:rsid w:val="007D736B"/>
    <w:rsid w:val="007E2DFB"/>
    <w:rsid w:val="008135C3"/>
    <w:rsid w:val="00826FDA"/>
    <w:rsid w:val="008414C6"/>
    <w:rsid w:val="00854DCA"/>
    <w:rsid w:val="00883948"/>
    <w:rsid w:val="008C31BA"/>
    <w:rsid w:val="008D052B"/>
    <w:rsid w:val="008D5D93"/>
    <w:rsid w:val="008E089C"/>
    <w:rsid w:val="008F39FE"/>
    <w:rsid w:val="0090731D"/>
    <w:rsid w:val="009103E6"/>
    <w:rsid w:val="0093501E"/>
    <w:rsid w:val="00950141"/>
    <w:rsid w:val="00951B19"/>
    <w:rsid w:val="00953AFC"/>
    <w:rsid w:val="009615FD"/>
    <w:rsid w:val="009724AC"/>
    <w:rsid w:val="00991D6B"/>
    <w:rsid w:val="009968E0"/>
    <w:rsid w:val="009A1259"/>
    <w:rsid w:val="009A3F75"/>
    <w:rsid w:val="009B1836"/>
    <w:rsid w:val="009B2197"/>
    <w:rsid w:val="009C173A"/>
    <w:rsid w:val="009D4707"/>
    <w:rsid w:val="009E4E29"/>
    <w:rsid w:val="009F65D1"/>
    <w:rsid w:val="00A658BB"/>
    <w:rsid w:val="00A8162E"/>
    <w:rsid w:val="00A979D5"/>
    <w:rsid w:val="00AB0A5A"/>
    <w:rsid w:val="00AF4646"/>
    <w:rsid w:val="00B0235F"/>
    <w:rsid w:val="00B0406F"/>
    <w:rsid w:val="00B0557D"/>
    <w:rsid w:val="00B05839"/>
    <w:rsid w:val="00B31EE9"/>
    <w:rsid w:val="00B3697A"/>
    <w:rsid w:val="00B54A09"/>
    <w:rsid w:val="00B6062F"/>
    <w:rsid w:val="00B8264A"/>
    <w:rsid w:val="00B828F3"/>
    <w:rsid w:val="00B97D43"/>
    <w:rsid w:val="00BC10A1"/>
    <w:rsid w:val="00BD1C78"/>
    <w:rsid w:val="00BE24BF"/>
    <w:rsid w:val="00BF431C"/>
    <w:rsid w:val="00C01E2A"/>
    <w:rsid w:val="00C07438"/>
    <w:rsid w:val="00C174CD"/>
    <w:rsid w:val="00C21F75"/>
    <w:rsid w:val="00C2591B"/>
    <w:rsid w:val="00C3690A"/>
    <w:rsid w:val="00C4264A"/>
    <w:rsid w:val="00C47014"/>
    <w:rsid w:val="00C707DD"/>
    <w:rsid w:val="00C721F0"/>
    <w:rsid w:val="00C75596"/>
    <w:rsid w:val="00C85933"/>
    <w:rsid w:val="00C910A9"/>
    <w:rsid w:val="00C9263B"/>
    <w:rsid w:val="00CB37FF"/>
    <w:rsid w:val="00CC5B23"/>
    <w:rsid w:val="00CD4A69"/>
    <w:rsid w:val="00CE1C89"/>
    <w:rsid w:val="00CE2C51"/>
    <w:rsid w:val="00D003CB"/>
    <w:rsid w:val="00D057CC"/>
    <w:rsid w:val="00D116FB"/>
    <w:rsid w:val="00D13354"/>
    <w:rsid w:val="00D20C5E"/>
    <w:rsid w:val="00D3065B"/>
    <w:rsid w:val="00D31FAD"/>
    <w:rsid w:val="00D35338"/>
    <w:rsid w:val="00D50D31"/>
    <w:rsid w:val="00D55967"/>
    <w:rsid w:val="00D60FB9"/>
    <w:rsid w:val="00D62868"/>
    <w:rsid w:val="00D81111"/>
    <w:rsid w:val="00D926A1"/>
    <w:rsid w:val="00D92C82"/>
    <w:rsid w:val="00D94F0F"/>
    <w:rsid w:val="00DE2901"/>
    <w:rsid w:val="00DE500A"/>
    <w:rsid w:val="00E05E31"/>
    <w:rsid w:val="00E13C1C"/>
    <w:rsid w:val="00E31668"/>
    <w:rsid w:val="00E41CCD"/>
    <w:rsid w:val="00E50587"/>
    <w:rsid w:val="00E52E07"/>
    <w:rsid w:val="00EC334D"/>
    <w:rsid w:val="00EC5DF6"/>
    <w:rsid w:val="00ED0720"/>
    <w:rsid w:val="00ED7EA2"/>
    <w:rsid w:val="00EE6606"/>
    <w:rsid w:val="00F10639"/>
    <w:rsid w:val="00F27845"/>
    <w:rsid w:val="00F40C5D"/>
    <w:rsid w:val="00F576EC"/>
    <w:rsid w:val="00F57DDE"/>
    <w:rsid w:val="00F76066"/>
    <w:rsid w:val="00F8530B"/>
    <w:rsid w:val="00F905A1"/>
    <w:rsid w:val="00F91B6B"/>
    <w:rsid w:val="00F95D43"/>
    <w:rsid w:val="00FB11E6"/>
    <w:rsid w:val="00FC55D2"/>
    <w:rsid w:val="00FE0568"/>
    <w:rsid w:val="00FF73CE"/>
    <w:rsid w:val="00FF7D91"/>
    <w:rsid w:val="0AAFE6E7"/>
    <w:rsid w:val="0E5F6D62"/>
    <w:rsid w:val="0E996DCE"/>
    <w:rsid w:val="19EFCA6C"/>
    <w:rsid w:val="2B3D9612"/>
    <w:rsid w:val="2E36B082"/>
    <w:rsid w:val="306630D0"/>
    <w:rsid w:val="4AF716D4"/>
    <w:rsid w:val="54702E23"/>
    <w:rsid w:val="5D51DA8F"/>
    <w:rsid w:val="6D9A391C"/>
    <w:rsid w:val="7AB7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DE208"/>
  <w15:docId w15:val="{83A8079D-2CF3-4CAC-AC27-196E7B57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D470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4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D4707"/>
    <w:rPr>
      <w:rFonts w:ascii="Times New Roman" w:eastAsia="宋体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qFormat/>
    <w:rsid w:val="00F95D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5D43"/>
    <w:rPr>
      <w:rFonts w:ascii="Times New Roman" w:eastAsia="宋体" w:hAnsi="Times New Roman" w:cs="Times New Roman"/>
      <w:szCs w:val="24"/>
    </w:rPr>
  </w:style>
  <w:style w:type="paragraph" w:styleId="BalloonText">
    <w:name w:val="Balloon Text"/>
    <w:basedOn w:val="Normal"/>
    <w:link w:val="BalloonTextChar"/>
    <w:rsid w:val="00F95D43"/>
    <w:rPr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95D43"/>
    <w:rPr>
      <w:rFonts w:ascii="Times New Roman" w:eastAsia="宋体" w:hAnsi="Times New Roman" w:cs="Times New Roman"/>
      <w:sz w:val="18"/>
      <w:szCs w:val="18"/>
      <w:lang w:val="x-none" w:eastAsia="x-none"/>
    </w:rPr>
  </w:style>
  <w:style w:type="numbering" w:customStyle="1" w:styleId="BMListNumbers">
    <w:name w:val="B&amp;M List Numbers"/>
    <w:uiPriority w:val="99"/>
    <w:rsid w:val="00E50587"/>
    <w:pPr>
      <w:numPr>
        <w:numId w:val="3"/>
      </w:numPr>
    </w:pPr>
  </w:style>
  <w:style w:type="numbering" w:customStyle="1" w:styleId="BMListNumbers1">
    <w:name w:val="B&amp;M List Numbers1"/>
    <w:uiPriority w:val="99"/>
    <w:rsid w:val="00515F36"/>
  </w:style>
  <w:style w:type="character" w:customStyle="1" w:styleId="1">
    <w:name w:val="正文文本 字符1"/>
    <w:rsid w:val="00C47014"/>
    <w:rPr>
      <w:kern w:val="2"/>
      <w:sz w:val="21"/>
      <w:szCs w:val="24"/>
    </w:rPr>
  </w:style>
  <w:style w:type="paragraph" w:styleId="Revision">
    <w:name w:val="Revision"/>
    <w:hidden/>
    <w:uiPriority w:val="99"/>
    <w:semiHidden/>
    <w:rsid w:val="000650F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0f809-dd3f-4337-a031-8a50b824ee5a">
      <Terms xmlns="http://schemas.microsoft.com/office/infopath/2007/PartnerControls"/>
    </lcf76f155ced4ddcb4097134ff3c332f>
    <TaxCatchAll xmlns="d902dde7-c11f-4e08-ae00-276e6e44fb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3AF59CAD09D4B9788F469F8B15532" ma:contentTypeVersion="14" ma:contentTypeDescription="Create a new document." ma:contentTypeScope="" ma:versionID="c6e1312c6c9cf42d2661ee31f8b71f7a">
  <xsd:schema xmlns:xsd="http://www.w3.org/2001/XMLSchema" xmlns:xs="http://www.w3.org/2001/XMLSchema" xmlns:p="http://schemas.microsoft.com/office/2006/metadata/properties" xmlns:ns2="9d40f809-dd3f-4337-a031-8a50b824ee5a" xmlns:ns3="d902dde7-c11f-4e08-ae00-276e6e44fbaa" targetNamespace="http://schemas.microsoft.com/office/2006/metadata/properties" ma:root="true" ma:fieldsID="a1fb877199748e9883932e5d062d5979" ns2:_="" ns3:_="">
    <xsd:import namespace="9d40f809-dd3f-4337-a031-8a50b824ee5a"/>
    <xsd:import namespace="d902dde7-c11f-4e08-ae00-276e6e44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0f809-dd3f-4337-a031-8a50b824e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48508-a9a3-48d0-8e82-3ccdae471c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2dde7-c11f-4e08-ae00-276e6e44f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a66247-19a6-4971-9dad-d4315bd811e4}" ma:internalName="TaxCatchAll" ma:showField="CatchAllData" ma:web="d902dde7-c11f-4e08-ae00-276e6e44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66BBE-7C09-44A9-988E-D451BA534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B4A00-6411-4B09-A3D8-7CBA8DDB5A2F}">
  <ds:schemaRefs>
    <ds:schemaRef ds:uri="http://schemas.microsoft.com/office/2006/metadata/properties"/>
    <ds:schemaRef ds:uri="http://schemas.microsoft.com/office/infopath/2007/PartnerControls"/>
    <ds:schemaRef ds:uri="9d40f809-dd3f-4337-a031-8a50b824ee5a"/>
    <ds:schemaRef ds:uri="d902dde7-c11f-4e08-ae00-276e6e44fbaa"/>
  </ds:schemaRefs>
</ds:datastoreItem>
</file>

<file path=customXml/itemProps3.xml><?xml version="1.0" encoding="utf-8"?>
<ds:datastoreItem xmlns:ds="http://schemas.openxmlformats.org/officeDocument/2006/customXml" ds:itemID="{F41238EF-CBDA-4A03-A88A-9DB3972D1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0f809-dd3f-4337-a031-8a50b824ee5a"/>
    <ds:schemaRef ds:uri="d902dde7-c11f-4e08-ae00-276e6e44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1110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FenXun Partners</dc:creator>
  <cp:lastModifiedBy>Baker McKenzie FenXun</cp:lastModifiedBy>
  <cp:revision>23</cp:revision>
  <cp:lastPrinted>2019-06-21T10:07:00Z</cp:lastPrinted>
  <dcterms:created xsi:type="dcterms:W3CDTF">2026-03-05T06:20:00Z</dcterms:created>
  <dcterms:modified xsi:type="dcterms:W3CDTF">2026-03-05T07:19:00Z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0x0101000E63AF59CAD09D4B9788F469F8B15532</vt:lpwstr>
  </property>
  <property fmtid="{D5CDD505-2E9C-101B-9397-08002B2CF9AE}" pid="3" name="MediaServiceImageTags">
    <vt:lpwstr/>
  </property>
  <property fmtid="{D5CDD505-2E9C-101B-9397-08002B2CF9AE}" pid="4" name="docLangLocale">
    <vt:lpwstr>zh-hans</vt:lpwstr>
  </property>
  <property fmtid="{D5CDD505-2E9C-101B-9397-08002B2CF9AE}" pid="5" name="docLang">
    <vt:lpwstr>zh</vt:lpwstr>
  </property>
</Properties>
</file>