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DCA1" w14:textId="77777777" w:rsidR="00225B70" w:rsidRDefault="00000000">
      <w:pPr>
        <w:jc w:val="center"/>
        <w:rPr>
          <w:rFonts w:ascii="Arial" w:eastAsia="黑体" w:hAnsi="Arial" w:cs="Arial"/>
          <w:bCs/>
          <w:sz w:val="36"/>
          <w:szCs w:val="36"/>
        </w:rPr>
      </w:pPr>
      <w:bookmarkStart w:id="0" w:name="OLE_LINK2"/>
      <w:bookmarkStart w:id="1" w:name="OLE_LINK1"/>
      <w:bookmarkStart w:id="2" w:name="OLE_LINK15"/>
      <w:r>
        <w:rPr>
          <w:rFonts w:ascii="Arial" w:eastAsia="黑体" w:hAnsi="Arial" w:cs="Arial"/>
          <w:bCs/>
          <w:sz w:val="36"/>
          <w:szCs w:val="36"/>
        </w:rPr>
        <w:t>经营者集中简易案件公示表</w:t>
      </w:r>
      <w:bookmarkEnd w:id="0"/>
      <w:bookmarkEnd w:id="1"/>
      <w:bookmarkEnd w:id="2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746"/>
        <w:gridCol w:w="5954"/>
      </w:tblGrid>
      <w:tr w:rsidR="00225B70" w14:paraId="41F661DB" w14:textId="77777777">
        <w:trPr>
          <w:trHeight w:val="802"/>
        </w:trPr>
        <w:tc>
          <w:tcPr>
            <w:tcW w:w="1940" w:type="dxa"/>
            <w:shd w:val="clear" w:color="auto" w:fill="D9D9D9"/>
            <w:vAlign w:val="center"/>
          </w:tcPr>
          <w:p w14:paraId="687CE2E1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1A18BC24" w14:textId="0578BB91" w:rsidR="00225B70" w:rsidRDefault="00000000">
            <w:pPr>
              <w:spacing w:after="0"/>
              <w:rPr>
                <w:bCs/>
                <w:color w:val="000000"/>
                <w:lang w:val="en-US"/>
              </w:rPr>
            </w:pPr>
            <w:r>
              <w:t>双日株式会社与</w:t>
            </w:r>
            <w:proofErr w:type="spellStart"/>
            <w:r>
              <w:t>Invesis</w:t>
            </w:r>
            <w:proofErr w:type="spellEnd"/>
            <w:r>
              <w:t xml:space="preserve"> Group B.V.</w:t>
            </w:r>
            <w:r>
              <w:t>收购</w:t>
            </w:r>
            <w:r w:rsidR="009551A9">
              <w:t>Cornerstone Infrastructure Partners LP</w:t>
            </w:r>
            <w:r>
              <w:t>公司</w:t>
            </w:r>
            <w:r>
              <w:rPr>
                <w:rFonts w:hint="eastAsia"/>
              </w:rPr>
              <w:t>股</w:t>
            </w:r>
            <w:r>
              <w:t>权案</w:t>
            </w:r>
          </w:p>
        </w:tc>
      </w:tr>
      <w:tr w:rsidR="00225B70" w14:paraId="57133F58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2414F1EA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>
              <w:rPr>
                <w:rFonts w:cs="Times New Roman"/>
                <w:bCs/>
                <w:color w:val="000000"/>
                <w:lang w:eastAsia="zh-CN"/>
              </w:rPr>
              <w:t>200</w:t>
            </w:r>
            <w:r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</w:tcPr>
          <w:p w14:paraId="3EC08A75" w14:textId="446421CE" w:rsidR="00951E93" w:rsidRDefault="00000000" w:rsidP="00951E93">
            <w:pPr>
              <w:adjustRightInd w:val="0"/>
              <w:snapToGrid w:val="0"/>
              <w:spacing w:after="0"/>
            </w:pPr>
            <w:r>
              <w:rPr>
                <w:lang w:val="en-US"/>
              </w:rPr>
              <w:t>双日株式会社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双日</w:t>
            </w:r>
            <w:r>
              <w:rPr>
                <w:rFonts w:hint="eastAsia"/>
                <w:lang w:val="en-US"/>
              </w:rPr>
              <w:t>）</w:t>
            </w:r>
            <w:r w:rsidR="008C6568">
              <w:rPr>
                <w:rFonts w:hint="eastAsia"/>
                <w:lang w:val="en-US"/>
              </w:rPr>
              <w:t>与</w:t>
            </w:r>
            <w:proofErr w:type="spellStart"/>
            <w:r>
              <w:rPr>
                <w:lang w:val="en-US"/>
              </w:rPr>
              <w:t>Invesis</w:t>
            </w:r>
            <w:proofErr w:type="spellEnd"/>
            <w:r>
              <w:rPr>
                <w:lang w:val="en-US"/>
              </w:rPr>
              <w:t xml:space="preserve"> Group B.V.</w:t>
            </w:r>
            <w:r>
              <w:rPr>
                <w:lang w:val="en-US"/>
              </w:rPr>
              <w:t>（</w:t>
            </w:r>
            <w:proofErr w:type="spellStart"/>
            <w:r>
              <w:rPr>
                <w:b/>
                <w:bCs/>
                <w:lang w:val="en-US"/>
              </w:rPr>
              <w:t>Invesis</w:t>
            </w:r>
            <w:proofErr w:type="spellEnd"/>
            <w:r>
              <w:t>）</w:t>
            </w:r>
            <w:r w:rsidR="008C6568">
              <w:rPr>
                <w:rFonts w:hint="eastAsia"/>
              </w:rPr>
              <w:t>分别</w:t>
            </w:r>
            <w:r>
              <w:t>通过</w:t>
            </w:r>
            <w:r>
              <w:rPr>
                <w:rFonts w:hint="eastAsia"/>
              </w:rPr>
              <w:t>其</w:t>
            </w:r>
            <w:r>
              <w:t>子公司签署《证券买卖协议》，</w:t>
            </w:r>
            <w:r w:rsidR="009551A9">
              <w:rPr>
                <w:rFonts w:hint="eastAsia"/>
              </w:rPr>
              <w:t>间接</w:t>
            </w:r>
            <w:r>
              <w:t>收购</w:t>
            </w:r>
            <w:r w:rsidR="009551A9">
              <w:t>Cornerstone Infrastructure Partners LP</w:t>
            </w:r>
            <w:r>
              <w:rPr>
                <w:lang w:val="en-US"/>
              </w:rPr>
              <w:t>（</w:t>
            </w:r>
            <w:r>
              <w:rPr>
                <w:b/>
                <w:bCs/>
                <w:lang w:val="en-US"/>
              </w:rPr>
              <w:t>CIP LP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30%</w:t>
            </w:r>
            <w:r>
              <w:t>的合伙权益，</w:t>
            </w:r>
            <w:r>
              <w:rPr>
                <w:lang w:val="en-US"/>
              </w:rPr>
              <w:t>以及</w:t>
            </w:r>
            <w:r w:rsidR="009551A9">
              <w:rPr>
                <w:rFonts w:eastAsia="DengXian"/>
                <w:szCs w:val="21"/>
                <w:lang w:val="en-US"/>
              </w:rPr>
              <w:t>CIP Project General Partner Limited</w:t>
            </w:r>
            <w:r>
              <w:rPr>
                <w:lang w:val="en-US"/>
              </w:rPr>
              <w:t>（</w:t>
            </w:r>
            <w:r>
              <w:rPr>
                <w:b/>
                <w:bCs/>
                <w:lang w:val="en-US"/>
              </w:rPr>
              <w:t>CIP GP</w:t>
            </w:r>
            <w:r>
              <w:rPr>
                <w:lang w:val="en-US"/>
              </w:rPr>
              <w:t>）</w:t>
            </w:r>
            <w:r>
              <w:t xml:space="preserve">30% </w:t>
            </w:r>
            <w:r>
              <w:t>的股权。</w:t>
            </w:r>
            <w:r w:rsidR="008C6568">
              <w:rPr>
                <w:rFonts w:hint="eastAsia"/>
              </w:rPr>
              <w:t>CIP LP</w:t>
            </w:r>
            <w:r>
              <w:t>的核心业务</w:t>
            </w:r>
            <w:r>
              <w:rPr>
                <w:rFonts w:hint="eastAsia"/>
              </w:rPr>
              <w:t>是</w:t>
            </w:r>
            <w:r>
              <w:t>为新西兰怀凯里亚监狱提供建设及维护服务</w:t>
            </w:r>
            <w:r w:rsidR="008C6568">
              <w:rPr>
                <w:rFonts w:hint="eastAsia"/>
              </w:rPr>
              <w:t>，</w:t>
            </w:r>
            <w:r w:rsidR="008C6568">
              <w:rPr>
                <w:rFonts w:hint="eastAsia"/>
              </w:rPr>
              <w:t>CIP GP</w:t>
            </w:r>
            <w:r w:rsidR="0045357C">
              <w:rPr>
                <w:rFonts w:hint="eastAsia"/>
              </w:rPr>
              <w:t>仅</w:t>
            </w:r>
            <w:r w:rsidR="008C6568">
              <w:rPr>
                <w:rFonts w:hint="eastAsia"/>
              </w:rPr>
              <w:t>从事</w:t>
            </w:r>
            <w:r w:rsidR="008C6568">
              <w:rPr>
                <w:rFonts w:hint="eastAsia"/>
              </w:rPr>
              <w:t>CIP LP</w:t>
            </w:r>
            <w:r w:rsidR="008C6568">
              <w:rPr>
                <w:rFonts w:hint="eastAsia"/>
              </w:rPr>
              <w:t>的管理工作</w:t>
            </w:r>
            <w:r>
              <w:t>。</w:t>
            </w:r>
          </w:p>
          <w:p w14:paraId="30DADB13" w14:textId="7BB797E6" w:rsidR="00225B70" w:rsidRDefault="00000000" w:rsidP="00CE0DDE">
            <w:pPr>
              <w:adjustRightInd w:val="0"/>
              <w:snapToGrid w:val="0"/>
              <w:spacing w:after="0"/>
              <w:rPr>
                <w:color w:val="000000"/>
                <w:lang w:val="en-US" w:bidi="ar-SA"/>
              </w:rPr>
            </w:pPr>
            <w:r>
              <w:t>交易前，</w:t>
            </w:r>
            <w:r w:rsidR="008C6568">
              <w:rPr>
                <w:rFonts w:hint="eastAsia"/>
              </w:rPr>
              <w:t>CIP LP</w:t>
            </w:r>
            <w:r w:rsidR="008C6568">
              <w:rPr>
                <w:rFonts w:hint="eastAsia"/>
              </w:rPr>
              <w:t>和</w:t>
            </w:r>
            <w:r w:rsidR="008C6568">
              <w:rPr>
                <w:rFonts w:hint="eastAsia"/>
              </w:rPr>
              <w:t>CIP GP</w:t>
            </w:r>
            <w:r w:rsidR="00951E93">
              <w:rPr>
                <w:rFonts w:hint="eastAsia"/>
              </w:rPr>
              <w:t>的合伙权益和股权由</w:t>
            </w:r>
            <w:r>
              <w:t>H.R.L. Morrison &amp; Co Group Limited Partnership</w:t>
            </w:r>
            <w:r>
              <w:t>（</w:t>
            </w:r>
            <w:r>
              <w:rPr>
                <w:b/>
                <w:bCs/>
              </w:rPr>
              <w:t>Morrison</w:t>
            </w:r>
            <w:r>
              <w:t>）</w:t>
            </w:r>
            <w:r w:rsidR="00951E93">
              <w:rPr>
                <w:rFonts w:hint="eastAsia"/>
              </w:rPr>
              <w:t>通过其控制实体合计持有</w:t>
            </w:r>
            <w:r w:rsidR="00951E93">
              <w:rPr>
                <w:rFonts w:hint="eastAsia"/>
              </w:rPr>
              <w:t>60%</w:t>
            </w:r>
            <w:r w:rsidR="00951E93">
              <w:rPr>
                <w:rFonts w:hint="eastAsia"/>
              </w:rPr>
              <w:t>，</w:t>
            </w:r>
            <w:r>
              <w:t>Pacific Partnerships Pty Ltd</w:t>
            </w:r>
            <w:r>
              <w:t>（</w:t>
            </w:r>
            <w:r>
              <w:rPr>
                <w:b/>
                <w:bCs/>
              </w:rPr>
              <w:t>PP</w:t>
            </w:r>
            <w:r>
              <w:t>）</w:t>
            </w:r>
            <w:r w:rsidR="00951E93">
              <w:rPr>
                <w:rFonts w:hint="eastAsia"/>
              </w:rPr>
              <w:t>持有</w:t>
            </w:r>
            <w:r w:rsidR="00951E93">
              <w:t>40%</w:t>
            </w:r>
            <w:r>
              <w:rPr>
                <w:lang w:val="en-US"/>
              </w:rPr>
              <w:t>，</w:t>
            </w:r>
            <w:r w:rsidR="00951E93">
              <w:rPr>
                <w:rFonts w:hint="eastAsia"/>
                <w:lang w:val="en-US"/>
              </w:rPr>
              <w:t>由</w:t>
            </w:r>
            <w:r w:rsidR="00951E93" w:rsidRPr="00951E93">
              <w:t>Morrison</w:t>
            </w:r>
            <w:r w:rsidR="00951E93">
              <w:rPr>
                <w:rFonts w:hint="eastAsia"/>
              </w:rPr>
              <w:t>和</w:t>
            </w:r>
            <w:r w:rsidR="00951E93">
              <w:rPr>
                <w:rFonts w:hint="eastAsia"/>
              </w:rPr>
              <w:t>PP</w:t>
            </w:r>
            <w:r w:rsidR="00951E93">
              <w:rPr>
                <w:rFonts w:hint="eastAsia"/>
              </w:rPr>
              <w:t>共同控制</w:t>
            </w:r>
            <w:r w:rsidR="00951E93">
              <w:rPr>
                <w:rFonts w:hint="eastAsia"/>
              </w:rPr>
              <w:t>CIP LP</w:t>
            </w:r>
            <w:r w:rsidR="00951E93">
              <w:rPr>
                <w:rFonts w:hint="eastAsia"/>
              </w:rPr>
              <w:t>和</w:t>
            </w:r>
            <w:r w:rsidR="00951E93">
              <w:rPr>
                <w:rFonts w:hint="eastAsia"/>
              </w:rPr>
              <w:t>CIP GP</w:t>
            </w:r>
            <w:r>
              <w:t>。</w:t>
            </w:r>
            <w:r>
              <w:rPr>
                <w:lang w:val="en-US"/>
              </w:rPr>
              <w:t>交易后，</w:t>
            </w:r>
            <w:r w:rsidR="00951E93">
              <w:rPr>
                <w:rFonts w:hint="eastAsia"/>
              </w:rPr>
              <w:t>CIP LP</w:t>
            </w:r>
            <w:r w:rsidR="00951E93">
              <w:rPr>
                <w:rFonts w:hint="eastAsia"/>
              </w:rPr>
              <w:t>和</w:t>
            </w:r>
            <w:r w:rsidR="00951E93">
              <w:rPr>
                <w:rFonts w:hint="eastAsia"/>
              </w:rPr>
              <w:t>CIP GP</w:t>
            </w:r>
            <w:r w:rsidR="00951E93">
              <w:rPr>
                <w:rFonts w:hint="eastAsia"/>
              </w:rPr>
              <w:t>的股权将</w:t>
            </w:r>
            <w:r w:rsidR="00DD0995">
              <w:rPr>
                <w:rFonts w:hint="eastAsia"/>
              </w:rPr>
              <w:t>间接</w:t>
            </w:r>
            <w:r w:rsidR="00951E93">
              <w:rPr>
                <w:rFonts w:hint="eastAsia"/>
              </w:rPr>
              <w:t>由</w:t>
            </w:r>
            <w:r>
              <w:rPr>
                <w:lang w:val="en-US"/>
              </w:rPr>
              <w:t>双日</w:t>
            </w:r>
            <w:r w:rsidR="00951E93">
              <w:rPr>
                <w:rFonts w:hint="eastAsia"/>
                <w:lang w:val="en-US"/>
              </w:rPr>
              <w:t>持有</w:t>
            </w:r>
            <w:r w:rsidR="008C6568">
              <w:rPr>
                <w:rFonts w:hint="eastAsia"/>
                <w:lang w:val="en-US"/>
              </w:rPr>
              <w:t>30%</w:t>
            </w:r>
            <w:r>
              <w:rPr>
                <w:rFonts w:hint="eastAsia"/>
              </w:rPr>
              <w:t>、</w:t>
            </w:r>
            <w:proofErr w:type="spellStart"/>
            <w:r>
              <w:t>Invesis</w:t>
            </w:r>
            <w:proofErr w:type="spellEnd"/>
            <w:r w:rsidR="008C6568">
              <w:rPr>
                <w:rFonts w:hint="eastAsia"/>
                <w:lang w:val="en-US"/>
              </w:rPr>
              <w:t>持有</w:t>
            </w:r>
            <w:r w:rsidR="008C6568">
              <w:rPr>
                <w:rFonts w:hint="eastAsia"/>
                <w:lang w:val="en-US"/>
              </w:rPr>
              <w:t>30%</w:t>
            </w:r>
            <w:r>
              <w:t>，</w:t>
            </w:r>
            <w:r>
              <w:t>PP</w:t>
            </w:r>
            <w:r w:rsidR="008C6568">
              <w:rPr>
                <w:rFonts w:hint="eastAsia"/>
                <w:lang w:val="en-US"/>
              </w:rPr>
              <w:t>持有</w:t>
            </w:r>
            <w:r w:rsidR="008C6568">
              <w:rPr>
                <w:rFonts w:hint="eastAsia"/>
                <w:lang w:val="en-US"/>
              </w:rPr>
              <w:t>40%</w:t>
            </w:r>
            <w:r w:rsidR="008C6568">
              <w:rPr>
                <w:rFonts w:hint="eastAsia"/>
                <w:lang w:val="en-US"/>
              </w:rPr>
              <w:t>，</w:t>
            </w:r>
            <w:r w:rsidR="00951E93">
              <w:rPr>
                <w:rFonts w:hint="eastAsia"/>
                <w:lang w:val="en-US"/>
              </w:rPr>
              <w:t>并由三方</w:t>
            </w:r>
            <w:r w:rsidR="008C6568">
              <w:rPr>
                <w:rFonts w:hint="eastAsia"/>
                <w:lang w:val="en-US"/>
              </w:rPr>
              <w:t>共同控制</w:t>
            </w:r>
            <w:r>
              <w:rPr>
                <w:lang w:val="en-US"/>
              </w:rPr>
              <w:t>。</w:t>
            </w:r>
          </w:p>
        </w:tc>
      </w:tr>
      <w:tr w:rsidR="00225B70" w14:paraId="09258103" w14:textId="77777777">
        <w:trPr>
          <w:trHeight w:val="133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871EBD6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46" w:type="dxa"/>
          </w:tcPr>
          <w:p w14:paraId="6571348D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lang w:val="en-US" w:eastAsia="zh-CN"/>
              </w:rPr>
              <w:t>1.</w:t>
            </w:r>
            <w:r>
              <w:rPr>
                <w:rFonts w:cs="Times New Roman"/>
                <w:lang w:val="en-US" w:eastAsia="zh-CN"/>
              </w:rPr>
              <w:t>双日</w:t>
            </w:r>
          </w:p>
        </w:tc>
        <w:tc>
          <w:tcPr>
            <w:tcW w:w="5954" w:type="dxa"/>
          </w:tcPr>
          <w:p w14:paraId="12E6F486" w14:textId="4241796E" w:rsidR="0035277F" w:rsidRDefault="0035277F" w:rsidP="0035277F">
            <w:pPr>
              <w:spacing w:after="0"/>
            </w:pPr>
            <w:r>
              <w:rPr>
                <w:rFonts w:hint="eastAsia"/>
              </w:rPr>
              <w:t>双日于</w:t>
            </w:r>
            <w:r>
              <w:rPr>
                <w:rFonts w:hint="eastAsia"/>
              </w:rPr>
              <w:t>2003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日成立于日本，为东京证券交易所上市公司，主要</w:t>
            </w:r>
            <w:r w:rsidR="003853E5">
              <w:rPr>
                <w:rFonts w:hint="eastAsia"/>
              </w:rPr>
              <w:t>业务包括</w:t>
            </w:r>
            <w:r w:rsidR="00F06315">
              <w:rPr>
                <w:rFonts w:hint="eastAsia"/>
              </w:rPr>
              <w:t>全球</w:t>
            </w:r>
            <w:r w:rsidR="003853E5">
              <w:rPr>
                <w:rFonts w:hint="eastAsia"/>
              </w:rPr>
              <w:t>商品贸易，在</w:t>
            </w:r>
            <w:r>
              <w:rPr>
                <w:rFonts w:hint="eastAsia"/>
              </w:rPr>
              <w:t>汽车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航空航天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交通与基础设施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能源解决方案与医疗保健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金属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矿产资源与回收利用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化学品</w:t>
            </w:r>
            <w:r w:rsidR="003853E5">
              <w:rPr>
                <w:rFonts w:hint="eastAsia"/>
              </w:rPr>
              <w:t>、</w:t>
            </w:r>
            <w:r>
              <w:rPr>
                <w:rFonts w:hint="eastAsia"/>
              </w:rPr>
              <w:t>消费产业与农业业务以及零售与消费者服务等七个</w:t>
            </w:r>
            <w:r w:rsidR="003853E5" w:rsidRPr="003853E5">
              <w:rPr>
                <w:rFonts w:hint="eastAsia"/>
              </w:rPr>
              <w:t>领域开展投资与经营</w:t>
            </w:r>
            <w:r>
              <w:rPr>
                <w:rFonts w:hint="eastAsia"/>
              </w:rPr>
              <w:t>。</w:t>
            </w:r>
          </w:p>
          <w:p w14:paraId="42F9EDD3" w14:textId="7D234D99" w:rsidR="00225B70" w:rsidRDefault="0035277F" w:rsidP="0035277F">
            <w:pPr>
              <w:spacing w:after="0"/>
            </w:pPr>
            <w:r>
              <w:rPr>
                <w:rFonts w:hint="eastAsia"/>
              </w:rPr>
              <w:t>双日无最终控制人。</w:t>
            </w:r>
          </w:p>
        </w:tc>
      </w:tr>
      <w:tr w:rsidR="00225B70" w14:paraId="40E835AA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7ED2FCE5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46" w:type="dxa"/>
          </w:tcPr>
          <w:p w14:paraId="7F3CCEDB" w14:textId="77777777" w:rsidR="00225B70" w:rsidRDefault="00000000">
            <w:pPr>
              <w:pStyle w:val="a0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proofErr w:type="spellStart"/>
            <w:r>
              <w:rPr>
                <w:rFonts w:cs="Times New Roman"/>
                <w:lang w:val="en-US" w:eastAsia="zh-CN"/>
              </w:rPr>
              <w:t>Invesis</w:t>
            </w:r>
            <w:proofErr w:type="spellEnd"/>
          </w:p>
          <w:p w14:paraId="5AD89687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5954" w:type="dxa"/>
          </w:tcPr>
          <w:p w14:paraId="42139355" w14:textId="68B01871" w:rsidR="00225B70" w:rsidRDefault="00000000">
            <w:pPr>
              <w:spacing w:after="0"/>
            </w:pPr>
            <w:proofErr w:type="spellStart"/>
            <w:r>
              <w:t>Invesis</w:t>
            </w:r>
            <w:proofErr w:type="spellEnd"/>
            <w:r>
              <w:t xml:space="preserve"> 20</w:t>
            </w:r>
            <w:r>
              <w:rPr>
                <w:rFonts w:hint="eastAsia"/>
                <w:lang w:val="en-US"/>
              </w:rPr>
              <w:t>04</w:t>
            </w:r>
            <w:r>
              <w:t>年</w:t>
            </w:r>
            <w:r>
              <w:rPr>
                <w:rFonts w:hint="eastAsia"/>
                <w:lang w:val="en-US"/>
              </w:rPr>
              <w:t>12</w:t>
            </w:r>
            <w:r>
              <w:t>月</w:t>
            </w:r>
            <w:r>
              <w:rPr>
                <w:rFonts w:hint="eastAsia"/>
                <w:lang w:val="en-US"/>
              </w:rPr>
              <w:t>16</w:t>
            </w:r>
            <w:r>
              <w:t>日在荷兰成立，</w:t>
            </w:r>
            <w:r>
              <w:rPr>
                <w:lang w:val="en-US"/>
              </w:rPr>
              <w:t>是</w:t>
            </w:r>
            <w:r>
              <w:rPr>
                <w:szCs w:val="21"/>
              </w:rPr>
              <w:t>荷兰基础设施项目投资者及开发商</w:t>
            </w:r>
            <w:r>
              <w:t>。</w:t>
            </w:r>
          </w:p>
          <w:p w14:paraId="0407F900" w14:textId="77777777" w:rsidR="00225B70" w:rsidRDefault="00000000">
            <w:pPr>
              <w:spacing w:after="0"/>
              <w:rPr>
                <w:bCs/>
                <w:color w:val="000000"/>
                <w:lang w:val="en-US"/>
              </w:rPr>
            </w:pPr>
            <w:r>
              <w:t>I</w:t>
            </w:r>
            <w:proofErr w:type="spellStart"/>
            <w:r>
              <w:rPr>
                <w:rFonts w:hint="eastAsia"/>
                <w:szCs w:val="21"/>
                <w:lang w:val="en-US"/>
              </w:rPr>
              <w:t>nvesis</w:t>
            </w:r>
            <w:proofErr w:type="spellEnd"/>
            <w:r>
              <w:rPr>
                <w:rFonts w:hint="eastAsia"/>
                <w:szCs w:val="21"/>
                <w:lang w:val="en-US"/>
              </w:rPr>
              <w:t>的最终控制人是</w:t>
            </w:r>
            <w:r>
              <w:t xml:space="preserve">PGGM </w:t>
            </w:r>
            <w:proofErr w:type="spellStart"/>
            <w:r>
              <w:t>Coöperatie</w:t>
            </w:r>
            <w:proofErr w:type="spellEnd"/>
            <w:r>
              <w:t xml:space="preserve"> U.A.</w:t>
            </w:r>
            <w:r>
              <w:rPr>
                <w:lang w:val="en-US"/>
              </w:rPr>
              <w:t>，</w:t>
            </w:r>
            <w:r>
              <w:t xml:space="preserve">PGGM </w:t>
            </w:r>
            <w:proofErr w:type="spellStart"/>
            <w:r>
              <w:t>Coöperatie</w:t>
            </w:r>
            <w:proofErr w:type="spellEnd"/>
            <w:r>
              <w:t xml:space="preserve"> U.A</w:t>
            </w:r>
            <w:r>
              <w:rPr>
                <w:lang w:val="en-US"/>
              </w:rPr>
              <w:t>是在荷兰注册设立的</w:t>
            </w:r>
            <w:r>
              <w:rPr>
                <w:rFonts w:ascii="宋体" w:hAnsi="宋体" w:cs="宋体" w:hint="eastAsia"/>
                <w:szCs w:val="21"/>
                <w:lang w:val="en-US"/>
              </w:rPr>
              <w:t>合作制实体</w:t>
            </w:r>
            <w:r>
              <w:rPr>
                <w:lang w:val="en-US"/>
              </w:rPr>
              <w:t>，其</w:t>
            </w:r>
            <w:r>
              <w:rPr>
                <w:rFonts w:hint="eastAsia"/>
              </w:rPr>
              <w:t>成员</w:t>
            </w:r>
            <w:r>
              <w:t>涵盖医疗及福利领域雇主组织代表、工会代表、雇主、劳动者及退休人员。</w:t>
            </w:r>
          </w:p>
        </w:tc>
      </w:tr>
      <w:tr w:rsidR="00225B70" w14:paraId="353D057C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75F8B3C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46" w:type="dxa"/>
          </w:tcPr>
          <w:p w14:paraId="176D336C" w14:textId="77777777" w:rsidR="00225B70" w:rsidRDefault="00000000">
            <w:pPr>
              <w:pStyle w:val="a0"/>
              <w:numPr>
                <w:ilvl w:val="0"/>
                <w:numId w:val="5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lang w:val="en-US" w:eastAsia="zh-CN"/>
              </w:rPr>
              <w:t>PP</w:t>
            </w:r>
          </w:p>
        </w:tc>
        <w:tc>
          <w:tcPr>
            <w:tcW w:w="5954" w:type="dxa"/>
          </w:tcPr>
          <w:p w14:paraId="535A79AB" w14:textId="77777777" w:rsidR="00225B70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PP</w:t>
            </w:r>
            <w:r>
              <w:t>于</w:t>
            </w:r>
            <w:r>
              <w:t>2014</w:t>
            </w:r>
            <w:r>
              <w:t>年</w:t>
            </w:r>
            <w:r>
              <w:t>9</w:t>
            </w:r>
            <w:r>
              <w:t>月</w:t>
            </w:r>
            <w:r>
              <w:t>30</w:t>
            </w:r>
            <w:r>
              <w:t>日在澳大利亚成立，</w:t>
            </w:r>
            <w:r>
              <w:rPr>
                <w:lang w:val="en-US"/>
              </w:rPr>
              <w:t>是</w:t>
            </w:r>
            <w:r>
              <w:t>一家基础设施领域的投资与开发企业</w:t>
            </w:r>
            <w:r>
              <w:rPr>
                <w:lang w:val="en-US"/>
              </w:rPr>
              <w:t>。</w:t>
            </w:r>
          </w:p>
          <w:p w14:paraId="50FA813E" w14:textId="77777777" w:rsidR="00225B70" w:rsidRDefault="00000000">
            <w:pPr>
              <w:spacing w:after="0"/>
            </w:pPr>
            <w:r>
              <w:rPr>
                <w:rFonts w:hint="eastAsia"/>
                <w:lang w:val="en-US"/>
              </w:rPr>
              <w:t>PP</w:t>
            </w:r>
            <w:r>
              <w:rPr>
                <w:rFonts w:hint="eastAsia"/>
                <w:lang w:val="en-US"/>
              </w:rPr>
              <w:t>的</w:t>
            </w:r>
            <w:r>
              <w:t>最终控制</w:t>
            </w:r>
            <w:r>
              <w:rPr>
                <w:rFonts w:hint="eastAsia"/>
              </w:rPr>
              <w:t>人是</w:t>
            </w:r>
            <w:r>
              <w:rPr>
                <w:rFonts w:hint="eastAsia"/>
                <w:lang w:val="en-US"/>
              </w:rPr>
              <w:t>西班牙企业</w:t>
            </w:r>
            <w:proofErr w:type="spellStart"/>
            <w:r>
              <w:rPr>
                <w:lang w:val="en-US"/>
              </w:rPr>
              <w:t>Actividades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Construcción</w:t>
            </w:r>
            <w:proofErr w:type="spellEnd"/>
            <w:r>
              <w:rPr>
                <w:lang w:val="en-US"/>
              </w:rPr>
              <w:t xml:space="preserve"> y </w:t>
            </w:r>
            <w:proofErr w:type="spellStart"/>
            <w:r>
              <w:rPr>
                <w:lang w:val="en-US"/>
              </w:rPr>
              <w:t>Servicios</w:t>
            </w:r>
            <w:proofErr w:type="spellEnd"/>
            <w:r>
              <w:rPr>
                <w:rFonts w:hint="eastAsia"/>
                <w:lang w:val="en-US"/>
              </w:rPr>
              <w:t>，主要从事</w:t>
            </w:r>
            <w:r>
              <w:t>建筑工程、工业服务及其他服务。</w:t>
            </w:r>
          </w:p>
        </w:tc>
      </w:tr>
      <w:tr w:rsidR="00225B70" w14:paraId="0DBE2025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01083759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46" w:type="dxa"/>
          </w:tcPr>
          <w:p w14:paraId="334007E2" w14:textId="3D832179" w:rsidR="00225B70" w:rsidRDefault="00000000">
            <w:pPr>
              <w:pStyle w:val="a0"/>
              <w:numPr>
                <w:ilvl w:val="0"/>
                <w:numId w:val="5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lang w:val="en-US" w:eastAsia="zh-CN"/>
              </w:rPr>
              <w:t>CIP LP</w:t>
            </w:r>
          </w:p>
        </w:tc>
        <w:tc>
          <w:tcPr>
            <w:tcW w:w="5954" w:type="dxa"/>
          </w:tcPr>
          <w:p w14:paraId="3A7B2592" w14:textId="5423239C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CIP LP</w:t>
            </w:r>
            <w:r>
              <w:rPr>
                <w:rFonts w:cs="Times New Roman"/>
                <w:lang w:eastAsia="zh-CN"/>
              </w:rPr>
              <w:t>于</w:t>
            </w:r>
            <w:r w:rsidR="00FC4C3F">
              <w:rPr>
                <w:rFonts w:cs="Times New Roman" w:hint="eastAsia"/>
                <w:lang w:eastAsia="zh-CN"/>
              </w:rPr>
              <w:t>2018</w:t>
            </w:r>
            <w:r w:rsidR="00FC4C3F">
              <w:rPr>
                <w:rFonts w:cs="Times New Roman" w:hint="eastAsia"/>
                <w:lang w:eastAsia="zh-CN"/>
              </w:rPr>
              <w:t>年</w:t>
            </w:r>
            <w:r w:rsidR="00FC4C3F">
              <w:rPr>
                <w:rFonts w:cs="Times New Roman" w:hint="eastAsia"/>
                <w:lang w:eastAsia="zh-CN"/>
              </w:rPr>
              <w:t>2</w:t>
            </w:r>
            <w:r w:rsidR="00FC4C3F">
              <w:rPr>
                <w:rFonts w:cs="Times New Roman" w:hint="eastAsia"/>
                <w:lang w:eastAsia="zh-CN"/>
              </w:rPr>
              <w:t>月</w:t>
            </w:r>
            <w:r w:rsidR="00FC4C3F">
              <w:rPr>
                <w:rFonts w:cs="Times New Roman" w:hint="eastAsia"/>
                <w:lang w:eastAsia="zh-CN"/>
              </w:rPr>
              <w:t>7</w:t>
            </w:r>
            <w:r>
              <w:rPr>
                <w:rFonts w:cs="Times New Roman" w:hint="eastAsia"/>
                <w:lang w:eastAsia="zh-CN"/>
              </w:rPr>
              <w:t>日</w:t>
            </w:r>
            <w:r>
              <w:rPr>
                <w:rFonts w:cs="Times New Roman"/>
                <w:lang w:eastAsia="zh-CN"/>
              </w:rPr>
              <w:t>在新西兰注册成立，依据与新西兰政府签订的合同，</w:t>
            </w:r>
            <w:r w:rsidR="009551A9">
              <w:rPr>
                <w:rFonts w:cs="Times New Roman" w:hint="eastAsia"/>
                <w:lang w:eastAsia="zh-CN"/>
              </w:rPr>
              <w:t>由</w:t>
            </w:r>
            <w:r w:rsidR="009551A9">
              <w:rPr>
                <w:rFonts w:cs="Times New Roman" w:hint="eastAsia"/>
                <w:lang w:eastAsia="zh-CN"/>
              </w:rPr>
              <w:t>CIP GP</w:t>
            </w:r>
            <w:r w:rsidR="009551A9">
              <w:rPr>
                <w:rFonts w:cs="Times New Roman" w:hint="eastAsia"/>
                <w:lang w:eastAsia="zh-CN"/>
              </w:rPr>
              <w:t>管理，</w:t>
            </w:r>
            <w:r>
              <w:rPr>
                <w:rFonts w:cs="Times New Roman"/>
                <w:lang w:eastAsia="zh-CN"/>
              </w:rPr>
              <w:t>负责为新西兰怀凯里亚监狱提供建设及运维服务。</w:t>
            </w:r>
          </w:p>
          <w:p w14:paraId="215D276C" w14:textId="138C92A0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>CIP LP</w:t>
            </w:r>
            <w:r w:rsidR="009551A9">
              <w:rPr>
                <w:rFonts w:cs="Times New Roman" w:hint="eastAsia"/>
                <w:lang w:eastAsia="zh-CN"/>
              </w:rPr>
              <w:t>（及</w:t>
            </w:r>
            <w:r w:rsidR="009551A9">
              <w:rPr>
                <w:rFonts w:cs="Times New Roman" w:hint="eastAsia"/>
                <w:lang w:eastAsia="zh-CN"/>
              </w:rPr>
              <w:t>CIP GP</w:t>
            </w:r>
            <w:r w:rsidR="009551A9">
              <w:rPr>
                <w:rFonts w:cs="Times New Roman" w:hint="eastAsia"/>
                <w:lang w:eastAsia="zh-CN"/>
              </w:rPr>
              <w:t>）</w:t>
            </w:r>
            <w:r>
              <w:rPr>
                <w:rFonts w:cs="Times New Roman"/>
                <w:lang w:eastAsia="zh-CN"/>
              </w:rPr>
              <w:t>的最终控制人为</w:t>
            </w:r>
            <w:r>
              <w:rPr>
                <w:rFonts w:cs="Times New Roman"/>
                <w:lang w:eastAsia="zh-CN"/>
              </w:rPr>
              <w:t>Morrison</w:t>
            </w:r>
            <w:r>
              <w:rPr>
                <w:rFonts w:cs="Times New Roman"/>
                <w:lang w:val="en-US" w:eastAsia="zh-CN"/>
              </w:rPr>
              <w:t>和</w:t>
            </w:r>
            <w:r>
              <w:rPr>
                <w:rFonts w:cs="Times New Roman"/>
                <w:lang w:val="en-US" w:eastAsia="zh-CN"/>
              </w:rPr>
              <w:t>PP</w:t>
            </w:r>
            <w:r>
              <w:rPr>
                <w:rFonts w:cs="Times New Roman"/>
                <w:lang w:val="en-US" w:eastAsia="zh-CN"/>
              </w:rPr>
              <w:t>。</w:t>
            </w:r>
            <w:r>
              <w:rPr>
                <w:rFonts w:cs="Times New Roman"/>
                <w:lang w:eastAsia="zh-CN"/>
              </w:rPr>
              <w:t>Morrison</w:t>
            </w:r>
            <w:r>
              <w:rPr>
                <w:rFonts w:cs="Times New Roman"/>
                <w:lang w:val="en-US" w:eastAsia="zh-CN"/>
              </w:rPr>
              <w:t>是</w:t>
            </w:r>
            <w:r>
              <w:rPr>
                <w:rFonts w:cs="Times New Roman" w:hint="eastAsia"/>
                <w:lang w:val="en-US" w:eastAsia="zh-CN"/>
              </w:rPr>
              <w:t>一家</w:t>
            </w:r>
            <w:r>
              <w:rPr>
                <w:rFonts w:cs="Times New Roman"/>
                <w:lang w:val="en-US" w:eastAsia="zh-CN"/>
              </w:rPr>
              <w:t>专业投资管理机构，主要为机构投资者及主权财富基金客户</w:t>
            </w:r>
            <w:r>
              <w:rPr>
                <w:rFonts w:hint="eastAsia"/>
                <w:szCs w:val="21"/>
                <w:lang w:val="en-US" w:eastAsia="zh-CN"/>
              </w:rPr>
              <w:t>提供基础设施资产投资服务</w:t>
            </w:r>
            <w:r>
              <w:rPr>
                <w:rFonts w:cs="Times New Roman"/>
                <w:lang w:val="en-US" w:eastAsia="zh-CN"/>
              </w:rPr>
              <w:t>。</w:t>
            </w:r>
          </w:p>
        </w:tc>
      </w:tr>
      <w:tr w:rsidR="00225B70" w14:paraId="25ADC62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C04E504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bottom"/>
          </w:tcPr>
          <w:p w14:paraId="42D2A26B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cs="Times New Roman"/>
                <w:bCs/>
                <w:color w:val="000000"/>
                <w:lang w:eastAsia="zh-CN"/>
              </w:rPr>
              <w:t>15%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225B70" w14:paraId="7F9194B3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1697937F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0233FF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225B70" w14:paraId="29E5C95A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F0299C8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1D23FC8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 3</w:t>
            </w:r>
            <w:r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225B70" w14:paraId="132104D1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6F6A5889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DD36D9D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225B70" w14:paraId="4E2EDAA7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74C2852A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57B81C9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225B70" w14:paraId="5B9355F3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6872250" w14:textId="77777777" w:rsidR="00225B70" w:rsidRDefault="00225B7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93C5B9D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225B70" w14:paraId="0FF104D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E5522CB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6324A594" w14:textId="77777777" w:rsidR="00225B70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不适用</w:t>
            </w:r>
          </w:p>
        </w:tc>
      </w:tr>
    </w:tbl>
    <w:p w14:paraId="2C52AEE7" w14:textId="77777777" w:rsidR="00225B70" w:rsidRDefault="00225B70">
      <w:pPr>
        <w:pStyle w:val="a0"/>
        <w:adjustRightInd w:val="0"/>
        <w:snapToGrid w:val="0"/>
        <w:spacing w:after="0"/>
        <w:rPr>
          <w:rFonts w:cs="Times New Roman"/>
          <w:b/>
          <w:color w:val="000000"/>
          <w:lang w:eastAsia="zh-CN"/>
        </w:rPr>
      </w:pPr>
    </w:p>
    <w:p w14:paraId="7B0C99BF" w14:textId="77777777" w:rsidR="00225B70" w:rsidRDefault="00225B70">
      <w:pPr>
        <w:pStyle w:val="a0"/>
        <w:ind w:firstLineChars="200" w:firstLine="480"/>
        <w:rPr>
          <w:rFonts w:cs="Times New Roman"/>
          <w:bCs/>
          <w:color w:val="000000"/>
          <w:lang w:eastAsia="zh-CN"/>
        </w:rPr>
      </w:pPr>
    </w:p>
    <w:sectPr w:rsidR="00225B70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2EF6" w14:textId="77777777" w:rsidR="006D236E" w:rsidRDefault="006D236E">
      <w:pPr>
        <w:spacing w:after="0"/>
      </w:pPr>
      <w:r>
        <w:separator/>
      </w:r>
    </w:p>
  </w:endnote>
  <w:endnote w:type="continuationSeparator" w:id="0">
    <w:p w14:paraId="6FB879FC" w14:textId="77777777" w:rsidR="006D236E" w:rsidRDefault="006D2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225B70" w14:paraId="22360CE5" w14:textId="77777777">
      <w:tc>
        <w:tcPr>
          <w:tcW w:w="3080" w:type="dxa"/>
        </w:tcPr>
        <w:p w14:paraId="498115B3" w14:textId="77777777" w:rsidR="00225B70" w:rsidRDefault="00225B70">
          <w:pPr>
            <w:pStyle w:val="aff4"/>
          </w:pPr>
        </w:p>
      </w:tc>
      <w:tc>
        <w:tcPr>
          <w:tcW w:w="3081" w:type="dxa"/>
        </w:tcPr>
        <w:p w14:paraId="782A4685" w14:textId="77777777" w:rsidR="00225B70" w:rsidRDefault="00000000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08E05BFF" w14:textId="77777777" w:rsidR="00225B70" w:rsidRDefault="00225B70">
          <w:pPr>
            <w:pStyle w:val="FooterRight"/>
          </w:pPr>
        </w:p>
      </w:tc>
    </w:tr>
  </w:tbl>
  <w:p w14:paraId="0E997D11" w14:textId="77777777" w:rsidR="00225B70" w:rsidRDefault="00225B70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6B89" w14:textId="77777777" w:rsidR="006D236E" w:rsidRDefault="006D236E">
      <w:pPr>
        <w:spacing w:after="0"/>
      </w:pPr>
      <w:r>
        <w:separator/>
      </w:r>
    </w:p>
  </w:footnote>
  <w:footnote w:type="continuationSeparator" w:id="0">
    <w:p w14:paraId="6478D4E9" w14:textId="77777777" w:rsidR="006D236E" w:rsidRDefault="006D23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E3C930"/>
    <w:multiLevelType w:val="singleLevel"/>
    <w:tmpl w:val="99E3C930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9F6A1C1D"/>
    <w:multiLevelType w:val="singleLevel"/>
    <w:tmpl w:val="9F6A1C1D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590189917">
    <w:abstractNumId w:val="4"/>
  </w:num>
  <w:num w:numId="2" w16cid:durableId="2060398594">
    <w:abstractNumId w:val="2"/>
  </w:num>
  <w:num w:numId="3" w16cid:durableId="271790844">
    <w:abstractNumId w:val="3"/>
  </w:num>
  <w:num w:numId="4" w16cid:durableId="2022855011">
    <w:abstractNumId w:val="1"/>
  </w:num>
  <w:num w:numId="5" w16cid:durableId="7862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QFSet/>
  <w:defaultTabStop w:val="72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FF"/>
    <w:rsid w:val="000027BD"/>
    <w:rsid w:val="000150B7"/>
    <w:rsid w:val="000163CE"/>
    <w:rsid w:val="00021AB2"/>
    <w:rsid w:val="000250A3"/>
    <w:rsid w:val="000326C8"/>
    <w:rsid w:val="00041C40"/>
    <w:rsid w:val="0004292A"/>
    <w:rsid w:val="0004679D"/>
    <w:rsid w:val="000467AA"/>
    <w:rsid w:val="00062616"/>
    <w:rsid w:val="00073E6B"/>
    <w:rsid w:val="0007723F"/>
    <w:rsid w:val="00077D60"/>
    <w:rsid w:val="00080FEB"/>
    <w:rsid w:val="00083590"/>
    <w:rsid w:val="00084B02"/>
    <w:rsid w:val="00092F4E"/>
    <w:rsid w:val="000B58E5"/>
    <w:rsid w:val="000B653C"/>
    <w:rsid w:val="000C6953"/>
    <w:rsid w:val="000E15CB"/>
    <w:rsid w:val="000E29A9"/>
    <w:rsid w:val="000E3A81"/>
    <w:rsid w:val="000E6037"/>
    <w:rsid w:val="000F0EE7"/>
    <w:rsid w:val="00107E19"/>
    <w:rsid w:val="0011018E"/>
    <w:rsid w:val="00115F62"/>
    <w:rsid w:val="00120C39"/>
    <w:rsid w:val="00123E26"/>
    <w:rsid w:val="00145B05"/>
    <w:rsid w:val="00157847"/>
    <w:rsid w:val="001639D8"/>
    <w:rsid w:val="00186A05"/>
    <w:rsid w:val="001965E2"/>
    <w:rsid w:val="001B0D62"/>
    <w:rsid w:val="001B4EA1"/>
    <w:rsid w:val="001C5840"/>
    <w:rsid w:val="001D1555"/>
    <w:rsid w:val="001D6168"/>
    <w:rsid w:val="001E0F1F"/>
    <w:rsid w:val="001F329A"/>
    <w:rsid w:val="001F346E"/>
    <w:rsid w:val="001F35AA"/>
    <w:rsid w:val="001F367B"/>
    <w:rsid w:val="0020714D"/>
    <w:rsid w:val="0021622E"/>
    <w:rsid w:val="00224A7C"/>
    <w:rsid w:val="00225B70"/>
    <w:rsid w:val="002278D1"/>
    <w:rsid w:val="002306E8"/>
    <w:rsid w:val="00231665"/>
    <w:rsid w:val="00233737"/>
    <w:rsid w:val="002403B5"/>
    <w:rsid w:val="00245281"/>
    <w:rsid w:val="00250E61"/>
    <w:rsid w:val="00261F94"/>
    <w:rsid w:val="00267941"/>
    <w:rsid w:val="00287E91"/>
    <w:rsid w:val="00291652"/>
    <w:rsid w:val="002964A1"/>
    <w:rsid w:val="002A25F2"/>
    <w:rsid w:val="002A4811"/>
    <w:rsid w:val="002A7C26"/>
    <w:rsid w:val="002C1E1A"/>
    <w:rsid w:val="002F09A7"/>
    <w:rsid w:val="002F5271"/>
    <w:rsid w:val="00300AEF"/>
    <w:rsid w:val="003017C2"/>
    <w:rsid w:val="00306B88"/>
    <w:rsid w:val="00310488"/>
    <w:rsid w:val="00311263"/>
    <w:rsid w:val="00322259"/>
    <w:rsid w:val="0034107F"/>
    <w:rsid w:val="00344D27"/>
    <w:rsid w:val="0034759D"/>
    <w:rsid w:val="0035277F"/>
    <w:rsid w:val="0035604C"/>
    <w:rsid w:val="003614FA"/>
    <w:rsid w:val="00371332"/>
    <w:rsid w:val="00372E57"/>
    <w:rsid w:val="003850D4"/>
    <w:rsid w:val="003853E5"/>
    <w:rsid w:val="00385F00"/>
    <w:rsid w:val="003866EF"/>
    <w:rsid w:val="003959A0"/>
    <w:rsid w:val="003A4565"/>
    <w:rsid w:val="003B27EC"/>
    <w:rsid w:val="003B2F86"/>
    <w:rsid w:val="003B41D6"/>
    <w:rsid w:val="003B4439"/>
    <w:rsid w:val="003B4C9E"/>
    <w:rsid w:val="003B7CBC"/>
    <w:rsid w:val="003C3456"/>
    <w:rsid w:val="003C6C86"/>
    <w:rsid w:val="003E3B57"/>
    <w:rsid w:val="003E73DB"/>
    <w:rsid w:val="00410914"/>
    <w:rsid w:val="004119F5"/>
    <w:rsid w:val="004166B2"/>
    <w:rsid w:val="004203EF"/>
    <w:rsid w:val="00427E52"/>
    <w:rsid w:val="00446353"/>
    <w:rsid w:val="0044739B"/>
    <w:rsid w:val="0045357C"/>
    <w:rsid w:val="00467A6B"/>
    <w:rsid w:val="0049707A"/>
    <w:rsid w:val="004973DB"/>
    <w:rsid w:val="0049771A"/>
    <w:rsid w:val="004A4BF1"/>
    <w:rsid w:val="004C07E9"/>
    <w:rsid w:val="004C3420"/>
    <w:rsid w:val="004D018B"/>
    <w:rsid w:val="004D124C"/>
    <w:rsid w:val="004D38E8"/>
    <w:rsid w:val="004D4435"/>
    <w:rsid w:val="004E1018"/>
    <w:rsid w:val="004F67A3"/>
    <w:rsid w:val="00512A53"/>
    <w:rsid w:val="00523905"/>
    <w:rsid w:val="005251B9"/>
    <w:rsid w:val="00530BB4"/>
    <w:rsid w:val="00534729"/>
    <w:rsid w:val="00545A47"/>
    <w:rsid w:val="0057200D"/>
    <w:rsid w:val="00572A46"/>
    <w:rsid w:val="0058796F"/>
    <w:rsid w:val="00591CEC"/>
    <w:rsid w:val="005B0CEB"/>
    <w:rsid w:val="005B18A3"/>
    <w:rsid w:val="005D277C"/>
    <w:rsid w:val="005D6D17"/>
    <w:rsid w:val="005E7B2F"/>
    <w:rsid w:val="005F5280"/>
    <w:rsid w:val="005F7223"/>
    <w:rsid w:val="00601590"/>
    <w:rsid w:val="0060413B"/>
    <w:rsid w:val="00605EE6"/>
    <w:rsid w:val="0060669E"/>
    <w:rsid w:val="006101CF"/>
    <w:rsid w:val="00614B16"/>
    <w:rsid w:val="00614EBB"/>
    <w:rsid w:val="0061583E"/>
    <w:rsid w:val="00617BCA"/>
    <w:rsid w:val="006204FC"/>
    <w:rsid w:val="00632159"/>
    <w:rsid w:val="00645B6A"/>
    <w:rsid w:val="00655225"/>
    <w:rsid w:val="00664174"/>
    <w:rsid w:val="006643EA"/>
    <w:rsid w:val="0067348D"/>
    <w:rsid w:val="006745A9"/>
    <w:rsid w:val="00682729"/>
    <w:rsid w:val="006B4541"/>
    <w:rsid w:val="006C0FF9"/>
    <w:rsid w:val="006C52FD"/>
    <w:rsid w:val="006C566D"/>
    <w:rsid w:val="006D0225"/>
    <w:rsid w:val="006D1E2B"/>
    <w:rsid w:val="006D236E"/>
    <w:rsid w:val="006E0D98"/>
    <w:rsid w:val="006E3180"/>
    <w:rsid w:val="006E6E26"/>
    <w:rsid w:val="006E70AA"/>
    <w:rsid w:val="006F7A98"/>
    <w:rsid w:val="007026AF"/>
    <w:rsid w:val="007029CB"/>
    <w:rsid w:val="00705778"/>
    <w:rsid w:val="0070625B"/>
    <w:rsid w:val="00710193"/>
    <w:rsid w:val="0071373B"/>
    <w:rsid w:val="00720F7B"/>
    <w:rsid w:val="00726B19"/>
    <w:rsid w:val="00727BD0"/>
    <w:rsid w:val="00730EE2"/>
    <w:rsid w:val="007373F0"/>
    <w:rsid w:val="00742AFE"/>
    <w:rsid w:val="00742EDF"/>
    <w:rsid w:val="00750627"/>
    <w:rsid w:val="00751420"/>
    <w:rsid w:val="0076263A"/>
    <w:rsid w:val="007674D7"/>
    <w:rsid w:val="00772298"/>
    <w:rsid w:val="00794062"/>
    <w:rsid w:val="00797584"/>
    <w:rsid w:val="007A2D94"/>
    <w:rsid w:val="007B442D"/>
    <w:rsid w:val="007B5554"/>
    <w:rsid w:val="007B651A"/>
    <w:rsid w:val="007B6ED8"/>
    <w:rsid w:val="007B75E4"/>
    <w:rsid w:val="007C0F74"/>
    <w:rsid w:val="007D22CF"/>
    <w:rsid w:val="007E2608"/>
    <w:rsid w:val="007F1726"/>
    <w:rsid w:val="0080200E"/>
    <w:rsid w:val="00803A33"/>
    <w:rsid w:val="008051ED"/>
    <w:rsid w:val="00811775"/>
    <w:rsid w:val="008248B2"/>
    <w:rsid w:val="00832AF3"/>
    <w:rsid w:val="00834D88"/>
    <w:rsid w:val="00860DB8"/>
    <w:rsid w:val="00861109"/>
    <w:rsid w:val="00861D1C"/>
    <w:rsid w:val="00864085"/>
    <w:rsid w:val="008756AD"/>
    <w:rsid w:val="008803D0"/>
    <w:rsid w:val="00880F24"/>
    <w:rsid w:val="008836AF"/>
    <w:rsid w:val="00885C9B"/>
    <w:rsid w:val="00893879"/>
    <w:rsid w:val="008B2172"/>
    <w:rsid w:val="008C6568"/>
    <w:rsid w:val="008D4ED8"/>
    <w:rsid w:val="008D644E"/>
    <w:rsid w:val="008E5BCA"/>
    <w:rsid w:val="009022B0"/>
    <w:rsid w:val="00905F4A"/>
    <w:rsid w:val="009145E4"/>
    <w:rsid w:val="009301D9"/>
    <w:rsid w:val="00933E96"/>
    <w:rsid w:val="0094346F"/>
    <w:rsid w:val="00951E93"/>
    <w:rsid w:val="00953187"/>
    <w:rsid w:val="009551A9"/>
    <w:rsid w:val="009551E9"/>
    <w:rsid w:val="0096333E"/>
    <w:rsid w:val="00965502"/>
    <w:rsid w:val="009668EC"/>
    <w:rsid w:val="009770C8"/>
    <w:rsid w:val="00977C3B"/>
    <w:rsid w:val="009901B5"/>
    <w:rsid w:val="00997792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7FF1"/>
    <w:rsid w:val="009E0E21"/>
    <w:rsid w:val="009F044D"/>
    <w:rsid w:val="009F0698"/>
    <w:rsid w:val="00A05705"/>
    <w:rsid w:val="00A16F03"/>
    <w:rsid w:val="00A21136"/>
    <w:rsid w:val="00A3323A"/>
    <w:rsid w:val="00A341C8"/>
    <w:rsid w:val="00A430D8"/>
    <w:rsid w:val="00A44462"/>
    <w:rsid w:val="00A46C66"/>
    <w:rsid w:val="00A46FAF"/>
    <w:rsid w:val="00A5674A"/>
    <w:rsid w:val="00A57D45"/>
    <w:rsid w:val="00A623EF"/>
    <w:rsid w:val="00A64F91"/>
    <w:rsid w:val="00A728F1"/>
    <w:rsid w:val="00A7438D"/>
    <w:rsid w:val="00A74797"/>
    <w:rsid w:val="00A7601D"/>
    <w:rsid w:val="00A81984"/>
    <w:rsid w:val="00AA0F23"/>
    <w:rsid w:val="00AA3E2F"/>
    <w:rsid w:val="00AA46CA"/>
    <w:rsid w:val="00AA535B"/>
    <w:rsid w:val="00AC0336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04F04"/>
    <w:rsid w:val="00B2169A"/>
    <w:rsid w:val="00B31D4D"/>
    <w:rsid w:val="00B3616B"/>
    <w:rsid w:val="00B37633"/>
    <w:rsid w:val="00B518C9"/>
    <w:rsid w:val="00B52EAC"/>
    <w:rsid w:val="00B54969"/>
    <w:rsid w:val="00B80B9E"/>
    <w:rsid w:val="00B838DA"/>
    <w:rsid w:val="00B86E3A"/>
    <w:rsid w:val="00BA017F"/>
    <w:rsid w:val="00BB0BE8"/>
    <w:rsid w:val="00BB3F1B"/>
    <w:rsid w:val="00BB5CDB"/>
    <w:rsid w:val="00BC4B57"/>
    <w:rsid w:val="00BD535F"/>
    <w:rsid w:val="00BE6E64"/>
    <w:rsid w:val="00BF31B7"/>
    <w:rsid w:val="00BF4F99"/>
    <w:rsid w:val="00C10048"/>
    <w:rsid w:val="00C30E9B"/>
    <w:rsid w:val="00C424FC"/>
    <w:rsid w:val="00C51ECC"/>
    <w:rsid w:val="00C600D9"/>
    <w:rsid w:val="00C67ADA"/>
    <w:rsid w:val="00C810E8"/>
    <w:rsid w:val="00C847C2"/>
    <w:rsid w:val="00C87D2F"/>
    <w:rsid w:val="00C9340F"/>
    <w:rsid w:val="00C97C6E"/>
    <w:rsid w:val="00CA6613"/>
    <w:rsid w:val="00CC69AD"/>
    <w:rsid w:val="00CD2B88"/>
    <w:rsid w:val="00CD43C1"/>
    <w:rsid w:val="00CE0DDE"/>
    <w:rsid w:val="00CE1B69"/>
    <w:rsid w:val="00CF1664"/>
    <w:rsid w:val="00CF5A8A"/>
    <w:rsid w:val="00CF6EBA"/>
    <w:rsid w:val="00D01278"/>
    <w:rsid w:val="00D12AB1"/>
    <w:rsid w:val="00D23B36"/>
    <w:rsid w:val="00D27AEB"/>
    <w:rsid w:val="00D4587A"/>
    <w:rsid w:val="00D53BAE"/>
    <w:rsid w:val="00D57DBA"/>
    <w:rsid w:val="00D57EBC"/>
    <w:rsid w:val="00D6237A"/>
    <w:rsid w:val="00D6387A"/>
    <w:rsid w:val="00D71F76"/>
    <w:rsid w:val="00D77095"/>
    <w:rsid w:val="00D80573"/>
    <w:rsid w:val="00D94BB1"/>
    <w:rsid w:val="00D961C9"/>
    <w:rsid w:val="00D97B80"/>
    <w:rsid w:val="00DA1D73"/>
    <w:rsid w:val="00DA3C08"/>
    <w:rsid w:val="00DB204C"/>
    <w:rsid w:val="00DB2761"/>
    <w:rsid w:val="00DB2FF6"/>
    <w:rsid w:val="00DD0995"/>
    <w:rsid w:val="00DD0E0C"/>
    <w:rsid w:val="00DD7765"/>
    <w:rsid w:val="00DE522D"/>
    <w:rsid w:val="00E02E1B"/>
    <w:rsid w:val="00E0363C"/>
    <w:rsid w:val="00E21897"/>
    <w:rsid w:val="00E23955"/>
    <w:rsid w:val="00E23B84"/>
    <w:rsid w:val="00E417DF"/>
    <w:rsid w:val="00E47327"/>
    <w:rsid w:val="00E72E8E"/>
    <w:rsid w:val="00E7385D"/>
    <w:rsid w:val="00E83537"/>
    <w:rsid w:val="00E86579"/>
    <w:rsid w:val="00E90A19"/>
    <w:rsid w:val="00E90D36"/>
    <w:rsid w:val="00E925FC"/>
    <w:rsid w:val="00E939C6"/>
    <w:rsid w:val="00E974F8"/>
    <w:rsid w:val="00EA79DA"/>
    <w:rsid w:val="00EC3706"/>
    <w:rsid w:val="00EC636E"/>
    <w:rsid w:val="00EC7E55"/>
    <w:rsid w:val="00ED105B"/>
    <w:rsid w:val="00ED6F93"/>
    <w:rsid w:val="00EE69EC"/>
    <w:rsid w:val="00EE7CB8"/>
    <w:rsid w:val="00EF16FB"/>
    <w:rsid w:val="00F02216"/>
    <w:rsid w:val="00F0291C"/>
    <w:rsid w:val="00F06315"/>
    <w:rsid w:val="00F101DD"/>
    <w:rsid w:val="00F14193"/>
    <w:rsid w:val="00F14D59"/>
    <w:rsid w:val="00F202FD"/>
    <w:rsid w:val="00F20CCE"/>
    <w:rsid w:val="00F26BBC"/>
    <w:rsid w:val="00F358D7"/>
    <w:rsid w:val="00F3614E"/>
    <w:rsid w:val="00F53E7A"/>
    <w:rsid w:val="00F56870"/>
    <w:rsid w:val="00F576E0"/>
    <w:rsid w:val="00F6440C"/>
    <w:rsid w:val="00F901CF"/>
    <w:rsid w:val="00F906EF"/>
    <w:rsid w:val="00FA0F59"/>
    <w:rsid w:val="00FB33FD"/>
    <w:rsid w:val="00FB645E"/>
    <w:rsid w:val="00FC35ED"/>
    <w:rsid w:val="00FC4C3F"/>
    <w:rsid w:val="00FD5B35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8935122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196F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2C033C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5C4F5B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572E5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7E37B"/>
  <w15:docId w15:val="{D832B71A-74FD-DD46-A08F-E4B9FC3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5" w:qFormat="1"/>
    <w:lsdException w:name="index 6" w:qFormat="1"/>
    <w:lsdException w:name="index 8" w:qFormat="1"/>
    <w:lsdException w:name="toc 2" w:qFormat="1"/>
    <w:lsdException w:name="toc 5" w:qFormat="1"/>
    <w:lsdException w:name="toc 7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3" w:qFormat="1"/>
    <w:lsdException w:name="Title" w:qFormat="1"/>
    <w:lsdException w:name="Closing" w:qFormat="1"/>
    <w:lsdException w:name="Default Paragraph Font" w:semiHidden="1" w:uiPriority="1" w:unhideWhenUsed="1" w:qFormat="1"/>
    <w:lsdException w:name="Body Text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Indent 3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 w:qFormat="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 w:qFormat="1"/>
    <w:lsdException w:name="Colorful List Accent 1"/>
    <w:lsdException w:name="Colorful Grid Accent 1" w:qFormat="1"/>
    <w:lsdException w:name="Light Shading Accent 2"/>
    <w:lsdException w:name="Light List Accent 2"/>
    <w:lsdException w:name="Light Grid Accent 2" w:qFormat="1"/>
    <w:lsdException w:name="Medium Shading 1 Accent 2" w:qFormat="1"/>
    <w:lsdException w:name="Medium Shading 2 Accent 2"/>
    <w:lsdException w:name="Medium List 1 Accent 2" w:qFormat="1"/>
    <w:lsdException w:name="Medium List 2 Accent 2" w:qFormat="1"/>
    <w:lsdException w:name="Medium Grid 1 Accent 2" w:qFormat="1"/>
    <w:lsdException w:name="Medium Grid 2 Accent 2" w:qFormat="1"/>
    <w:lsdException w:name="Medium Grid 3 Accent 2"/>
    <w:lsdException w:name="Dark List Accent 2" w:qFormat="1"/>
    <w:lsdException w:name="Colorful Shading Accent 2" w:qFormat="1"/>
    <w:lsdException w:name="Colorful List Accent 2"/>
    <w:lsdException w:name="Colorful Grid Accent 2" w:qFormat="1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 w:qFormat="1"/>
    <w:lsdException w:name="Medium List 2 Accent 3"/>
    <w:lsdException w:name="Medium Grid 1 Accent 3" w:qFormat="1"/>
    <w:lsdException w:name="Medium Grid 2 Accent 3"/>
    <w:lsdException w:name="Medium Grid 3 Accent 3" w:qFormat="1"/>
    <w:lsdException w:name="Dark List Accent 3"/>
    <w:lsdException w:name="Colorful Shading Accent 3" w:qFormat="1"/>
    <w:lsdException w:name="Colorful List Accent 3" w:qFormat="1"/>
    <w:lsdException w:name="Colorful Grid Accent 3" w:qFormat="1"/>
    <w:lsdException w:name="Light Shading Accent 4"/>
    <w:lsdException w:name="Light List Accent 4"/>
    <w:lsdException w:name="Light Grid Accent 4"/>
    <w:lsdException w:name="Medium Shading 1 Accent 4" w:qFormat="1"/>
    <w:lsdException w:name="Medium Shading 2 Accent 4"/>
    <w:lsdException w:name="Medium List 1 Accent 4"/>
    <w:lsdException w:name="Medium List 2 Accent 4"/>
    <w:lsdException w:name="Medium Grid 1 Accent 4" w:qFormat="1"/>
    <w:lsdException w:name="Medium Grid 2 Accent 4"/>
    <w:lsdException w:name="Medium Grid 3 Accent 4"/>
    <w:lsdException w:name="Dark List Accent 4"/>
    <w:lsdException w:name="Colorful Shading Accent 4"/>
    <w:lsdException w:name="Colorful List Accent 4" w:qFormat="1"/>
    <w:lsdException w:name="Colorful Grid Accent 4" w:qFormat="1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 w:qFormat="1"/>
    <w:lsdException w:name="Medium Grid 2 Accent 5" w:qFormat="1"/>
    <w:lsdException w:name="Medium Grid 3 Accent 5"/>
    <w:lsdException w:name="Dark List Accent 5"/>
    <w:lsdException w:name="Colorful Shading Accent 5" w:qFormat="1"/>
    <w:lsdException w:name="Colorful List Accent 5" w:qFormat="1"/>
    <w:lsdException w:name="Colorful Grid Accent 5" w:qFormat="1"/>
    <w:lsdException w:name="Light Shading Accent 6"/>
    <w:lsdException w:name="Light List Accent 6" w:qFormat="1"/>
    <w:lsdException w:name="Light Grid Accent 6" w:qFormat="1"/>
    <w:lsdException w:name="Medium Shading 1 Accent 6"/>
    <w:lsdException w:name="Medium Shading 2 Accent 6"/>
    <w:lsdException w:name="Medium List 1 Accent 6"/>
    <w:lsdException w:name="Medium List 2 Accent 6" w:qFormat="1"/>
    <w:lsdException w:name="Medium Grid 1 Accent 6" w:qFormat="1"/>
    <w:lsdException w:name="Medium Grid 2 Accent 6" w:qFormat="1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F358D7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FFDDF9-28BC-4740-9571-5F3834E1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Office\Templates\KWM\blank.dot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Xiaodi</dc:creator>
  <cp:lastModifiedBy>GT</cp:lastModifiedBy>
  <cp:revision>3</cp:revision>
  <dcterms:created xsi:type="dcterms:W3CDTF">2026-02-10T12:19:00Z</dcterms:created>
  <dcterms:modified xsi:type="dcterms:W3CDTF">2026-02-11T03:05:00Z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eyJoZGlkIjoiMzdiNDAwZmNkNGZlMjEyN2ViODJhZGU3ZjQzOWI4MGYiLCJ1c2VySWQiOiIxNzM1MDQ4MjQ4In0=</vt:lpwstr>
  </property>
  <property fmtid="{D5CDD505-2E9C-101B-9397-08002B2CF9AE}" pid="3" name="KSOProductBuildVer">
    <vt:lpwstr>2052-12.1.0.23542</vt:lpwstr>
  </property>
  <property fmtid="{D5CDD505-2E9C-101B-9397-08002B2CF9AE}" pid="4" name="ICV">
    <vt:lpwstr>C5F19BC757014E27B6313627A7BDB66E_13</vt:lpwstr>
  </property>
</Properties>
</file>