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Arial"/>
          <w:kern w:val="0"/>
          <w:sz w:val="32"/>
          <w:szCs w:val="32"/>
        </w:rPr>
      </w:pPr>
      <w:r>
        <w:rPr>
          <w:rFonts w:hint="eastAsia" w:ascii="黑体" w:hAnsi="黑体" w:eastAsia="黑体" w:cs="Arial"/>
          <w:kern w:val="0"/>
          <w:sz w:val="32"/>
          <w:szCs w:val="32"/>
        </w:rPr>
        <w:t>附件</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方正小标宋简体" w:hAnsi="Arial" w:eastAsia="方正小标宋简体" w:cs="Arial"/>
          <w:kern w:val="0"/>
          <w:sz w:val="36"/>
          <w:szCs w:val="36"/>
        </w:rPr>
      </w:pPr>
      <w:bookmarkStart w:id="0" w:name="_GoBack"/>
      <w:r>
        <w:rPr>
          <w:rFonts w:hint="eastAsia" w:ascii="方正小标宋简体" w:hAnsi="Arial" w:eastAsia="方正小标宋简体" w:cs="Arial"/>
          <w:kern w:val="0"/>
          <w:sz w:val="36"/>
          <w:szCs w:val="36"/>
          <w:lang w:eastAsia="zh-CN"/>
        </w:rPr>
        <w:t>拟下达的</w:t>
      </w:r>
      <w:r>
        <w:rPr>
          <w:rFonts w:hint="eastAsia" w:ascii="方正小标宋简体" w:hAnsi="Arial" w:eastAsia="方正小标宋简体" w:cs="Arial"/>
          <w:kern w:val="0"/>
          <w:sz w:val="36"/>
          <w:szCs w:val="36"/>
        </w:rPr>
        <w:t>第</w:t>
      </w:r>
      <w:r>
        <w:rPr>
          <w:rFonts w:hint="eastAsia" w:ascii="方正小标宋简体" w:hAnsi="Arial" w:eastAsia="方正小标宋简体" w:cs="Arial"/>
          <w:kern w:val="0"/>
          <w:sz w:val="36"/>
          <w:szCs w:val="36"/>
          <w:lang w:val="en-US" w:eastAsia="zh-CN"/>
        </w:rPr>
        <w:t>二</w:t>
      </w:r>
      <w:r>
        <w:rPr>
          <w:rFonts w:hint="eastAsia" w:ascii="方正小标宋简体" w:hAnsi="Arial" w:eastAsia="方正小标宋简体" w:cs="Arial"/>
          <w:kern w:val="0"/>
          <w:sz w:val="36"/>
          <w:szCs w:val="36"/>
        </w:rPr>
        <w:t>批国家标准化试点</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方正小标宋简体" w:hAnsi="Arial" w:eastAsia="方正小标宋简体" w:cs="Arial"/>
          <w:kern w:val="0"/>
          <w:sz w:val="36"/>
          <w:szCs w:val="36"/>
        </w:rPr>
      </w:pPr>
      <w:r>
        <w:rPr>
          <w:rFonts w:hint="eastAsia" w:ascii="方正小标宋简体" w:hAnsi="Arial" w:eastAsia="方正小标宋简体" w:cs="Arial"/>
          <w:kern w:val="0"/>
          <w:sz w:val="36"/>
          <w:szCs w:val="36"/>
        </w:rPr>
        <w:t>（智慧交通专项）项目</w:t>
      </w:r>
      <w:r>
        <w:rPr>
          <w:rFonts w:hint="eastAsia" w:ascii="方正小标宋简体" w:hAnsi="Arial" w:eastAsia="方正小标宋简体" w:cs="Arial"/>
          <w:kern w:val="0"/>
          <w:sz w:val="36"/>
          <w:szCs w:val="36"/>
          <w:lang w:eastAsia="zh-CN"/>
        </w:rPr>
        <w:t>清</w:t>
      </w:r>
      <w:r>
        <w:rPr>
          <w:rFonts w:hint="eastAsia" w:ascii="方正小标宋简体" w:hAnsi="Arial" w:eastAsia="方正小标宋简体" w:cs="Arial"/>
          <w:kern w:val="0"/>
          <w:sz w:val="36"/>
          <w:szCs w:val="36"/>
        </w:rPr>
        <w:t>单</w:t>
      </w:r>
      <w:bookmarkEnd w:id="0"/>
    </w:p>
    <w:tbl>
      <w:tblPr>
        <w:tblStyle w:val="6"/>
        <w:tblW w:w="51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99"/>
        <w:gridCol w:w="2494"/>
        <w:gridCol w:w="1904"/>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blHeader/>
        </w:trPr>
        <w:tc>
          <w:tcPr>
            <w:tcW w:w="497" w:type="pct"/>
            <w:vMerge w:val="restart"/>
            <w:vAlign w:val="center"/>
          </w:tcPr>
          <w:p>
            <w:pPr>
              <w:adjustRightInd w:val="0"/>
              <w:snapToGrid w:val="0"/>
              <w:jc w:val="center"/>
              <w:rPr>
                <w:rFonts w:eastAsia="黑体"/>
                <w:sz w:val="28"/>
                <w:szCs w:val="28"/>
              </w:rPr>
            </w:pPr>
            <w:r>
              <w:rPr>
                <w:rFonts w:eastAsia="黑体"/>
                <w:sz w:val="28"/>
                <w:szCs w:val="28"/>
              </w:rPr>
              <w:t>序号</w:t>
            </w:r>
          </w:p>
        </w:tc>
        <w:tc>
          <w:tcPr>
            <w:tcW w:w="803" w:type="pct"/>
            <w:vMerge w:val="restart"/>
            <w:vAlign w:val="center"/>
          </w:tcPr>
          <w:p>
            <w:pPr>
              <w:adjustRightInd w:val="0"/>
              <w:snapToGrid w:val="0"/>
              <w:jc w:val="center"/>
              <w:rPr>
                <w:rFonts w:eastAsia="黑体"/>
                <w:sz w:val="28"/>
                <w:szCs w:val="28"/>
              </w:rPr>
            </w:pPr>
            <w:r>
              <w:rPr>
                <w:rFonts w:eastAsia="黑体"/>
                <w:sz w:val="28"/>
                <w:szCs w:val="28"/>
              </w:rPr>
              <w:t>试点方向</w:t>
            </w:r>
          </w:p>
        </w:tc>
        <w:tc>
          <w:tcPr>
            <w:tcW w:w="1432" w:type="pct"/>
            <w:vMerge w:val="restart"/>
            <w:vAlign w:val="center"/>
          </w:tcPr>
          <w:p>
            <w:pPr>
              <w:adjustRightInd w:val="0"/>
              <w:snapToGrid w:val="0"/>
              <w:jc w:val="center"/>
              <w:rPr>
                <w:rFonts w:eastAsia="黑体"/>
                <w:sz w:val="28"/>
                <w:szCs w:val="28"/>
              </w:rPr>
            </w:pPr>
            <w:r>
              <w:rPr>
                <w:rFonts w:eastAsia="黑体"/>
                <w:sz w:val="28"/>
                <w:szCs w:val="28"/>
              </w:rPr>
              <w:t>试点</w:t>
            </w:r>
            <w:r>
              <w:rPr>
                <w:rFonts w:hint="eastAsia" w:eastAsia="黑体"/>
                <w:sz w:val="28"/>
                <w:szCs w:val="28"/>
              </w:rPr>
              <w:t>项目</w:t>
            </w:r>
            <w:r>
              <w:rPr>
                <w:rFonts w:eastAsia="黑体"/>
                <w:sz w:val="28"/>
                <w:szCs w:val="28"/>
              </w:rPr>
              <w:t>名称</w:t>
            </w:r>
          </w:p>
        </w:tc>
        <w:tc>
          <w:tcPr>
            <w:tcW w:w="1093" w:type="pct"/>
            <w:vMerge w:val="restart"/>
            <w:vAlign w:val="center"/>
          </w:tcPr>
          <w:p>
            <w:pPr>
              <w:adjustRightInd w:val="0"/>
              <w:snapToGrid w:val="0"/>
              <w:jc w:val="center"/>
              <w:rPr>
                <w:rFonts w:eastAsia="黑体"/>
                <w:sz w:val="28"/>
                <w:szCs w:val="28"/>
              </w:rPr>
            </w:pPr>
            <w:r>
              <w:rPr>
                <w:rFonts w:eastAsia="黑体"/>
                <w:sz w:val="28"/>
                <w:szCs w:val="28"/>
              </w:rPr>
              <w:t>承担单位</w:t>
            </w:r>
          </w:p>
        </w:tc>
        <w:tc>
          <w:tcPr>
            <w:tcW w:w="1172" w:type="pct"/>
            <w:vMerge w:val="restart"/>
            <w:vAlign w:val="center"/>
          </w:tcPr>
          <w:p>
            <w:pPr>
              <w:adjustRightInd w:val="0"/>
              <w:snapToGrid w:val="0"/>
              <w:jc w:val="center"/>
              <w:rPr>
                <w:rFonts w:eastAsia="黑体"/>
                <w:sz w:val="28"/>
                <w:szCs w:val="28"/>
              </w:rPr>
            </w:pPr>
            <w:r>
              <w:rPr>
                <w:rFonts w:eastAsia="黑体"/>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blHeader/>
        </w:trPr>
        <w:tc>
          <w:tcPr>
            <w:tcW w:w="497" w:type="pct"/>
            <w:vMerge w:val="continue"/>
            <w:vAlign w:val="center"/>
          </w:tcPr>
          <w:p>
            <w:pPr>
              <w:adjustRightInd w:val="0"/>
              <w:snapToGrid w:val="0"/>
              <w:jc w:val="center"/>
              <w:rPr>
                <w:rFonts w:eastAsia="黑体"/>
                <w:sz w:val="28"/>
                <w:szCs w:val="28"/>
              </w:rPr>
            </w:pPr>
          </w:p>
        </w:tc>
        <w:tc>
          <w:tcPr>
            <w:tcW w:w="803" w:type="pct"/>
            <w:vMerge w:val="continue"/>
            <w:vAlign w:val="center"/>
          </w:tcPr>
          <w:p>
            <w:pPr>
              <w:adjustRightInd w:val="0"/>
              <w:snapToGrid w:val="0"/>
              <w:jc w:val="center"/>
              <w:rPr>
                <w:rFonts w:eastAsia="黑体"/>
                <w:sz w:val="28"/>
                <w:szCs w:val="28"/>
              </w:rPr>
            </w:pPr>
          </w:p>
        </w:tc>
        <w:tc>
          <w:tcPr>
            <w:tcW w:w="1432" w:type="pct"/>
            <w:vMerge w:val="continue"/>
            <w:vAlign w:val="center"/>
          </w:tcPr>
          <w:p>
            <w:pPr>
              <w:adjustRightInd w:val="0"/>
              <w:snapToGrid w:val="0"/>
              <w:jc w:val="center"/>
              <w:rPr>
                <w:rFonts w:eastAsia="黑体"/>
                <w:sz w:val="28"/>
                <w:szCs w:val="28"/>
              </w:rPr>
            </w:pPr>
          </w:p>
        </w:tc>
        <w:tc>
          <w:tcPr>
            <w:tcW w:w="1093" w:type="pct"/>
            <w:vMerge w:val="continue"/>
            <w:vAlign w:val="center"/>
          </w:tcPr>
          <w:p>
            <w:pPr>
              <w:adjustRightInd w:val="0"/>
              <w:snapToGrid w:val="0"/>
              <w:jc w:val="center"/>
              <w:rPr>
                <w:rFonts w:eastAsia="黑体"/>
                <w:sz w:val="28"/>
                <w:szCs w:val="28"/>
              </w:rPr>
            </w:pPr>
          </w:p>
        </w:tc>
        <w:tc>
          <w:tcPr>
            <w:tcW w:w="1172" w:type="pct"/>
            <w:vMerge w:val="continue"/>
            <w:vAlign w:val="center"/>
          </w:tcPr>
          <w:p>
            <w:pPr>
              <w:adjustRightInd w:val="0"/>
              <w:snapToGrid w:val="0"/>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w:t>
            </w:r>
          </w:p>
        </w:tc>
        <w:tc>
          <w:tcPr>
            <w:tcW w:w="803" w:type="pct"/>
            <w:vAlign w:val="center"/>
          </w:tcPr>
          <w:p>
            <w:pPr>
              <w:adjustRightInd w:val="0"/>
              <w:snapToGrid w:val="0"/>
              <w:spacing w:line="400" w:lineRule="exact"/>
              <w:jc w:val="center"/>
              <w:rPr>
                <w:rFonts w:eastAsia="仿宋_GB2312"/>
                <w:color w:val="FF0000"/>
                <w:sz w:val="28"/>
                <w:szCs w:val="28"/>
              </w:rPr>
            </w:pPr>
            <w:r>
              <w:rPr>
                <w:rFonts w:eastAsia="仿宋_GB2312"/>
                <w:sz w:val="28"/>
                <w:szCs w:val="28"/>
              </w:rPr>
              <w:t>智慧物流</w:t>
            </w:r>
          </w:p>
        </w:tc>
        <w:tc>
          <w:tcPr>
            <w:tcW w:w="1432" w:type="pct"/>
            <w:shd w:val="clear" w:color="auto" w:fill="auto"/>
            <w:vAlign w:val="center"/>
          </w:tcPr>
          <w:p>
            <w:pPr>
              <w:adjustRightInd w:val="0"/>
              <w:snapToGrid w:val="0"/>
              <w:spacing w:line="400" w:lineRule="exact"/>
              <w:jc w:val="center"/>
              <w:rPr>
                <w:rFonts w:ascii="Times New Roman" w:hAnsi="Times New Roman" w:eastAsia="仿宋_GB2312" w:cstheme="minorBidi"/>
                <w:color w:val="FF0000"/>
                <w:kern w:val="2"/>
                <w:sz w:val="28"/>
                <w:szCs w:val="28"/>
                <w:highlight w:val="none"/>
                <w:lang w:val="en-US" w:eastAsia="zh-CN" w:bidi="ar-SA"/>
              </w:rPr>
            </w:pPr>
            <w:r>
              <w:rPr>
                <w:rFonts w:hint="eastAsia" w:ascii="Times New Roman" w:hAnsi="Times New Roman" w:eastAsia="仿宋_GB2312" w:cs="Times New Roman"/>
                <w:sz w:val="28"/>
                <w:szCs w:val="28"/>
                <w:highlight w:val="none"/>
              </w:rPr>
              <w:t>江苏省江海河联运高质量发展数智标准化试点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苏交科集团股份有限公司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江苏省交通运输厅、江苏省市场监督管理局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支持多应用场景数智物流服务标准化试点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深圳顺丰泰森控股（集团）有限公司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广东省交通运输厅、广东省市场监督管理局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3</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四川省多式联运数智平台标准化试点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四川省港航投资集团有限责任公司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四川省交通运输厅、四川省市场监督管理局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4</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平湖市“低空+农村物流”标准化试点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平湖市公路与运输管理服务中心</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浙江省交通运输厅、浙江省市场监督管理局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5</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河南省内河智慧航运协同管控标准化试点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河南港航集团有限公司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河南省交通运输厅、河南省市场监督管理局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6</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汽车运输船智能配载及安全管控标准化试点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中远海运特种运输股份有限公司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中国远洋海运集团有限公司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7</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w:t>
            </w:r>
            <w:r>
              <w:rPr>
                <w:rFonts w:hint="eastAsia" w:eastAsia="仿宋_GB2312"/>
                <w:sz w:val="28"/>
                <w:szCs w:val="28"/>
              </w:rPr>
              <w:t>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长江水上低空配送标准化试点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江苏长江汇科技有限公司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交通运输部长江航务管理局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8</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w:t>
            </w:r>
            <w:r>
              <w:rPr>
                <w:rFonts w:hint="eastAsia" w:eastAsia="仿宋_GB2312"/>
                <w:sz w:val="28"/>
                <w:szCs w:val="28"/>
              </w:rPr>
              <w:t>物流</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eastAsia="仿宋_GB2312" w:cs="Times New Roman"/>
                <w:sz w:val="28"/>
                <w:szCs w:val="28"/>
                <w:highlight w:val="none"/>
                <w:lang w:val="en-US" w:eastAsia="zh-CN"/>
              </w:rPr>
              <w:t>智能无人配送运营平台标准化试点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江苏宝湾智慧供应链管理有限公司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招商局集团有限公司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9</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智慧出行</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sz w:val="28"/>
                <w:szCs w:val="28"/>
              </w:rPr>
              <w:t>重庆市跨座式单轨交通智慧运营服务标准化试点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sz w:val="28"/>
                <w:szCs w:val="28"/>
              </w:rPr>
              <w:t>重庆轨道交通运营有限公司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重庆市交通运输委员会、重庆市市场监督管理局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10</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智慧出行</w:t>
            </w:r>
          </w:p>
        </w:tc>
        <w:tc>
          <w:tcPr>
            <w:tcW w:w="143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城市轨道交通全栈数智化系统标准化试点</w:t>
            </w:r>
          </w:p>
        </w:tc>
        <w:tc>
          <w:tcPr>
            <w:tcW w:w="1093"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卡斯柯信号有限公司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上海市交通委员会、上海市市场监督管理局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11</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智慧出行</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河北省高速公路路网运营网络安全保障标准化试点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河北高速公路集团有限公司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河北省交通运输厅、河北省市场监督管理局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12</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智慧出行</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济南市公交智慧出行信息服务标准化试点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济南公共交通集团有限公司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山东省交通运输厅、山东省市场监督管理局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13</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智慧出行</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太原市智慧地铁车辆智能运维标准化试点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太原中铁轨道交通建设运营有限公司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山西省交通运输厅、山西省市场监督管理局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14</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智慧出行</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盘锦市绿色智慧运营服务标准化试点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盘锦客运公交集团有限公司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辽宁省交通运输厅、辽宁省市场监督管理局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15</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贵州省大娄山隧道群运营管理的数据集构建及大模型应用标准化试点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贵州中南交通科技有限公司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贵州省交通运输厅、贵州省市场监督管理局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16</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公路工程全过程BIM数据贯通标准化试点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中国交通信息科技集团有限公司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中国交通建设集团有限公司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17</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江西省高速公路全生命周期智能建养运一体化标准化试点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江西省交通投资集团有限责任公司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江西省交通运输厅、江西省市场监督管理局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18</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安徽省高速公路无人机巡检巡查基础设施标准化试点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安徽省交通控股集团有限公司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安徽省交通运输厅、安徽省市场监督管理局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19</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湖北省公路桥梁缆索环境应力自感知及智能调节建设标准化试点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湖北交通投资集团有限公司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湖北省交通运输厅、湖北省市场监督管理局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20</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基于AI驱动的民航飞行标准管理文件数字化及共享交换标准化试点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中国民用航空局信息中心</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中国民用航空局综合司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21</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湖南省智慧航道管养标准化试点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湖南省水运事务中心</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湖南省交通运输厅、湖南省市场监督管理局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22</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广西高速公路数智建管标准化试点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广西新发展交通集团有限公司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广西壮族自治区交通运输厅、广西壮族自治区市场监督管理局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23</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新疆公路地质灾害智能监测预警标准化试点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新疆交通规划勘察设计研究院有限公司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新疆维吾尔自治区交通运输厅、新疆维吾尔自治区市场监督管理局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24</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东北多年冻土区高等级公路智慧建设与养护标准化试点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黑龙江省交通投资集团有限公司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黑龙江省交通运输厅、黑龙江省市场监督管理局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97" w:type="pct"/>
            <w:vAlign w:val="center"/>
          </w:tcPr>
          <w:p>
            <w:pPr>
              <w:adjustRightInd w:val="0"/>
              <w:snapToGrid w:val="0"/>
              <w:jc w:val="center"/>
              <w:rPr>
                <w:sz w:val="28"/>
                <w:szCs w:val="28"/>
              </w:rPr>
            </w:pPr>
            <w:r>
              <w:rPr>
                <w:sz w:val="28"/>
                <w:szCs w:val="28"/>
              </w:rPr>
              <w:t>25</w:t>
            </w:r>
          </w:p>
        </w:tc>
        <w:tc>
          <w:tcPr>
            <w:tcW w:w="803" w:type="pct"/>
            <w:vAlign w:val="center"/>
          </w:tcPr>
          <w:p>
            <w:pPr>
              <w:adjustRightInd w:val="0"/>
              <w:snapToGrid w:val="0"/>
              <w:spacing w:line="400" w:lineRule="exact"/>
              <w:jc w:val="center"/>
              <w:rPr>
                <w:rFonts w:eastAsia="仿宋_GB2312"/>
                <w:sz w:val="28"/>
                <w:szCs w:val="28"/>
              </w:rPr>
            </w:pPr>
            <w:r>
              <w:rPr>
                <w:rFonts w:eastAsia="仿宋_GB2312"/>
                <w:sz w:val="28"/>
                <w:szCs w:val="28"/>
              </w:rPr>
              <w:t>新型基础设施</w:t>
            </w:r>
          </w:p>
        </w:tc>
        <w:tc>
          <w:tcPr>
            <w:tcW w:w="249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内蒙古“空港-城区”智慧公路通道建设与运营服务标准化试点</w:t>
            </w:r>
          </w:p>
        </w:tc>
        <w:tc>
          <w:tcPr>
            <w:tcW w:w="1904" w:type="dxa"/>
            <w:shd w:val="clear" w:color="auto" w:fill="auto"/>
            <w:vAlign w:val="center"/>
          </w:tcPr>
          <w:p>
            <w:pPr>
              <w:adjustRightInd w:val="0"/>
              <w:snapToGrid w:val="0"/>
              <w:spacing w:line="40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内蒙古呼和浩特新机场高速公路管理有限责任公司</w:t>
            </w:r>
          </w:p>
        </w:tc>
        <w:tc>
          <w:tcPr>
            <w:tcW w:w="1172" w:type="pct"/>
            <w:shd w:val="clear" w:color="auto" w:fill="auto"/>
            <w:vAlign w:val="center"/>
          </w:tcPr>
          <w:p>
            <w:pPr>
              <w:adjustRightInd w:val="0"/>
              <w:snapToGrid w:val="0"/>
              <w:spacing w:line="400" w:lineRule="exact"/>
              <w:jc w:val="center"/>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rPr>
              <w:t>内蒙古自治区交通运输厅、内蒙古自治区市场监督管理局</w:t>
            </w: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D2"/>
    <w:rsid w:val="00037143"/>
    <w:rsid w:val="00044D4A"/>
    <w:rsid w:val="00154359"/>
    <w:rsid w:val="001B7C95"/>
    <w:rsid w:val="003A798A"/>
    <w:rsid w:val="004156B9"/>
    <w:rsid w:val="00430B64"/>
    <w:rsid w:val="00454546"/>
    <w:rsid w:val="004C3CA2"/>
    <w:rsid w:val="005959F2"/>
    <w:rsid w:val="005A46D3"/>
    <w:rsid w:val="00670CCB"/>
    <w:rsid w:val="006B5167"/>
    <w:rsid w:val="00991B4E"/>
    <w:rsid w:val="009A2DBA"/>
    <w:rsid w:val="00A17DD6"/>
    <w:rsid w:val="00A41BDA"/>
    <w:rsid w:val="00AA0418"/>
    <w:rsid w:val="00AD1180"/>
    <w:rsid w:val="00B0143B"/>
    <w:rsid w:val="00C66B08"/>
    <w:rsid w:val="00CC615D"/>
    <w:rsid w:val="00CE5FD2"/>
    <w:rsid w:val="00DE3925"/>
    <w:rsid w:val="00E90734"/>
    <w:rsid w:val="00FF4E4F"/>
    <w:rsid w:val="01374E54"/>
    <w:rsid w:val="01B01887"/>
    <w:rsid w:val="1396499D"/>
    <w:rsid w:val="177D7C8F"/>
    <w:rsid w:val="1CE05DB8"/>
    <w:rsid w:val="21F11323"/>
    <w:rsid w:val="24960B5A"/>
    <w:rsid w:val="26E01966"/>
    <w:rsid w:val="2FDC6090"/>
    <w:rsid w:val="3BBB13EA"/>
    <w:rsid w:val="43666F24"/>
    <w:rsid w:val="49403725"/>
    <w:rsid w:val="49606407"/>
    <w:rsid w:val="4E8F062E"/>
    <w:rsid w:val="5D803F26"/>
    <w:rsid w:val="5F2155BC"/>
    <w:rsid w:val="610D3032"/>
    <w:rsid w:val="6308256A"/>
    <w:rsid w:val="684D3A5E"/>
    <w:rsid w:val="6C976300"/>
    <w:rsid w:val="76C276D5"/>
    <w:rsid w:val="7DB5A0FA"/>
    <w:rsid w:val="7FD607ED"/>
    <w:rsid w:val="9FAB333A"/>
    <w:rsid w:val="DF4A9F42"/>
    <w:rsid w:val="FBBBC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t"/>
    <w:basedOn w:val="8"/>
    <w:qFormat/>
    <w:uiPriority w:val="0"/>
  </w:style>
  <w:style w:type="paragraph" w:customStyle="1" w:styleId="14">
    <w:name w:val="text-ta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16">
    <w:name w:val="Revision"/>
    <w:hidden/>
    <w:semiHidden/>
    <w:qFormat/>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E96FB73-AB47-4946-9DDC-984FBD9F989F}">
  <ds:schemaRefs/>
</ds:datastoreItem>
</file>

<file path=docProps/app.xml><?xml version="1.0" encoding="utf-8"?>
<Properties xmlns="http://schemas.openxmlformats.org/officeDocument/2006/extended-properties" xmlns:vt="http://schemas.openxmlformats.org/officeDocument/2006/docPropsVTypes">
  <Template>Normal</Template>
  <Pages>5</Pages>
  <Words>515</Words>
  <Characters>546</Characters>
  <Lines>14</Lines>
  <Paragraphs>4</Paragraphs>
  <TotalTime>12</TotalTime>
  <ScaleCrop>false</ScaleCrop>
  <LinksUpToDate>false</LinksUpToDate>
  <CharactersWithSpaces>565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2025-02-15T17:07:00Z</dcterms:created>
  <dc:creator>王伟</dc:creator>
  <cp:lastModifiedBy>FuXi</cp:lastModifiedBy>
  <dcterms:modified xsi:type="dcterms:W3CDTF">2026-03-03T10:00:56Z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eyJoZGlkIjoiMjA3NmI4NzFjMzMwNGZkMmE2OWI4NzlkYjhkODgwYTgiLCJ1c2VySWQiOiIyNTEyOTcxNTYifQ==</vt:lpwstr>
  </property>
  <property fmtid="{D5CDD505-2E9C-101B-9397-08002B2CF9AE}" pid="3" name="KSOProductBuildVer">
    <vt:lpwstr>2052-11.8.2.12313</vt:lpwstr>
  </property>
  <property fmtid="{D5CDD505-2E9C-101B-9397-08002B2CF9AE}" pid="4" name="ICV">
    <vt:lpwstr>58F63453530419D6D840A669D47D8E99</vt:lpwstr>
  </property>
</Properties>
</file>