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line="594" w:lineRule="exact"/>
        <w:jc w:val="center"/>
        <w:rPr>
          <w:rFonts w:hint="eastAsia" w:ascii="黑体" w:hAnsi="黑体" w:eastAsia="黑体" w:cs="黑体"/>
          <w:bCs/>
          <w:kern w:val="0"/>
          <w:sz w:val="36"/>
          <w:szCs w:val="36"/>
          <w:lang w:val="en-GB" w:bidi="ar-AE"/>
        </w:rPr>
      </w:pPr>
      <w:bookmarkStart w:id="0" w:name="_GoBack"/>
      <w:bookmarkEnd w:id="0"/>
      <w:r>
        <w:rPr>
          <w:rFonts w:hint="eastAsia" w:ascii="黑体" w:hAnsi="黑体" w:eastAsia="黑体" w:cs="黑体"/>
          <w:bCs/>
          <w:kern w:val="0"/>
          <w:sz w:val="36"/>
          <w:szCs w:val="36"/>
          <w:lang w:val="en-GB" w:bidi="ar-AE"/>
        </w:rPr>
        <w:t>经营者集中简易案件公示表</w:t>
      </w:r>
    </w:p>
    <w:tbl>
      <w:tblPr>
        <w:tblStyle w:val="1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940" w:type="dxa"/>
            <w:shd w:val="clear" w:color="auto" w:fill="D9D9D9"/>
            <w:vAlign w:val="center"/>
          </w:tcPr>
          <w:p>
            <w:pPr>
              <w:pStyle w:val="8"/>
              <w:adjustRightInd w:val="0"/>
              <w:snapToGrid w:val="0"/>
              <w:spacing w:after="0" w:line="240" w:lineRule="auto"/>
              <w:rPr>
                <w:rFonts w:hint="eastAsia" w:ascii="宋体" w:hAnsi="宋体" w:cs="宋体"/>
                <w:bCs/>
                <w:color w:val="000000"/>
                <w:lang w:val="en-US"/>
              </w:rPr>
            </w:pPr>
            <w:r>
              <w:rPr>
                <w:rFonts w:hint="eastAsia" w:ascii="宋体" w:hAnsi="宋体" w:cs="宋体"/>
                <w:bCs/>
                <w:color w:val="000000"/>
              </w:rPr>
              <w:t>案件名称</w:t>
            </w:r>
          </w:p>
        </w:tc>
        <w:tc>
          <w:tcPr>
            <w:tcW w:w="7700" w:type="dxa"/>
            <w:gridSpan w:val="2"/>
            <w:vAlign w:val="center"/>
          </w:tcPr>
          <w:p>
            <w:pPr>
              <w:widowControl/>
              <w:adjustRightInd w:val="0"/>
              <w:snapToGrid w:val="0"/>
              <w:spacing w:after="0" w:line="240" w:lineRule="auto"/>
              <w:rPr>
                <w:rFonts w:hint="eastAsia" w:ascii="宋体" w:hAnsi="宋体" w:cs="宋体"/>
                <w:bCs/>
                <w:color w:val="000000"/>
                <w:kern w:val="0"/>
                <w:sz w:val="24"/>
                <w:lang w:bidi="ar-AE"/>
              </w:rPr>
            </w:pPr>
            <w:r>
              <w:rPr>
                <w:rFonts w:hint="eastAsia" w:ascii="宋体" w:hAnsi="宋体" w:cs="宋体"/>
                <w:bCs/>
                <w:color w:val="000000"/>
                <w:kern w:val="0"/>
                <w:sz w:val="24"/>
                <w:lang w:bidi="ar-AE"/>
              </w:rPr>
              <w:t>银河创新资本管理有限公司与江苏悦达私募基金管理有限公司新设合营企业案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940" w:type="dxa"/>
            <w:shd w:val="clear" w:color="auto" w:fill="D9D9D9"/>
            <w:vAlign w:val="center"/>
          </w:tcPr>
          <w:p>
            <w:pPr>
              <w:pStyle w:val="8"/>
              <w:adjustRightInd w:val="0"/>
              <w:snapToGrid w:val="0"/>
              <w:spacing w:after="0" w:line="240" w:lineRule="auto"/>
              <w:rPr>
                <w:rFonts w:hint="eastAsia" w:ascii="宋体" w:hAnsi="宋体" w:cs="宋体"/>
                <w:bCs/>
                <w:color w:val="000000"/>
                <w:lang w:val="en-US" w:eastAsia="zh-CN"/>
              </w:rPr>
            </w:pPr>
            <w:r>
              <w:rPr>
                <w:rFonts w:hint="eastAsia" w:ascii="宋体" w:hAnsi="宋体" w:cs="宋体"/>
                <w:bCs/>
                <w:color w:val="000000"/>
                <w:lang w:eastAsia="zh-CN"/>
              </w:rPr>
              <w:t>交易概况（限200字内）</w:t>
            </w:r>
          </w:p>
        </w:tc>
        <w:tc>
          <w:tcPr>
            <w:tcW w:w="7700" w:type="dxa"/>
            <w:gridSpan w:val="2"/>
            <w:vAlign w:val="center"/>
          </w:tcPr>
          <w:p>
            <w:pPr>
              <w:adjustRightInd w:val="0"/>
              <w:snapToGrid w:val="0"/>
              <w:spacing w:after="0" w:line="240" w:lineRule="auto"/>
              <w:rPr>
                <w:rFonts w:hint="eastAsia" w:ascii="宋体" w:hAnsi="宋体" w:cs="宋体"/>
                <w:bCs/>
                <w:color w:val="000000"/>
                <w:kern w:val="0"/>
                <w:sz w:val="24"/>
                <w:lang w:val="en-GB" w:bidi="ar-AE"/>
              </w:rPr>
            </w:pPr>
            <w:r>
              <w:rPr>
                <w:rFonts w:hint="eastAsia" w:ascii="宋体" w:hAnsi="宋体" w:cs="宋体"/>
                <w:kern w:val="0"/>
                <w:sz w:val="24"/>
                <w:lang w:bidi="ar-AE"/>
              </w:rPr>
              <w:t>2026年2月13日，江苏富轩实业有限公司（“富轩实业”）、悦达资本股份有限公司（“悦达资本”）、银河创新资本管理有限公司（“银河创新”）和江苏悦达私募基金管理有限公司（“悦达私募”）签署《盐城悦银新质生产力产业投资基金（有限合伙）合伙协议》，拟新设合营企业盐城悦银新质生产力产业投资基金（有限合伙），合营企业拟主要从事私募股权投资基金业务，其中银河创新、悦达私募均为普通合伙人、执行事务合伙人，富轩实业、悦达资本为有限合伙人，银河创新与悦达私募共同控制合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940" w:type="dxa"/>
            <w:vMerge w:val="restart"/>
            <w:shd w:val="clear" w:color="auto" w:fill="D9D9D9"/>
            <w:vAlign w:val="center"/>
          </w:tcPr>
          <w:p>
            <w:pPr>
              <w:pStyle w:val="8"/>
              <w:adjustRightInd w:val="0"/>
              <w:snapToGrid w:val="0"/>
              <w:spacing w:after="0" w:line="240" w:lineRule="auto"/>
              <w:rPr>
                <w:rFonts w:hint="eastAsia" w:ascii="宋体" w:hAnsi="宋体" w:cs="宋体"/>
                <w:bCs/>
                <w:color w:val="000000"/>
                <w:lang w:val="en-US" w:eastAsia="zh-CN"/>
              </w:rPr>
            </w:pPr>
            <w:r>
              <w:rPr>
                <w:rFonts w:hint="eastAsia" w:ascii="宋体" w:hAnsi="宋体" w:cs="宋体"/>
                <w:bCs/>
                <w:color w:val="000000"/>
                <w:lang w:eastAsia="zh-CN"/>
              </w:rPr>
              <w:t>参与集中的经营者简介（每个限</w:t>
            </w:r>
            <w:r>
              <w:rPr>
                <w:rFonts w:hint="eastAsia" w:ascii="宋体" w:hAnsi="宋体" w:cs="宋体"/>
                <w:bCs/>
                <w:color w:val="000000"/>
                <w:lang w:val="en-US" w:eastAsia="zh-CN"/>
              </w:rPr>
              <w:t>100字以内</w:t>
            </w:r>
            <w:r>
              <w:rPr>
                <w:rFonts w:hint="eastAsia" w:ascii="宋体" w:hAnsi="宋体" w:cs="宋体"/>
                <w:bCs/>
                <w:color w:val="000000"/>
                <w:lang w:eastAsia="zh-CN"/>
              </w:rPr>
              <w:t>）</w:t>
            </w:r>
          </w:p>
        </w:tc>
        <w:tc>
          <w:tcPr>
            <w:tcW w:w="1607" w:type="dxa"/>
            <w:vAlign w:val="center"/>
          </w:tcPr>
          <w:p>
            <w:pPr>
              <w:pStyle w:val="8"/>
              <w:adjustRightInd w:val="0"/>
              <w:snapToGrid w:val="0"/>
              <w:spacing w:after="0" w:line="240" w:lineRule="auto"/>
              <w:rPr>
                <w:rFonts w:hint="eastAsia" w:ascii="宋体" w:hAnsi="宋体" w:cs="宋体"/>
                <w:bCs/>
                <w:color w:val="000000"/>
                <w:lang w:eastAsia="zh-CN"/>
              </w:rPr>
            </w:pPr>
            <w:r>
              <w:rPr>
                <w:rFonts w:hint="eastAsia" w:ascii="宋体" w:hAnsi="宋体" w:cs="宋体"/>
                <w:bCs/>
                <w:color w:val="000000"/>
                <w:lang w:val="en-US" w:eastAsia="zh-CN"/>
              </w:rPr>
              <w:t>1.</w:t>
            </w:r>
            <w:r>
              <w:rPr>
                <w:rFonts w:hint="eastAsia" w:ascii="宋体" w:hAnsi="宋体" w:cs="宋体"/>
                <w:bCs/>
                <w:color w:val="000000"/>
                <w:lang w:eastAsia="zh-CN"/>
              </w:rPr>
              <w:t>银河创新</w:t>
            </w:r>
          </w:p>
        </w:tc>
        <w:tc>
          <w:tcPr>
            <w:tcW w:w="6093" w:type="dxa"/>
            <w:vAlign w:val="center"/>
          </w:tcPr>
          <w:p>
            <w:pPr>
              <w:adjustRightInd w:val="0"/>
              <w:snapToGrid w:val="0"/>
              <w:spacing w:after="0" w:line="240" w:lineRule="auto"/>
              <w:rPr>
                <w:rFonts w:hint="eastAsia" w:ascii="宋体" w:hAnsi="宋体" w:cs="宋体"/>
                <w:kern w:val="0"/>
                <w:sz w:val="24"/>
                <w:lang w:bidi="ar-AE"/>
              </w:rPr>
            </w:pPr>
            <w:r>
              <w:rPr>
                <w:rFonts w:hint="eastAsia" w:ascii="宋体" w:hAnsi="宋体" w:cs="宋体"/>
                <w:kern w:val="0"/>
                <w:sz w:val="24"/>
                <w:lang w:bidi="ar-AE"/>
              </w:rPr>
              <w:t>银河创新于2009年10月21日成立于北京市，主要业务为在中国境内从事私募投资基金管理业务。</w:t>
            </w:r>
          </w:p>
          <w:p>
            <w:pPr>
              <w:pStyle w:val="8"/>
              <w:adjustRightInd w:val="0"/>
              <w:snapToGrid w:val="0"/>
              <w:spacing w:after="0" w:line="240" w:lineRule="auto"/>
              <w:rPr>
                <w:rFonts w:hint="eastAsia" w:ascii="宋体" w:hAnsi="宋体" w:cs="宋体"/>
                <w:bCs/>
                <w:color w:val="000000"/>
                <w:lang w:eastAsia="zh-CN"/>
              </w:rPr>
            </w:pPr>
            <w:r>
              <w:rPr>
                <w:rFonts w:hint="eastAsia" w:ascii="宋体" w:hAnsi="宋体" w:cs="宋体"/>
                <w:lang w:eastAsia="zh-CN"/>
              </w:rPr>
              <w:t>银河创新最终控制人为中国银河证券股份有限公司，主要从事财富管理、投资银行、机构业务、国际业务、投资交易服务等。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40" w:type="dxa"/>
            <w:vMerge w:val="continue"/>
            <w:shd w:val="clear" w:color="auto" w:fill="D9D9D9"/>
            <w:vAlign w:val="center"/>
          </w:tcPr>
          <w:p>
            <w:pPr>
              <w:pStyle w:val="8"/>
              <w:adjustRightInd w:val="0"/>
              <w:snapToGrid w:val="0"/>
              <w:spacing w:after="0" w:line="240" w:lineRule="auto"/>
              <w:rPr>
                <w:rFonts w:hint="eastAsia" w:ascii="宋体" w:hAnsi="宋体" w:cs="宋体"/>
                <w:bCs/>
                <w:color w:val="000000"/>
                <w:lang w:val="en-US" w:eastAsia="zh-CN"/>
              </w:rPr>
            </w:pPr>
          </w:p>
        </w:tc>
        <w:tc>
          <w:tcPr>
            <w:tcW w:w="1607" w:type="dxa"/>
            <w:vAlign w:val="center"/>
          </w:tcPr>
          <w:p>
            <w:pPr>
              <w:pStyle w:val="8"/>
              <w:adjustRightInd w:val="0"/>
              <w:snapToGrid w:val="0"/>
              <w:spacing w:after="0" w:line="240" w:lineRule="auto"/>
              <w:rPr>
                <w:rFonts w:hint="eastAsia" w:ascii="宋体" w:hAnsi="宋体" w:cs="宋体"/>
                <w:bCs/>
                <w:color w:val="000000"/>
                <w:lang w:eastAsia="zh-CN"/>
              </w:rPr>
            </w:pPr>
            <w:r>
              <w:rPr>
                <w:rFonts w:hint="eastAsia" w:ascii="宋体" w:hAnsi="宋体" w:cs="宋体"/>
                <w:bCs/>
                <w:color w:val="000000"/>
                <w:lang w:val="en-US" w:eastAsia="zh-CN"/>
              </w:rPr>
              <w:t>2.</w:t>
            </w:r>
            <w:r>
              <w:rPr>
                <w:rFonts w:hint="eastAsia" w:ascii="宋体" w:hAnsi="宋体" w:cs="宋体"/>
                <w:bCs/>
                <w:color w:val="000000"/>
                <w:lang w:eastAsia="zh-CN"/>
              </w:rPr>
              <w:t>悦达私募</w:t>
            </w:r>
          </w:p>
        </w:tc>
        <w:tc>
          <w:tcPr>
            <w:tcW w:w="6093" w:type="dxa"/>
            <w:vAlign w:val="center"/>
          </w:tcPr>
          <w:p>
            <w:pPr>
              <w:widowControl/>
              <w:adjustRightInd w:val="0"/>
              <w:snapToGrid w:val="0"/>
              <w:spacing w:after="0" w:line="240" w:lineRule="auto"/>
              <w:rPr>
                <w:rFonts w:hint="eastAsia" w:ascii="宋体" w:hAnsi="宋体" w:cs="宋体"/>
                <w:bCs/>
                <w:color w:val="000000"/>
                <w:kern w:val="0"/>
                <w:sz w:val="24"/>
                <w:lang w:bidi="ar-AE"/>
              </w:rPr>
            </w:pPr>
            <w:r>
              <w:rPr>
                <w:rFonts w:hint="eastAsia" w:ascii="宋体" w:hAnsi="宋体" w:cs="宋体"/>
                <w:bCs/>
                <w:color w:val="000000"/>
                <w:kern w:val="0"/>
                <w:sz w:val="24"/>
                <w:lang w:bidi="ar-AE"/>
              </w:rPr>
              <w:t>悦达私募于2021年11月9日成立于江苏省盐城市，主要业务为在中国境内从事私募投资基金管理业务。</w:t>
            </w:r>
          </w:p>
          <w:p>
            <w:pPr>
              <w:widowControl/>
              <w:adjustRightInd w:val="0"/>
              <w:snapToGrid w:val="0"/>
              <w:spacing w:after="0" w:line="240" w:lineRule="auto"/>
              <w:rPr>
                <w:rFonts w:hint="eastAsia" w:ascii="宋体" w:hAnsi="宋体" w:cs="宋体"/>
                <w:bCs/>
                <w:color w:val="000000"/>
                <w:kern w:val="0"/>
                <w:sz w:val="24"/>
                <w:lang w:val="en-GB" w:bidi="ar-AE"/>
              </w:rPr>
            </w:pPr>
            <w:r>
              <w:rPr>
                <w:rFonts w:hint="eastAsia" w:ascii="宋体" w:hAnsi="宋体" w:cs="宋体"/>
                <w:bCs/>
                <w:color w:val="000000"/>
                <w:kern w:val="0"/>
                <w:sz w:val="24"/>
                <w:lang w:bidi="ar-AE"/>
              </w:rPr>
              <w:t>悦达私募最终控制人为江苏悦达集团有限公司，主要从事汽车及智能制造业务，以煤矿、新能源为主的能源业务，房地产业务，以及商贸流通、租赁保理为主的供应链业务。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0" w:type="dxa"/>
            <w:vMerge w:val="restart"/>
            <w:shd w:val="clear" w:color="auto" w:fill="D9D9D9"/>
            <w:vAlign w:val="center"/>
          </w:tcPr>
          <w:p>
            <w:pPr>
              <w:pStyle w:val="8"/>
              <w:adjustRightInd w:val="0"/>
              <w:snapToGrid w:val="0"/>
              <w:spacing w:after="0" w:line="240" w:lineRule="auto"/>
              <w:rPr>
                <w:rFonts w:hint="eastAsia" w:ascii="宋体" w:hAnsi="宋体" w:cs="宋体"/>
                <w:bCs/>
                <w:color w:val="000000"/>
                <w:lang w:val="en-US" w:eastAsia="zh-CN"/>
              </w:rPr>
            </w:pPr>
            <w:r>
              <w:rPr>
                <w:rFonts w:hint="eastAsia" w:ascii="宋体" w:hAnsi="宋体" w:cs="宋体"/>
                <w:bCs/>
                <w:color w:val="000000"/>
                <w:lang w:eastAsia="zh-CN"/>
              </w:rPr>
              <w:t>简易案件理由（可以单选，也可以多选）</w:t>
            </w:r>
          </w:p>
        </w:tc>
        <w:tc>
          <w:tcPr>
            <w:tcW w:w="7700" w:type="dxa"/>
            <w:gridSpan w:val="2"/>
            <w:vAlign w:val="center"/>
          </w:tcPr>
          <w:p>
            <w:pPr>
              <w:pStyle w:val="8"/>
              <w:adjustRightInd w:val="0"/>
              <w:snapToGrid w:val="0"/>
              <w:spacing w:after="0" w:line="240" w:lineRule="auto"/>
              <w:rPr>
                <w:rFonts w:hint="eastAsia" w:ascii="宋体" w:hAnsi="宋体" w:cs="宋体"/>
                <w:bCs/>
                <w:color w:val="000000"/>
                <w:lang w:val="en-US" w:eastAsia="zh-CN"/>
              </w:rPr>
            </w:pPr>
            <w:r>
              <w:rPr>
                <w:rFonts w:hint="eastAsia" w:ascii="宋体" w:hAnsi="宋体" w:cs="宋体"/>
                <w:bCs/>
                <w:color w:val="000000"/>
                <w:lang w:eastAsia="zh-CN"/>
              </w:rPr>
              <w:sym w:font="Wingdings" w:char="00FE"/>
            </w:r>
            <w:r>
              <w:rPr>
                <w:rFonts w:hint="eastAsia" w:ascii="宋体" w:hAnsi="宋体" w:cs="宋体"/>
                <w:bCs/>
                <w:color w:val="000000"/>
                <w:lang w:eastAsia="zh-CN"/>
              </w:rPr>
              <w:t xml:space="preserve"> 1.在同一相关市场，参与集中的经营者所占市场份额之和小于15%。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0" w:type="dxa"/>
            <w:vMerge w:val="continue"/>
            <w:shd w:val="clear" w:color="auto" w:fill="D9D9D9"/>
            <w:vAlign w:val="center"/>
          </w:tcPr>
          <w:p>
            <w:pPr>
              <w:pStyle w:val="8"/>
              <w:adjustRightInd w:val="0"/>
              <w:snapToGrid w:val="0"/>
              <w:spacing w:after="0" w:line="240" w:lineRule="auto"/>
              <w:rPr>
                <w:rFonts w:hint="eastAsia" w:ascii="宋体" w:hAnsi="宋体" w:cs="宋体"/>
                <w:bCs/>
                <w:color w:val="000000"/>
                <w:lang w:val="en-US" w:eastAsia="zh-CN"/>
              </w:rPr>
            </w:pPr>
          </w:p>
        </w:tc>
        <w:tc>
          <w:tcPr>
            <w:tcW w:w="7700" w:type="dxa"/>
            <w:gridSpan w:val="2"/>
            <w:vAlign w:val="center"/>
          </w:tcPr>
          <w:p>
            <w:pPr>
              <w:pStyle w:val="8"/>
              <w:adjustRightInd w:val="0"/>
              <w:snapToGrid w:val="0"/>
              <w:spacing w:after="0" w:line="240" w:lineRule="auto"/>
              <w:rPr>
                <w:rFonts w:hint="eastAsia"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2.在上下游市场，参与集中的经营者所占的市场份额均小于25%。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0" w:type="dxa"/>
            <w:vMerge w:val="continue"/>
            <w:shd w:val="clear" w:color="auto" w:fill="D9D9D9"/>
            <w:vAlign w:val="center"/>
          </w:tcPr>
          <w:p>
            <w:pPr>
              <w:pStyle w:val="8"/>
              <w:adjustRightInd w:val="0"/>
              <w:snapToGrid w:val="0"/>
              <w:spacing w:after="0" w:line="240" w:lineRule="auto"/>
              <w:rPr>
                <w:rFonts w:hint="eastAsia" w:ascii="宋体" w:hAnsi="宋体" w:cs="宋体"/>
                <w:bCs/>
                <w:color w:val="000000"/>
                <w:lang w:val="en-US" w:eastAsia="zh-CN"/>
              </w:rPr>
            </w:pPr>
          </w:p>
        </w:tc>
        <w:tc>
          <w:tcPr>
            <w:tcW w:w="7700" w:type="dxa"/>
            <w:gridSpan w:val="2"/>
            <w:vAlign w:val="center"/>
          </w:tcPr>
          <w:p>
            <w:pPr>
              <w:pStyle w:val="8"/>
              <w:adjustRightInd w:val="0"/>
              <w:snapToGrid w:val="0"/>
              <w:spacing w:after="0" w:line="240" w:lineRule="auto"/>
              <w:rPr>
                <w:rFonts w:hint="eastAsia"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3.不在同一相关市场也不存在上下游关系的参与集中的经营者，在与交易有关的每个市场所占的市场份额均小于25%。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0" w:type="dxa"/>
            <w:vMerge w:val="continue"/>
            <w:shd w:val="clear" w:color="auto" w:fill="D9D9D9"/>
            <w:vAlign w:val="center"/>
          </w:tcPr>
          <w:p>
            <w:pPr>
              <w:pStyle w:val="8"/>
              <w:adjustRightInd w:val="0"/>
              <w:snapToGrid w:val="0"/>
              <w:spacing w:after="0" w:line="240" w:lineRule="auto"/>
              <w:rPr>
                <w:rFonts w:hint="eastAsia" w:ascii="宋体" w:hAnsi="宋体" w:cs="宋体"/>
                <w:bCs/>
                <w:color w:val="000000"/>
                <w:lang w:val="en-US" w:eastAsia="zh-CN"/>
              </w:rPr>
            </w:pPr>
          </w:p>
        </w:tc>
        <w:tc>
          <w:tcPr>
            <w:tcW w:w="7700" w:type="dxa"/>
            <w:gridSpan w:val="2"/>
            <w:vAlign w:val="center"/>
          </w:tcPr>
          <w:p>
            <w:pPr>
              <w:pStyle w:val="8"/>
              <w:adjustRightInd w:val="0"/>
              <w:snapToGrid w:val="0"/>
              <w:spacing w:after="0" w:line="240" w:lineRule="auto"/>
              <w:rPr>
                <w:rFonts w:hint="eastAsia"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0" w:type="dxa"/>
            <w:vMerge w:val="continue"/>
            <w:shd w:val="clear" w:color="auto" w:fill="D9D9D9"/>
            <w:vAlign w:val="center"/>
          </w:tcPr>
          <w:p>
            <w:pPr>
              <w:pStyle w:val="8"/>
              <w:adjustRightInd w:val="0"/>
              <w:snapToGrid w:val="0"/>
              <w:spacing w:after="0" w:line="240" w:lineRule="auto"/>
              <w:rPr>
                <w:rFonts w:hint="eastAsia" w:ascii="宋体" w:hAnsi="宋体" w:cs="宋体"/>
                <w:bCs/>
                <w:color w:val="000000"/>
                <w:lang w:val="en-US" w:eastAsia="zh-CN"/>
              </w:rPr>
            </w:pPr>
          </w:p>
        </w:tc>
        <w:tc>
          <w:tcPr>
            <w:tcW w:w="7700" w:type="dxa"/>
            <w:gridSpan w:val="2"/>
            <w:vAlign w:val="center"/>
          </w:tcPr>
          <w:p>
            <w:pPr>
              <w:pStyle w:val="8"/>
              <w:adjustRightInd w:val="0"/>
              <w:snapToGrid w:val="0"/>
              <w:spacing w:after="0" w:line="240" w:lineRule="auto"/>
              <w:rPr>
                <w:rFonts w:hint="eastAsia"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0" w:type="dxa"/>
            <w:vMerge w:val="continue"/>
            <w:shd w:val="clear" w:color="auto" w:fill="D9D9D9"/>
            <w:vAlign w:val="center"/>
          </w:tcPr>
          <w:p>
            <w:pPr>
              <w:pStyle w:val="8"/>
              <w:adjustRightInd w:val="0"/>
              <w:snapToGrid w:val="0"/>
              <w:spacing w:after="0" w:line="240" w:lineRule="auto"/>
              <w:rPr>
                <w:rFonts w:hint="eastAsia" w:ascii="宋体" w:hAnsi="宋体" w:cs="宋体"/>
                <w:bCs/>
                <w:color w:val="000000"/>
                <w:lang w:val="en-US" w:eastAsia="zh-CN"/>
              </w:rPr>
            </w:pPr>
          </w:p>
        </w:tc>
        <w:tc>
          <w:tcPr>
            <w:tcW w:w="7700" w:type="dxa"/>
            <w:gridSpan w:val="2"/>
            <w:vAlign w:val="center"/>
          </w:tcPr>
          <w:p>
            <w:pPr>
              <w:pStyle w:val="8"/>
              <w:adjustRightInd w:val="0"/>
              <w:snapToGrid w:val="0"/>
              <w:spacing w:after="0" w:line="240" w:lineRule="auto"/>
              <w:rPr>
                <w:rFonts w:hint="eastAsia"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940" w:type="dxa"/>
            <w:shd w:val="clear" w:color="auto" w:fill="D9D9D9"/>
            <w:vAlign w:val="center"/>
          </w:tcPr>
          <w:p>
            <w:pPr>
              <w:pStyle w:val="8"/>
              <w:adjustRightInd w:val="0"/>
              <w:snapToGrid w:val="0"/>
              <w:spacing w:after="0" w:line="240" w:lineRule="auto"/>
              <w:rPr>
                <w:rFonts w:hint="eastAsia" w:ascii="宋体" w:hAnsi="宋体" w:cs="宋体"/>
                <w:bCs/>
                <w:color w:val="000000"/>
                <w:lang w:val="en-US" w:eastAsia="zh-CN"/>
              </w:rPr>
            </w:pPr>
            <w:r>
              <w:rPr>
                <w:rFonts w:hint="eastAsia" w:ascii="宋体" w:hAnsi="宋体" w:cs="宋体"/>
                <w:bCs/>
                <w:color w:val="000000"/>
                <w:lang w:val="en-US" w:eastAsia="zh-CN"/>
              </w:rPr>
              <w:t>备注</w:t>
            </w:r>
          </w:p>
        </w:tc>
        <w:tc>
          <w:tcPr>
            <w:tcW w:w="7700" w:type="dxa"/>
            <w:gridSpan w:val="2"/>
            <w:vAlign w:val="center"/>
          </w:tcPr>
          <w:p>
            <w:pPr>
              <w:pStyle w:val="8"/>
              <w:adjustRightInd w:val="0"/>
              <w:snapToGrid w:val="0"/>
              <w:spacing w:after="0"/>
              <w:rPr>
                <w:rFonts w:cs="Times New Roman"/>
                <w:b/>
                <w:color w:val="000000"/>
                <w:lang w:val="en-US" w:eastAsia="zh-CN"/>
              </w:rPr>
            </w:pPr>
            <w:r>
              <w:rPr>
                <w:rFonts w:cs="Times New Roman"/>
                <w:b/>
                <w:color w:val="000000"/>
                <w:lang w:val="en-US" w:eastAsia="zh-CN"/>
              </w:rPr>
              <w:t>横向重叠：</w:t>
            </w:r>
          </w:p>
          <w:p>
            <w:pPr>
              <w:pStyle w:val="8"/>
              <w:adjustRightInd w:val="0"/>
              <w:snapToGrid w:val="0"/>
              <w:spacing w:after="0"/>
              <w:rPr>
                <w:rFonts w:cs="Times New Roman"/>
                <w:bCs/>
                <w:color w:val="000000"/>
                <w:lang w:val="en-US" w:eastAsia="zh-CN"/>
              </w:rPr>
            </w:pPr>
            <w:r>
              <w:rPr>
                <w:rFonts w:cs="Times New Roman"/>
                <w:bCs/>
                <w:color w:val="000000"/>
                <w:lang w:val="en-US" w:eastAsia="zh-CN"/>
              </w:rPr>
              <w:t>202</w:t>
            </w:r>
            <w:r>
              <w:rPr>
                <w:rFonts w:hint="eastAsia" w:cs="Times New Roman"/>
                <w:bCs/>
                <w:color w:val="000000"/>
                <w:lang w:val="en-US" w:eastAsia="zh-CN"/>
              </w:rPr>
              <w:t>5</w:t>
            </w:r>
            <w:r>
              <w:rPr>
                <w:rFonts w:cs="Times New Roman"/>
                <w:bCs/>
                <w:color w:val="000000"/>
                <w:lang w:val="en-US" w:eastAsia="zh-CN"/>
              </w:rPr>
              <w:t>年中国境内私募股权投资基金市场</w:t>
            </w:r>
          </w:p>
          <w:p>
            <w:pPr>
              <w:pStyle w:val="8"/>
              <w:adjustRightInd w:val="0"/>
              <w:snapToGrid w:val="0"/>
              <w:spacing w:after="0" w:line="240" w:lineRule="auto"/>
              <w:rPr>
                <w:rFonts w:hint="eastAsia" w:ascii="宋体" w:hAnsi="宋体" w:cs="宋体"/>
                <w:bCs/>
                <w:color w:val="000000"/>
                <w:lang w:eastAsia="zh-CN"/>
              </w:rPr>
            </w:pPr>
            <w:r>
              <w:rPr>
                <w:rFonts w:cs="Times New Roman"/>
                <w:bCs/>
                <w:color w:val="000000"/>
                <w:lang w:val="en-US" w:eastAsia="zh-CN"/>
              </w:rPr>
              <w:t>银河创新：0-5%；</w:t>
            </w:r>
            <w:r>
              <w:rPr>
                <w:rFonts w:hint="eastAsia" w:cs="Times New Roman"/>
                <w:bCs/>
                <w:color w:val="000000"/>
                <w:lang w:val="en-US" w:eastAsia="zh-CN"/>
              </w:rPr>
              <w:t>悦达私募</w:t>
            </w:r>
            <w:r>
              <w:rPr>
                <w:rFonts w:cs="Times New Roman"/>
                <w:bCs/>
                <w:color w:val="000000"/>
                <w:lang w:val="en-US" w:eastAsia="zh-CN"/>
              </w:rPr>
              <w:t>：0-5%；各方合计：0-5%</w:t>
            </w:r>
          </w:p>
        </w:tc>
      </w:tr>
    </w:tbl>
    <w:p>
      <w:pPr>
        <w:pStyle w:val="8"/>
        <w:adjustRightInd w:val="0"/>
        <w:snapToGrid w:val="0"/>
        <w:spacing w:after="0" w:line="240" w:lineRule="auto"/>
        <w:rPr>
          <w:lang w:val="en-US" w:eastAsia="zh-CN"/>
        </w:rPr>
      </w:pPr>
    </w:p>
    <w:sectPr>
      <w:endnotePr>
        <w:numFmt w:val="decimal"/>
      </w:endnotePr>
      <w:pgSz w:w="11906" w:h="16838"/>
      <w:pgMar w:top="1984" w:right="1474" w:bottom="1644" w:left="147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ESI黑体-GB2312">
    <w:panose1 w:val="02000500000000000000"/>
    <w:charset w:val="86"/>
    <w:family w:val="auto"/>
    <w:pitch w:val="default"/>
    <w:sig w:usb0="800002BF" w:usb1="184F6CF8" w:usb2="00000012" w:usb3="00000000" w:csb0="0004000F" w:csb1="00000000"/>
  </w:font>
  <w:font w:name="Arial">
    <w:panose1 w:val="020B0604020202020204"/>
    <w:charset w:val="00"/>
    <w:family w:val="swiss"/>
    <w:pitch w:val="default"/>
    <w:sig w:usb0="00007A87" w:usb1="80000000" w:usb2="00000008" w:usb3="00000000" w:csb0="400001FF" w:csb1="FFFF0000"/>
  </w:font>
  <w:font w:name="CESI楷体-GB2312">
    <w:panose1 w:val="02000500000000000000"/>
    <w:charset w:val="86"/>
    <w:family w:val="auto"/>
    <w:pitch w:val="default"/>
    <w:sig w:usb0="800002BF" w:usb1="184F6CF8" w:usb2="00000012" w:usb3="00000000" w:csb0="0004000F" w:csb1="00000000"/>
  </w:font>
  <w:font w:name="方正楷体_GBK">
    <w:panose1 w:val="03000509000000000000"/>
    <w:charset w:val="86"/>
    <w:family w:val="auto"/>
    <w:pitch w:val="default"/>
    <w:sig w:usb0="00000001" w:usb1="080E0000" w:usb2="00000000" w:usb3="00000000" w:csb0="00040000" w:csb1="00000000"/>
  </w:font>
  <w:font w:name="Simplified Arabic">
    <w:panose1 w:val="02020603050405020304"/>
    <w:charset w:val="B2"/>
    <w:family w:val="roman"/>
    <w:pitch w:val="default"/>
    <w:sig w:usb0="00002003" w:usb1="00000000" w:usb2="00000000" w:usb3="00000000" w:csb0="00000041" w:csb1="20080000"/>
  </w:font>
  <w:font w:name="Courier New">
    <w:panose1 w:val="02070309020205020404"/>
    <w:charset w:val="00"/>
    <w:family w:val="modern"/>
    <w:pitch w:val="default"/>
    <w:sig w:usb0="00007A87" w:usb1="80000000" w:usb2="00000008"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BDD792"/>
    <w:rsid w:val="000656F7"/>
    <w:rsid w:val="000E7D7A"/>
    <w:rsid w:val="001E7BD7"/>
    <w:rsid w:val="003939CA"/>
    <w:rsid w:val="004A4CC1"/>
    <w:rsid w:val="004E1F36"/>
    <w:rsid w:val="004F2E62"/>
    <w:rsid w:val="005B2C46"/>
    <w:rsid w:val="006553AD"/>
    <w:rsid w:val="006D231D"/>
    <w:rsid w:val="006F5B35"/>
    <w:rsid w:val="007457BF"/>
    <w:rsid w:val="00772D18"/>
    <w:rsid w:val="007807BC"/>
    <w:rsid w:val="007D0000"/>
    <w:rsid w:val="00800C43"/>
    <w:rsid w:val="00844838"/>
    <w:rsid w:val="0087465B"/>
    <w:rsid w:val="0088664A"/>
    <w:rsid w:val="008B22AC"/>
    <w:rsid w:val="008B24E5"/>
    <w:rsid w:val="008E6526"/>
    <w:rsid w:val="009E1EE8"/>
    <w:rsid w:val="00A864E6"/>
    <w:rsid w:val="00A9502B"/>
    <w:rsid w:val="00B019AE"/>
    <w:rsid w:val="00B5424C"/>
    <w:rsid w:val="00C45729"/>
    <w:rsid w:val="00C95125"/>
    <w:rsid w:val="00CB002B"/>
    <w:rsid w:val="00DF2F58"/>
    <w:rsid w:val="00ED0352"/>
    <w:rsid w:val="00FB2BAA"/>
    <w:rsid w:val="00FE0C51"/>
    <w:rsid w:val="2CF6581A"/>
    <w:rsid w:val="49659447"/>
    <w:rsid w:val="6FBDD792"/>
    <w:rsid w:val="74D42207"/>
    <w:rsid w:val="76FE3A0F"/>
    <w:rsid w:val="7FEF3501"/>
    <w:rsid w:val="9F9DCBBF"/>
    <w:rsid w:val="BC3517BA"/>
    <w:rsid w:val="DFBC2832"/>
    <w:rsid w:val="F0CF0FA1"/>
    <w:rsid w:val="F7BD343A"/>
    <w:rsid w:val="FEFED215"/>
    <w:rsid w:val="FEFF3882"/>
    <w:rsid w:val="FFFF7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240" w:lineRule="auto"/>
      <w:jc w:val="center"/>
      <w:outlineLvl w:val="0"/>
    </w:pPr>
    <w:rPr>
      <w:rFonts w:eastAsia="CESI黑体-GB2312" w:asciiTheme="minorHAnsi" w:hAnsiTheme="minorHAnsi"/>
      <w:kern w:val="44"/>
      <w:sz w:val="36"/>
    </w:rPr>
  </w:style>
  <w:style w:type="paragraph" w:styleId="4">
    <w:name w:val="heading 2"/>
    <w:basedOn w:val="1"/>
    <w:next w:val="1"/>
    <w:semiHidden/>
    <w:unhideWhenUsed/>
    <w:qFormat/>
    <w:uiPriority w:val="0"/>
    <w:pPr>
      <w:keepNext/>
      <w:keepLines/>
      <w:spacing w:before="260" w:after="260" w:line="240" w:lineRule="auto"/>
      <w:jc w:val="center"/>
      <w:outlineLvl w:val="1"/>
    </w:pPr>
    <w:rPr>
      <w:rFonts w:ascii="Arial" w:hAnsi="Arial" w:eastAsia="黑体"/>
      <w:sz w:val="32"/>
    </w:rPr>
  </w:style>
  <w:style w:type="paragraph" w:styleId="5">
    <w:name w:val="heading 3"/>
    <w:basedOn w:val="1"/>
    <w:next w:val="1"/>
    <w:semiHidden/>
    <w:unhideWhenUsed/>
    <w:qFormat/>
    <w:uiPriority w:val="0"/>
    <w:pPr>
      <w:keepNext/>
      <w:keepLines/>
      <w:spacing w:before="260" w:after="260" w:line="240" w:lineRule="auto"/>
      <w:jc w:val="center"/>
      <w:outlineLvl w:val="2"/>
    </w:pPr>
    <w:rPr>
      <w:rFonts w:eastAsia="CESI楷体-GB2312" w:asciiTheme="minorHAnsi" w:hAnsiTheme="minorHAnsi"/>
      <w:sz w:val="30"/>
    </w:rPr>
  </w:style>
  <w:style w:type="paragraph" w:styleId="6">
    <w:name w:val="heading 4"/>
    <w:basedOn w:val="1"/>
    <w:next w:val="1"/>
    <w:link w:val="15"/>
    <w:semiHidden/>
    <w:unhideWhenUsed/>
    <w:qFormat/>
    <w:uiPriority w:val="0"/>
    <w:pPr>
      <w:keepNext/>
      <w:keepLines/>
      <w:spacing w:before="280" w:after="290" w:line="240" w:lineRule="auto"/>
      <w:jc w:val="left"/>
      <w:outlineLvl w:val="3"/>
    </w:pPr>
    <w:rPr>
      <w:rFonts w:ascii="Arial" w:hAnsi="Arial" w:eastAsia="方正楷体_GBK"/>
      <w:color w:val="C00000"/>
      <w:sz w:val="28"/>
    </w:rPr>
  </w:style>
  <w:style w:type="paragraph" w:styleId="7">
    <w:name w:val="heading 5"/>
    <w:basedOn w:val="1"/>
    <w:next w:val="1"/>
    <w:semiHidden/>
    <w:unhideWhenUsed/>
    <w:qFormat/>
    <w:uiPriority w:val="0"/>
    <w:pPr>
      <w:keepNext/>
      <w:keepLines/>
      <w:spacing w:before="280" w:after="290" w:line="372" w:lineRule="auto"/>
      <w:outlineLvl w:val="4"/>
    </w:pPr>
    <w:rPr>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macro"/>
    <w:link w:val="19"/>
    <w:qFormat/>
    <w:uiPriority w:val="0"/>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hAnsi="Courier New" w:eastAsia="宋体" w:cs="Courier New"/>
      <w:lang w:val="en-GB" w:eastAsia="zh-CN" w:bidi="ar-AE"/>
    </w:rPr>
  </w:style>
  <w:style w:type="paragraph" w:styleId="8">
    <w:name w:val="Body Text"/>
    <w:qFormat/>
    <w:uiPriority w:val="0"/>
    <w:pPr>
      <w:spacing w:after="240" w:line="278" w:lineRule="auto"/>
      <w:jc w:val="both"/>
    </w:pPr>
    <w:rPr>
      <w:rFonts w:ascii="Times New Roman" w:hAnsi="Times New Roman" w:eastAsia="宋体" w:cs="Simplified Arabic"/>
      <w:sz w:val="24"/>
      <w:szCs w:val="24"/>
      <w:lang w:val="en-GB" w:eastAsia="en-GB" w:bidi="ar-AE"/>
    </w:rPr>
  </w:style>
  <w:style w:type="paragraph" w:styleId="9">
    <w:name w:val="footer"/>
    <w:basedOn w:val="1"/>
    <w:link w:val="18"/>
    <w:qFormat/>
    <w:uiPriority w:val="0"/>
    <w:pPr>
      <w:tabs>
        <w:tab w:val="center" w:pos="4153"/>
        <w:tab w:val="right" w:pos="8306"/>
      </w:tabs>
      <w:snapToGrid w:val="0"/>
      <w:spacing w:line="240" w:lineRule="auto"/>
      <w:jc w:val="left"/>
    </w:pPr>
    <w:rPr>
      <w:sz w:val="18"/>
      <w:szCs w:val="18"/>
    </w:rPr>
  </w:style>
  <w:style w:type="paragraph" w:styleId="10">
    <w:name w:val="header"/>
    <w:basedOn w:val="1"/>
    <w:link w:val="17"/>
    <w:qFormat/>
    <w:uiPriority w:val="0"/>
    <w:pPr>
      <w:tabs>
        <w:tab w:val="center" w:pos="4153"/>
        <w:tab w:val="right" w:pos="8306"/>
      </w:tabs>
      <w:snapToGrid w:val="0"/>
      <w:spacing w:line="240" w:lineRule="auto"/>
      <w:jc w:val="center"/>
    </w:pPr>
    <w:rPr>
      <w:sz w:val="18"/>
      <w:szCs w:val="18"/>
    </w:rPr>
  </w:style>
  <w:style w:type="table" w:styleId="12">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4">
    <w:name w:val="标题五"/>
    <w:basedOn w:val="7"/>
    <w:next w:val="1"/>
    <w:qFormat/>
    <w:uiPriority w:val="0"/>
    <w:rPr>
      <w:rFonts w:ascii="Arial" w:hAnsi="Arial" w:eastAsia="黑体" w:cs="Arial"/>
      <w:b w:val="0"/>
      <w:snapToGrid w:val="0"/>
      <w:color w:val="000000"/>
      <w:kern w:val="0"/>
      <w:sz w:val="21"/>
      <w:szCs w:val="21"/>
    </w:rPr>
  </w:style>
  <w:style w:type="character" w:customStyle="1" w:styleId="15">
    <w:name w:val="标题 4 字符"/>
    <w:link w:val="6"/>
    <w:qFormat/>
    <w:uiPriority w:val="0"/>
    <w:rPr>
      <w:rFonts w:ascii="Arial" w:hAnsi="Arial" w:eastAsia="方正楷体_GBK"/>
      <w:color w:val="C00000"/>
      <w:sz w:val="28"/>
    </w:rPr>
  </w:style>
  <w:style w:type="paragraph" w:customStyle="1" w:styleId="16">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character" w:customStyle="1" w:styleId="17">
    <w:name w:val="页眉 字符"/>
    <w:basedOn w:val="13"/>
    <w:link w:val="10"/>
    <w:qFormat/>
    <w:uiPriority w:val="0"/>
    <w:rPr>
      <w:rFonts w:ascii="Times New Roman" w:hAnsi="Times New Roman" w:eastAsia="宋体" w:cs="Times New Roman"/>
      <w:kern w:val="2"/>
      <w:sz w:val="18"/>
      <w:szCs w:val="18"/>
    </w:rPr>
  </w:style>
  <w:style w:type="character" w:customStyle="1" w:styleId="18">
    <w:name w:val="页脚 字符"/>
    <w:basedOn w:val="13"/>
    <w:link w:val="9"/>
    <w:qFormat/>
    <w:uiPriority w:val="0"/>
    <w:rPr>
      <w:rFonts w:ascii="Times New Roman" w:hAnsi="Times New Roman" w:eastAsia="宋体" w:cs="Times New Roman"/>
      <w:kern w:val="2"/>
      <w:sz w:val="18"/>
      <w:szCs w:val="18"/>
    </w:rPr>
  </w:style>
  <w:style w:type="character" w:customStyle="1" w:styleId="19">
    <w:name w:val="宏文本 字符"/>
    <w:basedOn w:val="13"/>
    <w:link w:val="2"/>
    <w:qFormat/>
    <w:uiPriority w:val="0"/>
    <w:rPr>
      <w:rFonts w:ascii="Courier New" w:hAnsi="Courier New" w:eastAsia="宋体" w:cs="Courier New"/>
      <w:lang w:val="en-GB" w:bidi="ar-A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136</Words>
  <Characters>780</Characters>
  <Lines>6</Lines>
  <Paragraphs>1</Paragraphs>
  <TotalTime>9</TotalTime>
  <ScaleCrop>false</ScaleCrop>
  <LinksUpToDate>false</LinksUpToDate>
  <CharactersWithSpaces>915</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2026-02-25T14:36:00Z</dcterms:created>
  <dc:creator>oa</dc:creator>
  <cp:lastModifiedBy>oa</cp:lastModifiedBy>
  <dcterms:modified xsi:type="dcterms:W3CDTF">2026-02-27T08:21:10Z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