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94"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none"/>
          <w:lang w:val="en-US" w:eastAsia="zh-CN"/>
        </w:rPr>
        <w:t>国家</w:t>
      </w:r>
      <w:r>
        <w:rPr>
          <w:rFonts w:hint="eastAsia" w:ascii="方正小标宋简体" w:hAnsi="方正小标宋简体" w:eastAsia="方正小标宋简体" w:cs="方正小标宋简体"/>
          <w:bCs/>
          <w:sz w:val="44"/>
          <w:szCs w:val="44"/>
        </w:rPr>
        <w:t>市场监督管理</w:t>
      </w:r>
      <w:r>
        <w:rPr>
          <w:rFonts w:hint="eastAsia" w:ascii="方正小标宋简体" w:hAnsi="方正小标宋简体" w:eastAsia="方正小标宋简体" w:cs="方正小标宋简体"/>
          <w:bCs/>
          <w:sz w:val="44"/>
          <w:szCs w:val="44"/>
          <w:lang w:val="en-US" w:eastAsia="zh-CN"/>
        </w:rPr>
        <w:t>总</w:t>
      </w:r>
      <w:r>
        <w:rPr>
          <w:rFonts w:hint="eastAsia" w:ascii="方正小标宋简体" w:hAnsi="方正小标宋简体" w:eastAsia="方正小标宋简体" w:cs="方正小标宋简体"/>
          <w:bCs/>
          <w:sz w:val="44"/>
          <w:szCs w:val="44"/>
        </w:rPr>
        <w:t>局</w:t>
      </w:r>
    </w:p>
    <w:p>
      <w:pPr>
        <w:keepNext w:val="0"/>
        <w:keepLines w:val="0"/>
        <w:pageBreakBefore w:val="0"/>
        <w:kinsoku/>
        <w:wordWrap/>
        <w:overflowPunct/>
        <w:topLinePunct w:val="0"/>
        <w:bidi w:val="0"/>
        <w:spacing w:line="594" w:lineRule="exact"/>
        <w:jc w:val="center"/>
        <w:textAlignment w:val="auto"/>
        <w:outlineLvl w:val="0"/>
        <w:rPr>
          <w:rFonts w:ascii="Times New Roman" w:hAnsi="Times New Roman" w:eastAsia="方正小标宋简体" w:cs="Mongolian Baiti"/>
          <w:bCs/>
          <w:color w:val="000000"/>
          <w:sz w:val="44"/>
          <w:szCs w:val="44"/>
        </w:rPr>
      </w:pPr>
      <w:bookmarkStart w:id="0" w:name="_Toc76683364"/>
      <w:r>
        <w:rPr>
          <w:rFonts w:ascii="Times New Roman" w:hAnsi="Mongolian Baiti" w:eastAsia="方正小标宋简体" w:cs="Mongolian Baiti"/>
          <w:bCs/>
          <w:color w:val="000000"/>
          <w:sz w:val="44"/>
          <w:szCs w:val="44"/>
        </w:rPr>
        <w:t>行政处罚决定书</w:t>
      </w:r>
      <w:bookmarkEnd w:id="0"/>
    </w:p>
    <w:p>
      <w:pPr>
        <w:keepNext w:val="0"/>
        <w:keepLines w:val="0"/>
        <w:pageBreakBefore w:val="0"/>
        <w:widowControl/>
        <w:kinsoku/>
        <w:wordWrap/>
        <w:overflowPunct/>
        <w:topLinePunct w:val="0"/>
        <w:bidi w:val="0"/>
        <w:snapToGrid w:val="0"/>
        <w:spacing w:line="594" w:lineRule="exact"/>
        <w:ind w:right="55"/>
        <w:jc w:val="center"/>
        <w:textAlignment w:val="auto"/>
        <w:outlineLvl w:val="1"/>
        <w:rPr>
          <w:rFonts w:hint="eastAsia" w:ascii="Times New Roman" w:hAnsi="Times New Roman"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国</w:t>
      </w:r>
      <w:r>
        <w:rPr>
          <w:rFonts w:hint="eastAsia" w:ascii="Times New Roman" w:hAnsi="Times New Roman"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5</w:t>
      </w:r>
      <w:r>
        <w:rPr>
          <w:rFonts w:hint="eastAsia" w:ascii="Times New Roman" w:hAnsi="Times New Roman" w:eastAsia="仿宋_GB2312" w:cs="仿宋_GB2312"/>
          <w:bCs/>
          <w:color w:val="000000"/>
          <w:sz w:val="32"/>
          <w:szCs w:val="32"/>
          <w:u w:val="none"/>
        </w:rPr>
        <w:t>号</w:t>
      </w:r>
    </w:p>
    <w:p>
      <w:pPr>
        <w:keepNext w:val="0"/>
        <w:keepLines w:val="0"/>
        <w:pageBreakBefore w:val="0"/>
        <w:widowControl/>
        <w:kinsoku/>
        <w:wordWrap/>
        <w:overflowPunct/>
        <w:topLinePunct w:val="0"/>
        <w:bidi w:val="0"/>
        <w:snapToGrid w:val="0"/>
        <w:spacing w:line="594" w:lineRule="exact"/>
        <w:ind w:right="55"/>
        <w:jc w:val="both"/>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1312"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1312;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94" w:lineRule="exact"/>
        <w:ind w:left="140" w:hanging="140"/>
        <w:jc w:val="both"/>
        <w:textAlignment w:val="auto"/>
        <w:rPr>
          <w:rFonts w:hint="eastAsia" w:ascii="Times New Roman" w:hAnsi="Times New Roman" w:eastAsia="仿宋_GB2312" w:cs="仿宋_GB2312"/>
          <w:color w:val="auto"/>
          <w:sz w:val="32"/>
          <w:szCs w:val="32"/>
          <w:highlight w:val="none"/>
          <w:lang w:val="en-US" w:eastAsia="zh-CN" w:bidi="ar"/>
        </w:rPr>
      </w:pPr>
      <w:r>
        <w:rPr>
          <w:rFonts w:hint="eastAsia" w:ascii="Times New Roman" w:hAnsi="Times New Roman" w:eastAsia="仿宋_GB2312" w:cs="Mongolian Baiti"/>
          <w:bCs/>
          <w:kern w:val="1"/>
          <w:sz w:val="32"/>
          <w:szCs w:val="32"/>
        </w:rPr>
        <w:t>当事人：</w:t>
      </w:r>
      <w:r>
        <w:rPr>
          <w:rFonts w:hint="eastAsia" w:ascii="Times New Roman" w:hAnsi="Times New Roman" w:eastAsia="仿宋_GB2312" w:cs="Mongolian Baiti"/>
          <w:bCs/>
          <w:kern w:val="1"/>
          <w:sz w:val="32"/>
          <w:szCs w:val="32"/>
          <w:lang w:val="en-US" w:eastAsia="zh-CN"/>
        </w:rPr>
        <w:t>倪文祺</w:t>
      </w:r>
    </w:p>
    <w:p>
      <w:pPr>
        <w:keepNext w:val="0"/>
        <w:keepLines w:val="0"/>
        <w:pageBreakBefore w:val="0"/>
        <w:kinsoku/>
        <w:wordWrap/>
        <w:overflowPunct/>
        <w:topLinePunct w:val="0"/>
        <w:bidi w:val="0"/>
        <w:spacing w:line="594" w:lineRule="exact"/>
        <w:ind w:left="140" w:hanging="140"/>
        <w:jc w:val="both"/>
        <w:textAlignment w:val="auto"/>
        <w:rPr>
          <w:rFonts w:hint="default" w:ascii="Times New Roman" w:hAnsi="Times New Roman" w:eastAsia="仿宋_GB2312" w:cs="仿宋_GB2312"/>
          <w:color w:val="auto"/>
          <w:sz w:val="32"/>
          <w:szCs w:val="32"/>
          <w:highlight w:val="none"/>
          <w:lang w:val="en-US" w:eastAsia="zh-CN" w:bidi="ar"/>
        </w:rPr>
      </w:pPr>
      <w:r>
        <w:rPr>
          <w:rFonts w:hint="eastAsia" w:ascii="Times New Roman" w:hAnsi="Times New Roman" w:eastAsia="仿宋_GB2312" w:cs="仿宋_GB2312"/>
          <w:color w:val="auto"/>
          <w:sz w:val="32"/>
          <w:szCs w:val="32"/>
          <w:highlight w:val="none"/>
          <w:lang w:val="en-US" w:eastAsia="zh-CN" w:bidi="ar"/>
        </w:rPr>
        <w:t>身份证件类型：居民身份证</w:t>
      </w:r>
    </w:p>
    <w:p>
      <w:pPr>
        <w:keepNext w:val="0"/>
        <w:keepLines w:val="0"/>
        <w:pageBreakBefore w:val="0"/>
        <w:kinsoku/>
        <w:wordWrap/>
        <w:overflowPunct/>
        <w:topLinePunct w:val="0"/>
        <w:bidi w:val="0"/>
        <w:spacing w:line="594" w:lineRule="exact"/>
        <w:ind w:left="140" w:hanging="140"/>
        <w:jc w:val="both"/>
        <w:textAlignment w:val="auto"/>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身份证件号码：</w:t>
      </w:r>
      <w:r>
        <w:rPr>
          <w:rFonts w:hint="eastAsia" w:ascii="Times New Roman" w:hAnsi="Times New Roman" w:eastAsia="仿宋_GB2312" w:cs="Times New Roman"/>
          <w:color w:val="auto"/>
          <w:sz w:val="32"/>
          <w:szCs w:val="32"/>
          <w:lang w:val="en-US" w:eastAsia="zh-CN"/>
        </w:rPr>
        <w:t>略</w:t>
      </w:r>
    </w:p>
    <w:p>
      <w:pPr>
        <w:keepNext w:val="0"/>
        <w:keepLines w:val="0"/>
        <w:pageBreakBefore w:val="0"/>
        <w:kinsoku/>
        <w:wordWrap/>
        <w:overflowPunct/>
        <w:topLinePunct w:val="0"/>
        <w:bidi w:val="0"/>
        <w:spacing w:line="594" w:lineRule="exact"/>
        <w:ind w:left="140" w:hanging="140"/>
        <w:jc w:val="both"/>
        <w:textAlignment w:val="auto"/>
        <w:rPr>
          <w:rFonts w:hint="eastAsia" w:ascii="Times New Roman" w:hAnsi="Times New Roman" w:eastAsia="仿宋_GB2312" w:cs="Mongolian Baiti"/>
          <w:sz w:val="32"/>
          <w:szCs w:val="32"/>
        </w:rPr>
      </w:pPr>
      <w:r>
        <w:rPr>
          <w:rFonts w:hint="eastAsia" w:ascii="Times New Roman" w:hAnsi="Times New Roman" w:eastAsia="仿宋_GB2312" w:cs="微软雅黑"/>
          <w:bCs/>
          <w:kern w:val="1"/>
          <w:sz w:val="32"/>
          <w:szCs w:val="32"/>
          <w:lang w:val="en-US" w:eastAsia="zh-CN"/>
        </w:rPr>
        <w:t>住址</w:t>
      </w:r>
      <w:r>
        <w:rPr>
          <w:rFonts w:hint="eastAsia" w:ascii="Times New Roman" w:hAnsi="Times New Roman" w:eastAsia="仿宋_GB2312" w:cs="Mongolian Baiti"/>
          <w:kern w:val="1"/>
          <w:sz w:val="32"/>
          <w:szCs w:val="32"/>
        </w:rPr>
        <w:t>：</w:t>
      </w:r>
      <w:r>
        <w:rPr>
          <w:rFonts w:hint="eastAsia" w:ascii="Times New Roman" w:hAnsi="Times New Roman" w:eastAsia="仿宋_GB2312" w:cs="Times New Roman"/>
          <w:color w:val="auto"/>
          <w:sz w:val="32"/>
          <w:szCs w:val="32"/>
          <w:lang w:val="en-US" w:eastAsia="zh-CN"/>
        </w:rPr>
        <w:t>略</w:t>
      </w:r>
    </w:p>
    <w:p>
      <w:pPr>
        <w:pStyle w:val="2"/>
        <w:keepNext w:val="0"/>
        <w:keepLines w:val="0"/>
        <w:pageBreakBefore w:val="0"/>
        <w:tabs>
          <w:tab w:val="left" w:pos="9060"/>
        </w:tabs>
        <w:kinsoku/>
        <w:wordWrap/>
        <w:overflowPunct/>
        <w:topLinePunct w:val="0"/>
        <w:bidi w:val="0"/>
        <w:spacing w:line="594" w:lineRule="exact"/>
        <w:jc w:val="both"/>
        <w:textAlignment w:val="auto"/>
        <w:rPr>
          <w:rFonts w:hint="eastAsia" w:ascii="Times New Roman" w:hAnsi="Times New Roman" w:eastAsia="仿宋_GB2312"/>
          <w:b/>
          <w:strike/>
          <w:color w:val="231F20"/>
          <w:spacing w:val="-49"/>
          <w:lang w:val="en-US" w:eastAsia="zh-CN"/>
        </w:rPr>
      </w:pPr>
    </w:p>
    <w:p>
      <w:pPr>
        <w:pStyle w:val="2"/>
        <w:keepNext w:val="0"/>
        <w:keepLines w:val="0"/>
        <w:pageBreakBefore w:val="0"/>
        <w:tabs>
          <w:tab w:val="left" w:pos="8240"/>
        </w:tabs>
        <w:kinsoku/>
        <w:wordWrap/>
        <w:overflowPunct/>
        <w:topLinePunct w:val="0"/>
        <w:bidi w:val="0"/>
        <w:spacing w:line="594"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kern w:val="1"/>
          <w:sz w:val="32"/>
          <w:szCs w:val="32"/>
          <w:highlight w:val="none"/>
          <w:lang w:val="en-US" w:eastAsia="zh-CN"/>
        </w:rPr>
        <w:t>北京京东叁佰陆拾度电子商务有限公司存在</w:t>
      </w:r>
      <w:r>
        <w:rPr>
          <w:rFonts w:hint="default" w:ascii="Times New Roman" w:hAnsi="Times New Roman" w:eastAsia="仿宋_GB2312" w:cs="Times New Roman"/>
          <w:color w:val="auto"/>
          <w:sz w:val="32"/>
          <w:szCs w:val="32"/>
          <w:lang w:eastAsia="zh-CN"/>
        </w:rPr>
        <w:t>未依法履行资质</w:t>
      </w:r>
      <w:r>
        <w:rPr>
          <w:rFonts w:hint="default"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eastAsia" w:ascii="Times New Roman" w:hAnsi="Times New Roman" w:eastAsia="仿宋_GB2312" w:cs="仿宋_GB2312"/>
          <w:color w:val="auto"/>
          <w:sz w:val="32"/>
          <w:szCs w:val="32"/>
          <w:highlight w:val="none"/>
        </w:rPr>
        <w:t>的</w:t>
      </w:r>
      <w:r>
        <w:rPr>
          <w:rFonts w:hint="eastAsia" w:ascii="Times New Roman" w:hAnsi="Times New Roman" w:eastAsia="仿宋_GB2312" w:cs="仿宋_GB2312"/>
          <w:color w:val="auto"/>
          <w:sz w:val="32"/>
          <w:szCs w:val="32"/>
          <w:highlight w:val="none"/>
          <w:lang w:val="en-US" w:eastAsia="zh-CN"/>
        </w:rPr>
        <w:t>违法</w:t>
      </w:r>
      <w:r>
        <w:rPr>
          <w:rFonts w:hint="eastAsia" w:ascii="Times New Roman" w:hAnsi="Times New Roman" w:eastAsia="仿宋_GB2312" w:cs="仿宋_GB2312"/>
          <w:color w:val="auto"/>
          <w:sz w:val="32"/>
          <w:szCs w:val="32"/>
          <w:highlight w:val="none"/>
        </w:rPr>
        <w:t>行为，</w:t>
      </w:r>
      <w:r>
        <w:rPr>
          <w:rFonts w:hint="eastAsia" w:ascii="Times New Roman" w:hAnsi="Times New Roman" w:eastAsia="仿宋_GB2312" w:cs="仿宋_GB2312"/>
          <w:color w:val="auto"/>
          <w:sz w:val="32"/>
          <w:szCs w:val="32"/>
          <w:highlight w:val="none"/>
          <w:lang w:val="en-US" w:eastAsia="zh-CN"/>
        </w:rPr>
        <w:t>本局于2025年11月20日依法立案调查，当事人于2025年1月—7月担任北京京东叁佰陆拾度电子商务有限公司食品安全总监</w:t>
      </w:r>
      <w:r>
        <w:rPr>
          <w:rFonts w:hint="eastAsia" w:ascii="Times New Roman" w:eastAsia="仿宋_GB2312" w:cs="仿宋_GB2312"/>
          <w:color w:val="auto"/>
          <w:sz w:val="32"/>
          <w:szCs w:val="32"/>
          <w:highlight w:val="none"/>
          <w:lang w:val="en-US" w:eastAsia="zh-CN" w:bidi="ar"/>
        </w:rPr>
        <w:t>。</w:t>
      </w:r>
      <w:r>
        <w:rPr>
          <w:rFonts w:hint="eastAsia" w:ascii="Times New Roman" w:hAnsi="Times New Roman" w:eastAsia="仿宋_GB2312" w:cs="仿宋_GB2312"/>
          <w:color w:val="auto"/>
          <w:sz w:val="32"/>
          <w:szCs w:val="32"/>
          <w:highlight w:val="none"/>
          <w:lang w:val="en-US" w:eastAsia="zh-CN" w:bidi="ar"/>
        </w:rPr>
        <w:t>本局通过核查平台数据、询问相关人员、调取收入证明、提取书证、电子数据</w:t>
      </w:r>
      <w:r>
        <w:rPr>
          <w:rFonts w:hint="eastAsia" w:ascii="Times New Roman" w:hAnsi="Times New Roman" w:eastAsia="仿宋_GB2312" w:cs="仿宋_GB2312"/>
          <w:color w:val="auto"/>
          <w:sz w:val="32"/>
          <w:szCs w:val="32"/>
          <w:lang w:val="en-US" w:eastAsia="zh-CN"/>
        </w:rPr>
        <w:t>等方式，确定其违法事实。</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outlineLvl w:val="2"/>
        <w:rPr>
          <w:rFonts w:hint="eastAsia" w:ascii="Times New Roman" w:hAnsi="Times New Roman" w:eastAsia="仿宋_GB2312" w:cs="仿宋_GB2312"/>
          <w:color w:val="auto"/>
          <w:sz w:val="32"/>
          <w:szCs w:val="32"/>
          <w:highlight w:val="none"/>
          <w:u w:val="none"/>
          <w:lang w:val="en-US" w:eastAsia="zh-CN" w:bidi="ar"/>
        </w:rPr>
      </w:pPr>
      <w:r>
        <w:rPr>
          <w:rFonts w:hint="eastAsia" w:ascii="Times New Roman" w:hAnsi="Times New Roman" w:eastAsia="仿宋_GB2312" w:cs="仿宋_GB2312"/>
          <w:color w:val="auto"/>
          <w:kern w:val="1"/>
          <w:sz w:val="32"/>
          <w:szCs w:val="32"/>
          <w:highlight w:val="none"/>
          <w:lang w:val="en-US" w:eastAsia="zh-CN"/>
        </w:rPr>
        <w:t>北京京东叁佰陆拾度电子商务有限公司作为网络食品交易第三方平台提供者，</w:t>
      </w:r>
      <w:r>
        <w:rPr>
          <w:rFonts w:hint="default" w:ascii="Times New Roman" w:hAnsi="Times New Roman" w:eastAsia="仿宋_GB2312" w:cs="Times New Roman"/>
          <w:color w:val="auto"/>
          <w:sz w:val="32"/>
          <w:szCs w:val="32"/>
          <w:lang w:eastAsia="zh-CN"/>
        </w:rPr>
        <w:t>未依法履行资质</w:t>
      </w:r>
      <w:r>
        <w:rPr>
          <w:rFonts w:hint="eastAsia"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本局已决定</w:t>
      </w:r>
      <w:r>
        <w:rPr>
          <w:rFonts w:hint="default" w:ascii="Times New Roman" w:hAnsi="Times New Roman" w:eastAsia="仿宋_GB2312" w:cs="Times New Roman"/>
          <w:color w:val="auto"/>
          <w:sz w:val="32"/>
          <w:szCs w:val="32"/>
          <w:lang w:val="en-US" w:eastAsia="zh-CN"/>
        </w:rPr>
        <w:t>依据</w:t>
      </w:r>
      <w:r>
        <w:rPr>
          <w:rFonts w:hint="default" w:ascii="Times New Roman" w:hAnsi="Times New Roman" w:eastAsia="仿宋_GB2312" w:cs="Times New Roman"/>
          <w:color w:val="auto"/>
          <w:sz w:val="32"/>
          <w:szCs w:val="32"/>
          <w:lang w:eastAsia="zh-CN"/>
        </w:rPr>
        <w:t>《中华人民共和国食品安全法》第一百三十一条第一款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违反本</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B7%A8%B9%E6&amp;k0=%B7%A8%B9%E6&amp;kdi0=0&amp;luki=5&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法规</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定，网络食品交易第三方平台提供者未对入网食品经营者进行实名登记、审查许可证，或者未履行报告、停止提供网络交易平台服务等义务的，由县级以上人民政府食品</w:t>
      </w:r>
      <w:r>
        <w:rPr>
          <w:rFonts w:hint="eastAsia" w:ascii="Times New Roman" w:hAnsi="Times New Roman" w:eastAsia="仿宋_GB2312" w:cs="Times New Roman"/>
          <w:color w:val="auto"/>
          <w:sz w:val="32"/>
          <w:szCs w:val="32"/>
          <w:lang w:eastAsia="zh-CN"/>
        </w:rPr>
        <w:t>安全</w:t>
      </w:r>
      <w:r>
        <w:rPr>
          <w:rFonts w:hint="default" w:ascii="Times New Roman" w:hAnsi="Times New Roman" w:eastAsia="仿宋_GB2312" w:cs="Times New Roman"/>
          <w:color w:val="auto"/>
          <w:sz w:val="32"/>
          <w:szCs w:val="32"/>
          <w:lang w:eastAsia="zh-CN"/>
        </w:rPr>
        <w:t>监督管理部门责令改正，没收违法所得，并处五万元以上二十万元以下罚款；造成严重后果的，责令停业，直至由原发证部门吊销</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D0%ED%BF%C9%D6%A4&amp;k0=%D0%ED%BF%C9%D6%A4&amp;kdi0=0&amp;luki=1&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许可证</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；使消费者的合法权益受到损害的，应当与</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CA%B3%C6%B7&amp;k0=%CA%B3%C6%B7&amp;kdi0=0&amp;luki=9&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食品</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经营者承担连带责任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的规定，对北京京东叁佰陆拾度电子商务有限公司</w:t>
      </w:r>
      <w:r>
        <w:rPr>
          <w:rFonts w:hint="eastAsia" w:ascii="Times New Roman" w:hAnsi="Times New Roman" w:eastAsia="仿宋_GB2312" w:cs="仿宋_GB2312"/>
          <w:color w:val="auto"/>
          <w:sz w:val="32"/>
          <w:szCs w:val="32"/>
          <w:highlight w:val="none"/>
          <w:u w:val="none"/>
          <w:lang w:val="en-US" w:eastAsia="zh-CN" w:bidi="ar"/>
        </w:rPr>
        <w:t>给予行政处罚。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outlineLvl w:val="2"/>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color w:val="auto"/>
          <w:kern w:val="1"/>
          <w:sz w:val="32"/>
          <w:szCs w:val="32"/>
          <w:lang w:val="en-US" w:eastAsia="zh-CN"/>
        </w:rPr>
        <w:t>北京京东叁佰陆拾度电子商务有限公司上述违法行为持续时间长、涉及店铺多、影响范围广、存在较高的食品安全风险，已构成《中华人民共和国食品安全法实施条例》第七十五条第一款第二项规定的</w:t>
      </w:r>
      <w:r>
        <w:rPr>
          <w:rFonts w:hint="eastAsia"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lang w:val="en-US" w:eastAsia="zh-CN"/>
        </w:rPr>
        <w:t>违法行为性质恶劣</w:t>
      </w:r>
      <w:r>
        <w:rPr>
          <w:rFonts w:hint="eastAsia"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lang w:val="en-US" w:eastAsia="zh-CN"/>
        </w:rPr>
        <w:t>情形。</w:t>
      </w:r>
      <w:bookmarkStart w:id="3" w:name="_GoBack"/>
      <w:bookmarkEnd w:id="3"/>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outlineLvl w:val="2"/>
        <w:rPr>
          <w:rFonts w:hint="eastAsia" w:ascii="Times New Roman" w:hAnsi="Times New Roman" w:eastAsia="仿宋_GB2312" w:cs="仿宋_GB2312"/>
          <w:bCs/>
          <w:sz w:val="32"/>
          <w:szCs w:val="32"/>
          <w:lang w:eastAsia="zh-CN"/>
        </w:rPr>
      </w:pPr>
      <w:r>
        <w:rPr>
          <w:rFonts w:hint="eastAsia" w:ascii="Times New Roman" w:hAnsi="Times New Roman" w:eastAsia="仿宋_GB2312" w:cs="仿宋_GB2312"/>
          <w:bCs/>
          <w:sz w:val="32"/>
          <w:szCs w:val="32"/>
          <w:lang w:val="en-US" w:eastAsia="zh-CN"/>
        </w:rPr>
        <w:t>经查，当事人于2025年1月—7月担任</w:t>
      </w:r>
      <w:r>
        <w:rPr>
          <w:rFonts w:hint="eastAsia" w:ascii="Times New Roman" w:hAnsi="Times New Roman" w:eastAsia="仿宋_GB2312" w:cs="仿宋_GB2312"/>
          <w:color w:val="auto"/>
          <w:kern w:val="1"/>
          <w:sz w:val="32"/>
          <w:szCs w:val="32"/>
          <w:highlight w:val="none"/>
          <w:lang w:val="en-US" w:eastAsia="zh-CN"/>
        </w:rPr>
        <w:t>北京京东叁佰陆拾度电子商务有限公司的</w:t>
      </w:r>
      <w:r>
        <w:rPr>
          <w:rFonts w:hint="eastAsia" w:ascii="Times New Roman" w:hAnsi="Times New Roman" w:eastAsia="仿宋_GB2312" w:cs="仿宋_GB2312"/>
          <w:bCs/>
          <w:sz w:val="32"/>
          <w:szCs w:val="32"/>
          <w:lang w:val="en-US" w:eastAsia="zh-CN"/>
        </w:rPr>
        <w:t>食品安全总监，作为该公司食品安全直接负责的主管人员，2025年1月—7月取得的相关收入（略）。</w:t>
      </w: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仿宋_GB2312" w:cs="仿宋_GB2312"/>
          <w:kern w:val="1"/>
          <w:sz w:val="32"/>
          <w:szCs w:val="32"/>
          <w:lang w:val="en-US" w:eastAsia="zh-CN"/>
        </w:rPr>
      </w:pPr>
      <w:r>
        <w:rPr>
          <w:rFonts w:hint="eastAsia" w:ascii="Times New Roman" w:hAnsi="Times New Roman" w:eastAsia="仿宋_GB2312" w:cs="仿宋_GB2312"/>
          <w:kern w:val="1"/>
          <w:sz w:val="32"/>
          <w:szCs w:val="32"/>
        </w:rPr>
        <w:t>上述事实，主要有以下证据证明：</w:t>
      </w:r>
      <w:bookmarkStart w:id="1" w:name="OLE_LINK3"/>
      <w:r>
        <w:rPr>
          <w:rFonts w:hint="default" w:ascii="Times New Roman" w:hAnsi="Times New Roman" w:eastAsia="仿宋_GB2312" w:cs="Times New Roman"/>
          <w:color w:val="auto"/>
          <w:kern w:val="1"/>
          <w:sz w:val="32"/>
          <w:szCs w:val="32"/>
          <w:lang w:val="en-US" w:eastAsia="zh-CN"/>
        </w:rPr>
        <w:t>北京京东叁佰陆拾度电子商务有限公司</w:t>
      </w:r>
      <w:r>
        <w:rPr>
          <w:rFonts w:hint="eastAsia" w:ascii="Times New Roman" w:hAnsi="Times New Roman" w:eastAsia="仿宋_GB2312" w:cs="仿宋_GB2312"/>
          <w:kern w:val="1"/>
          <w:sz w:val="32"/>
          <w:szCs w:val="32"/>
          <w:lang w:eastAsia="zh-CN"/>
        </w:rPr>
        <w:t>的营业执照、增值电信业务经营许可证、网络食品交易第三方平台提供者备案、</w:t>
      </w:r>
      <w:r>
        <w:rPr>
          <w:rFonts w:hint="eastAsia" w:ascii="Times New Roman" w:hAnsi="Times New Roman" w:eastAsia="仿宋_GB2312" w:cs="仿宋_GB2312"/>
          <w:kern w:val="1"/>
          <w:sz w:val="32"/>
          <w:szCs w:val="32"/>
          <w:lang w:val="en-US" w:eastAsia="zh-CN"/>
        </w:rPr>
        <w:t>ICP备案、</w:t>
      </w:r>
      <w:r>
        <w:rPr>
          <w:rFonts w:hint="eastAsia" w:ascii="Times New Roman" w:hAnsi="Times New Roman" w:eastAsia="仿宋_GB2312" w:cs="仿宋_GB2312"/>
          <w:kern w:val="1"/>
          <w:sz w:val="32"/>
          <w:szCs w:val="32"/>
        </w:rPr>
        <w:t>京东</w:t>
      </w:r>
      <w:r>
        <w:rPr>
          <w:rFonts w:hint="eastAsia" w:ascii="Times New Roman" w:hAnsi="Times New Roman" w:eastAsia="仿宋_GB2312" w:cs="仿宋_GB2312"/>
          <w:kern w:val="1"/>
          <w:sz w:val="32"/>
          <w:szCs w:val="32"/>
          <w:lang w:eastAsia="zh-CN"/>
        </w:rPr>
        <w:t>APP</w:t>
      </w:r>
      <w:r>
        <w:rPr>
          <w:rFonts w:hint="eastAsia" w:ascii="Times New Roman" w:hAnsi="Times New Roman" w:eastAsia="仿宋_GB2312" w:cs="仿宋_GB2312"/>
          <w:kern w:val="1"/>
          <w:sz w:val="32"/>
          <w:szCs w:val="32"/>
        </w:rPr>
        <w:t>软件的主页截图</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rPr>
        <w:t>京东集团股权架构说明</w:t>
      </w:r>
      <w:r>
        <w:rPr>
          <w:rFonts w:hint="eastAsia" w:ascii="Times New Roman" w:hAnsi="Times New Roman" w:eastAsia="仿宋_GB2312" w:cs="仿宋_GB2312"/>
          <w:kern w:val="1"/>
          <w:sz w:val="32"/>
          <w:szCs w:val="32"/>
          <w:lang w:val="en-US" w:eastAsia="zh-CN"/>
        </w:rPr>
        <w:t>；</w:t>
      </w:r>
      <w:r>
        <w:rPr>
          <w:rFonts w:hint="eastAsia" w:ascii="Times New Roman" w:hAnsi="Times New Roman" w:eastAsia="仿宋_GB2312" w:cs="仿宋_GB2312"/>
          <w:kern w:val="1"/>
          <w:sz w:val="32"/>
          <w:szCs w:val="32"/>
        </w:rPr>
        <w:t>《食品安全事故处置规范》《外卖平台经营管理规范》《京东外卖食品安全管理机构》</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lang w:val="en-US" w:eastAsia="zh-CN"/>
        </w:rPr>
        <w:t>相关人员询问笔录；</w:t>
      </w:r>
      <w:r>
        <w:rPr>
          <w:rFonts w:hint="eastAsia" w:ascii="Times New Roman" w:hAnsi="Times New Roman" w:eastAsia="仿宋_GB2312" w:cs="仿宋_GB2312"/>
          <w:kern w:val="1"/>
          <w:sz w:val="32"/>
          <w:szCs w:val="32"/>
        </w:rPr>
        <w:t>商家财务结算数据</w:t>
      </w:r>
      <w:r>
        <w:rPr>
          <w:rFonts w:hint="eastAsia" w:ascii="Times New Roman" w:hAnsi="Times New Roman" w:eastAsia="仿宋_GB2312" w:cs="仿宋_GB2312"/>
          <w:kern w:val="1"/>
          <w:sz w:val="32"/>
          <w:szCs w:val="32"/>
          <w:lang w:val="en-US" w:eastAsia="zh-CN"/>
        </w:rPr>
        <w:t>等</w:t>
      </w:r>
      <w:r>
        <w:rPr>
          <w:rFonts w:hint="eastAsia" w:ascii="Times New Roman" w:hAnsi="Times New Roman" w:eastAsia="仿宋_GB2312" w:cs="仿宋_GB2312"/>
          <w:kern w:val="1"/>
          <w:sz w:val="32"/>
          <w:szCs w:val="32"/>
        </w:rPr>
        <w:t>电子数据及核对笔录</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lang w:val="en-US" w:eastAsia="zh-CN"/>
        </w:rPr>
        <w:t>相关《</w:t>
      </w:r>
      <w:r>
        <w:rPr>
          <w:rFonts w:hint="eastAsia" w:ascii="Times New Roman" w:hAnsi="Times New Roman" w:eastAsia="仿宋_GB2312" w:cs="仿宋_GB2312"/>
          <w:kern w:val="1"/>
          <w:sz w:val="32"/>
          <w:szCs w:val="32"/>
        </w:rPr>
        <w:t>服务协议</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rPr>
        <w:t>《合作协议》</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lang w:val="en-US" w:eastAsia="zh-CN"/>
        </w:rPr>
        <w:t>情况说明》</w:t>
      </w:r>
      <w:r>
        <w:rPr>
          <w:rFonts w:hint="eastAsia" w:ascii="Times New Roman" w:hAnsi="Times New Roman" w:eastAsia="仿宋_GB2312" w:cs="仿宋_GB2312"/>
          <w:kern w:val="1"/>
          <w:sz w:val="32"/>
          <w:szCs w:val="32"/>
          <w:lang w:eastAsia="zh-CN"/>
        </w:rPr>
        <w:t>；</w:t>
      </w:r>
      <w:bookmarkEnd w:id="1"/>
      <w:r>
        <w:rPr>
          <w:rFonts w:hint="default" w:ascii="Times New Roman" w:hAnsi="Times New Roman" w:eastAsia="仿宋_GB2312" w:cs="Times New Roman"/>
          <w:kern w:val="1"/>
          <w:sz w:val="32"/>
          <w:szCs w:val="32"/>
          <w:lang w:val="en-US" w:eastAsia="zh-CN"/>
        </w:rPr>
        <w:t>当事人的身份</w:t>
      </w:r>
      <w:r>
        <w:rPr>
          <w:rFonts w:hint="eastAsia" w:ascii="Times New Roman" w:hAnsi="Times New Roman" w:eastAsia="仿宋_GB2312" w:cs="Times New Roman"/>
          <w:kern w:val="1"/>
          <w:sz w:val="32"/>
          <w:szCs w:val="32"/>
          <w:lang w:val="en-US" w:eastAsia="zh-CN"/>
        </w:rPr>
        <w:t>证明文件</w:t>
      </w:r>
      <w:r>
        <w:rPr>
          <w:rFonts w:hint="default" w:ascii="Times New Roman" w:hAnsi="Times New Roman" w:eastAsia="仿宋_GB2312" w:cs="Times New Roman"/>
          <w:kern w:val="1"/>
          <w:sz w:val="32"/>
          <w:szCs w:val="32"/>
          <w:lang w:val="en-US" w:eastAsia="zh-CN"/>
        </w:rPr>
        <w:t>、</w:t>
      </w:r>
      <w:r>
        <w:rPr>
          <w:rFonts w:hint="eastAsia" w:ascii="Times New Roman" w:hAnsi="Times New Roman" w:eastAsia="仿宋_GB2312" w:cs="仿宋_GB2312"/>
          <w:kern w:val="1"/>
          <w:sz w:val="32"/>
          <w:szCs w:val="32"/>
          <w:lang w:val="en-US" w:eastAsia="zh-CN"/>
        </w:rPr>
        <w:t>当事人的职务及任职证明材料、当事人上一年度收入证明材料等</w:t>
      </w:r>
      <w:r>
        <w:rPr>
          <w:rFonts w:hint="eastAsia" w:ascii="Times New Roman" w:hAnsi="Times New Roman" w:eastAsia="仿宋_GB2312" w:cs="仿宋_GB2312"/>
          <w:kern w:val="1"/>
          <w:sz w:val="32"/>
          <w:szCs w:val="32"/>
          <w:lang w:eastAsia="zh-CN"/>
        </w:rPr>
        <w:t>证据。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仿宋_GB2312"/>
          <w:strike/>
          <w:dstrike w:val="0"/>
          <w:sz w:val="32"/>
          <w:szCs w:val="32"/>
          <w:u w:val="none"/>
          <w:lang w:val="en-US" w:eastAsia="zh-CN"/>
        </w:rPr>
      </w:pPr>
      <w:r>
        <w:rPr>
          <w:rFonts w:hint="eastAsia" w:ascii="Times New Roman" w:hAnsi="Times New Roman" w:eastAsia="仿宋_GB2312" w:cs="仿宋_GB2312"/>
          <w:sz w:val="32"/>
          <w:szCs w:val="32"/>
          <w:highlight w:val="none"/>
          <w:lang w:val="en-US" w:eastAsia="zh-CN"/>
        </w:rPr>
        <w:t>2026</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8</w:t>
      </w:r>
      <w:r>
        <w:rPr>
          <w:rFonts w:hint="eastAsia" w:ascii="Times New Roman" w:hAnsi="Times New Roman" w:eastAsia="仿宋_GB2312" w:cs="仿宋_GB2312"/>
          <w:sz w:val="32"/>
          <w:szCs w:val="32"/>
          <w:highlight w:val="none"/>
        </w:rPr>
        <w:t>日</w:t>
      </w:r>
      <w:r>
        <w:rPr>
          <w:rFonts w:hint="eastAsia" w:ascii="Times New Roman" w:hAnsi="Times New Roman" w:eastAsia="仿宋_GB2312" w:cs="仿宋_GB2312"/>
          <w:sz w:val="32"/>
          <w:szCs w:val="32"/>
        </w:rPr>
        <w:t>，本</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rPr>
        <w:t>向</w:t>
      </w: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rPr>
        <w:t>送达了《行政处罚告知书》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国市监罚告</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highlight w:val="none"/>
          <w:u w:val="none"/>
          <w:lang w:val="en-US" w:eastAsia="zh-CN"/>
        </w:rPr>
        <w:t>3</w:t>
      </w:r>
      <w:r>
        <w:rPr>
          <w:rFonts w:hint="eastAsia" w:ascii="Times New Roman" w:hAnsi="Times New Roman" w:eastAsia="仿宋_GB2312" w:cs="仿宋_GB2312"/>
          <w:bCs/>
          <w:color w:val="000000"/>
          <w:sz w:val="32"/>
          <w:szCs w:val="32"/>
          <w:u w:val="none"/>
          <w:lang w:val="en-US" w:eastAsia="zh-CN"/>
        </w:rPr>
        <w:t>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，告知了拟作出行政处罚的事实、理由、依据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处罚内容，</w:t>
      </w:r>
      <w:r>
        <w:rPr>
          <w:rFonts w:hint="eastAsia" w:ascii="Times New Roman" w:hAnsi="Times New Roman" w:eastAsia="仿宋_GB2312" w:cs="仿宋_GB2312"/>
          <w:sz w:val="32"/>
          <w:szCs w:val="32"/>
          <w:lang w:eastAsia="zh-CN"/>
        </w:rPr>
        <w:t>以及依法享有</w:t>
      </w:r>
      <w:r>
        <w:rPr>
          <w:rFonts w:hint="eastAsia" w:ascii="Times New Roman" w:hAnsi="Times New Roman" w:eastAsia="仿宋_GB2312" w:cs="仿宋_GB2312"/>
          <w:sz w:val="32"/>
          <w:szCs w:val="32"/>
        </w:rPr>
        <w:t>陈述、申辩</w:t>
      </w:r>
      <w:r>
        <w:rPr>
          <w:rFonts w:hint="eastAsia" w:ascii="Times New Roman" w:hAnsi="Times New Roman" w:eastAsia="仿宋_GB2312" w:cs="仿宋_GB2312"/>
          <w:sz w:val="32"/>
          <w:szCs w:val="32"/>
          <w:lang w:eastAsia="zh-CN"/>
        </w:rPr>
        <w:t>和要求听证的权利</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lang w:val="en-US" w:eastAsia="zh-CN"/>
        </w:rPr>
        <w:t>在法定期限内</w:t>
      </w:r>
      <w:r>
        <w:rPr>
          <w:rFonts w:hint="eastAsia" w:ascii="Times New Roman" w:hAnsi="Times New Roman" w:eastAsia="仿宋_GB2312" w:cs="仿宋_GB2312"/>
          <w:sz w:val="32"/>
          <w:szCs w:val="32"/>
          <w:lang w:eastAsia="zh-CN"/>
        </w:rPr>
        <w:t>未</w:t>
      </w:r>
      <w:r>
        <w:rPr>
          <w:rFonts w:hint="eastAsia" w:ascii="Times New Roman" w:hAnsi="Times New Roman" w:eastAsia="仿宋_GB2312" w:cs="仿宋_GB2312"/>
          <w:sz w:val="32"/>
          <w:szCs w:val="32"/>
          <w:lang w:val="en-US" w:eastAsia="zh-CN"/>
        </w:rPr>
        <w:t>向本局</w:t>
      </w:r>
      <w:r>
        <w:rPr>
          <w:rFonts w:hint="eastAsia" w:ascii="Times New Roman" w:hAnsi="Times New Roman" w:eastAsia="仿宋_GB2312" w:cs="仿宋_GB2312"/>
          <w:sz w:val="32"/>
          <w:szCs w:val="32"/>
          <w:lang w:eastAsia="zh-CN"/>
        </w:rPr>
        <w:t>提出</w:t>
      </w:r>
      <w:r>
        <w:rPr>
          <w:rFonts w:hint="eastAsia" w:ascii="Times New Roman" w:hAnsi="Times New Roman" w:eastAsia="仿宋_GB2312" w:cs="仿宋_GB2312"/>
          <w:sz w:val="32"/>
          <w:szCs w:val="32"/>
          <w:lang w:val="en-US" w:eastAsia="zh-CN"/>
        </w:rPr>
        <w:t>陈述、申辩，未要求听证。</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b w:val="0"/>
          <w:bCs w:val="0"/>
          <w:color w:val="auto"/>
          <w:kern w:val="2"/>
          <w:sz w:val="32"/>
          <w:szCs w:val="32"/>
          <w:u w:val="none"/>
          <w:lang w:val="zh-CN" w:eastAsia="zh-CN" w:bidi="ar-SA"/>
        </w:rPr>
        <w:t>综合考虑当事人的岗位职责及</w:t>
      </w:r>
      <w:r>
        <w:rPr>
          <w:rFonts w:hint="default" w:ascii="Times New Roman" w:hAnsi="Times New Roman" w:eastAsia="仿宋_GB2312" w:cs="Times New Roman"/>
          <w:color w:val="auto"/>
          <w:kern w:val="1"/>
          <w:sz w:val="32"/>
          <w:szCs w:val="32"/>
          <w:lang w:val="en-US" w:eastAsia="zh-CN"/>
        </w:rPr>
        <w:t>北京京东叁佰陆拾度电子商务有限公司</w:t>
      </w:r>
      <w:r>
        <w:rPr>
          <w:rFonts w:hint="default" w:ascii="Times New Roman" w:hAnsi="Times New Roman" w:eastAsia="仿宋_GB2312" w:cs="Times New Roman"/>
          <w:b w:val="0"/>
          <w:bCs w:val="0"/>
          <w:color w:val="auto"/>
          <w:kern w:val="2"/>
          <w:sz w:val="32"/>
          <w:szCs w:val="32"/>
          <w:u w:val="none"/>
          <w:lang w:val="zh-CN" w:eastAsia="zh-CN" w:bidi="ar-SA"/>
        </w:rPr>
        <w:t>违法行为的社会危害程度，依据</w:t>
      </w:r>
      <w:r>
        <w:rPr>
          <w:rFonts w:hint="default" w:ascii="Times New Roman" w:hAnsi="Times New Roman" w:eastAsia="仿宋_GB2312" w:cs="Times New Roman"/>
          <w:color w:val="auto"/>
          <w:sz w:val="32"/>
          <w:szCs w:val="32"/>
          <w:lang w:val="zh-CN" w:eastAsia="zh-CN"/>
        </w:rPr>
        <w:t>《中华人民</w:t>
      </w:r>
      <w:r>
        <w:rPr>
          <w:rFonts w:hint="default" w:ascii="Times New Roman" w:hAnsi="Times New Roman" w:eastAsia="仿宋_GB2312" w:cs="Times New Roman"/>
          <w:color w:val="auto"/>
          <w:sz w:val="32"/>
          <w:szCs w:val="32"/>
          <w:lang w:val="en-US" w:eastAsia="zh-CN"/>
        </w:rPr>
        <w:t>共和国食品安全法实施条例》第七十五条第一款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eastAsia="zh-CN"/>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二）违法行为性质恶劣</w:t>
      </w:r>
      <w:r>
        <w:rPr>
          <w:rFonts w:hint="eastAsia" w:ascii="Times New Roman" w:hAnsi="Times New Roman" w:eastAsia="仿宋_GB2312" w:cs="Times New Roman"/>
          <w:color w:val="auto"/>
          <w:sz w:val="32"/>
          <w:szCs w:val="32"/>
          <w:lang w:val="en-US" w:eastAsia="zh-CN"/>
        </w:rPr>
        <w:t>”的</w:t>
      </w:r>
      <w:r>
        <w:rPr>
          <w:rFonts w:hint="eastAsia" w:ascii="Times New Roman" w:hAnsi="Times New Roman" w:eastAsia="仿宋_GB2312" w:cs="仿宋_GB2312"/>
          <w:b w:val="0"/>
          <w:bCs w:val="0"/>
          <w:color w:val="auto"/>
          <w:sz w:val="32"/>
          <w:szCs w:val="32"/>
          <w:highlight w:val="none"/>
          <w:u w:val="none"/>
          <w:lang w:val="en-US" w:eastAsia="zh-CN"/>
        </w:rPr>
        <w:t>规定，决定处罚如下：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罚款280000元（贰拾捌万元整）。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rPr>
        <w:t>应当自收到本行政处罚决定书之日起十五日内，根据本行政处罚决定书，携缴款码</w:t>
      </w:r>
      <w:r>
        <w:rPr>
          <w:rFonts w:hint="eastAsia" w:ascii="Times New Roman" w:hAnsi="Times New Roman" w:eastAsia="仿宋_GB2312" w:cs="仿宋_GB2312"/>
          <w:sz w:val="32"/>
          <w:szCs w:val="32"/>
          <w:lang w:eastAsia="zh-CN"/>
        </w:rPr>
        <w:t>（</w:t>
      </w:r>
      <w:r>
        <w:rPr>
          <w:rFonts w:hint="eastAsia" w:ascii="Times New Roman" w:hAnsi="Times New Roman" w:eastAsia="仿宋_GB2312" w:cs="Times New Roman"/>
          <w:color w:val="auto"/>
          <w:sz w:val="32"/>
          <w:szCs w:val="32"/>
          <w:lang w:val="en-US" w:eastAsia="zh-CN"/>
        </w:rPr>
        <w:t>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到1</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家中央财政非税收入收缴代理银行（工、农、中、建、交、中信、光大、招商、邮储、华夏、平安、兴业</w:t>
      </w:r>
      <w:r>
        <w:rPr>
          <w:rFonts w:hint="eastAsia" w:ascii="Times New Roman" w:hAnsi="Times New Roman" w:eastAsia="仿宋_GB2312" w:cs="仿宋_GB2312"/>
          <w:sz w:val="32"/>
          <w:szCs w:val="32"/>
          <w:lang w:eastAsia="zh-CN"/>
        </w:rPr>
        <w:t>、民生、广发、浙商、</w:t>
      </w:r>
      <w:r>
        <w:rPr>
          <w:rFonts w:hint="eastAsia" w:ascii="Times New Roman" w:hAnsi="Times New Roman" w:eastAsia="仿宋_GB2312" w:cs="仿宋_GB2312"/>
          <w:sz w:val="32"/>
          <w:szCs w:val="32"/>
          <w:lang w:val="en-US" w:eastAsia="zh-CN"/>
        </w:rPr>
        <w:t>浦发、江苏</w:t>
      </w:r>
      <w:r>
        <w:rPr>
          <w:rFonts w:hint="eastAsia" w:ascii="Times New Roman" w:hAnsi="Times New Roman" w:eastAsia="仿宋_GB2312" w:cs="仿宋_GB2312"/>
          <w:sz w:val="32"/>
          <w:szCs w:val="32"/>
        </w:rPr>
        <w:t>）任一银行网点或者网上银行</w:t>
      </w:r>
      <w:r>
        <w:rPr>
          <w:rFonts w:hint="eastAsia" w:ascii="Times New Roman" w:hAnsi="Times New Roman" w:eastAsia="仿宋_GB2312" w:cs="仿宋_GB2312"/>
          <w:sz w:val="32"/>
          <w:szCs w:val="32"/>
          <w:lang w:eastAsia="zh-CN"/>
        </w:rPr>
        <w:t>缴纳</w:t>
      </w:r>
      <w:r>
        <w:rPr>
          <w:rFonts w:hint="eastAsia" w:ascii="Times New Roman" w:hAnsi="Times New Roman" w:eastAsia="仿宋_GB2312" w:cs="仿宋_GB2312"/>
          <w:sz w:val="32"/>
          <w:szCs w:val="32"/>
        </w:rPr>
        <w:t>罚款。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lang w:val="en-US" w:eastAsia="zh-CN"/>
        </w:rPr>
        <w:t>到期不缴纳罚款的</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依据</w:t>
      </w:r>
      <w:r>
        <w:rPr>
          <w:rFonts w:hint="eastAsia" w:ascii="Times New Roman" w:hAnsi="Times New Roman" w:eastAsia="仿宋_GB2312" w:cs="仿宋_GB2312"/>
          <w:sz w:val="32"/>
          <w:szCs w:val="32"/>
        </w:rPr>
        <w:t>《中华人民共和国行政处罚法》第</w:t>
      </w: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条</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rPr>
        <w:t>规定，本</w:t>
      </w:r>
      <w:r>
        <w:rPr>
          <w:rFonts w:hint="eastAsia" w:ascii="Times New Roman" w:hAnsi="Times New Roman" w:eastAsia="仿宋_GB2312" w:cs="仿宋_GB2312"/>
          <w:sz w:val="32"/>
          <w:szCs w:val="32"/>
          <w:lang w:val="en-US" w:eastAsia="zh-CN"/>
        </w:rPr>
        <w:t>局将</w:t>
      </w:r>
      <w:r>
        <w:rPr>
          <w:rFonts w:hint="eastAsia" w:ascii="Times New Roman" w:hAnsi="Times New Roman" w:eastAsia="仿宋_GB2312" w:cs="仿宋_GB2312"/>
          <w:sz w:val="32"/>
          <w:szCs w:val="32"/>
        </w:rPr>
        <w:t>每日按罚款数额的百分之三加处罚款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并依法</w:t>
      </w:r>
      <w:r>
        <w:rPr>
          <w:rFonts w:hint="eastAsia" w:ascii="Times New Roman" w:hAnsi="Times New Roman" w:eastAsia="仿宋_GB2312" w:cs="仿宋_GB2312"/>
          <w:sz w:val="32"/>
          <w:szCs w:val="32"/>
        </w:rPr>
        <w:t>申请人民法院强制执行。</w:t>
      </w:r>
    </w:p>
    <w:p>
      <w:pPr>
        <w:keepNext w:val="0"/>
        <w:keepLines w:val="0"/>
        <w:pageBreakBefore w:val="0"/>
        <w:widowControl/>
        <w:kinsoku/>
        <w:wordWrap/>
        <w:overflowPunct/>
        <w:topLinePunct w:val="0"/>
        <w:bidi w:val="0"/>
        <w:snapToGrid w:val="0"/>
        <w:spacing w:line="594"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sz w:val="32"/>
          <w:szCs w:val="32"/>
        </w:rPr>
        <w:t>如当事人不服</w:t>
      </w:r>
      <w:r>
        <w:rPr>
          <w:rFonts w:hint="eastAsia" w:ascii="Times New Roman" w:hAnsi="Times New Roman" w:eastAsia="仿宋_GB2312"/>
          <w:sz w:val="32"/>
          <w:szCs w:val="32"/>
          <w:lang w:val="en-US" w:eastAsia="zh-CN"/>
        </w:rPr>
        <w:t>本</w:t>
      </w:r>
      <w:r>
        <w:rPr>
          <w:rFonts w:hint="eastAsia" w:ascii="Times New Roman" w:hAnsi="Times New Roman" w:eastAsia="仿宋_GB2312"/>
          <w:sz w:val="32"/>
          <w:szCs w:val="32"/>
        </w:rPr>
        <w:t>行政处罚决定，可以</w:t>
      </w:r>
      <w:r>
        <w:rPr>
          <w:rFonts w:hint="eastAsia" w:ascii="Times New Roman" w:hAnsi="Times New Roman" w:eastAsia="仿宋_GB2312"/>
          <w:sz w:val="32"/>
          <w:szCs w:val="32"/>
          <w:lang w:val="en-US" w:eastAsia="zh-CN"/>
        </w:rPr>
        <w:t>在</w:t>
      </w:r>
      <w:r>
        <w:rPr>
          <w:rFonts w:hint="eastAsia" w:ascii="Times New Roman" w:hAnsi="Times New Roman" w:eastAsia="仿宋_GB2312"/>
          <w:sz w:val="32"/>
          <w:szCs w:val="32"/>
        </w:rPr>
        <w:t>收到本行政处罚决定书之日起六十日内向国家市场监督管理总局申请行政复议；</w:t>
      </w:r>
      <w:r>
        <w:rPr>
          <w:rFonts w:hint="eastAsia" w:ascii="Times New Roman" w:hAnsi="Times New Roman" w:eastAsia="仿宋_GB2312"/>
          <w:sz w:val="32"/>
          <w:szCs w:val="32"/>
          <w:lang w:val="en-US" w:eastAsia="zh-CN"/>
        </w:rPr>
        <w:t>也可以在</w:t>
      </w:r>
      <w:r>
        <w:rPr>
          <w:rFonts w:hint="eastAsia" w:ascii="Times New Roman" w:hAnsi="Times New Roman" w:eastAsia="仿宋_GB2312"/>
          <w:sz w:val="32"/>
          <w:szCs w:val="32"/>
        </w:rPr>
        <w:t>收到本行政处罚决定书之日起六个月内，依法向</w:t>
      </w:r>
      <w:r>
        <w:rPr>
          <w:rFonts w:hint="eastAsia" w:ascii="Times New Roman" w:hAnsi="Times New Roman" w:eastAsia="仿宋_GB2312" w:cs="仿宋_GB2312"/>
          <w:sz w:val="32"/>
          <w:szCs w:val="32"/>
        </w:rPr>
        <w:t>北京市第一中级人民法院提起行政诉讼</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申请</w:t>
      </w:r>
      <w:r>
        <w:rPr>
          <w:rFonts w:hint="eastAsia" w:ascii="Times New Roman" w:hAnsi="Times New Roman" w:eastAsia="仿宋_GB2312"/>
          <w:sz w:val="32"/>
          <w:szCs w:val="32"/>
        </w:rPr>
        <w:t>行政复议或者</w:t>
      </w:r>
      <w:r>
        <w:rPr>
          <w:rFonts w:hint="eastAsia" w:ascii="Times New Roman" w:hAnsi="Times New Roman" w:eastAsia="仿宋_GB2312"/>
          <w:sz w:val="32"/>
          <w:szCs w:val="32"/>
          <w:lang w:val="en-US" w:eastAsia="zh-CN"/>
        </w:rPr>
        <w:t>提起</w:t>
      </w:r>
      <w:r>
        <w:rPr>
          <w:rFonts w:hint="eastAsia" w:ascii="Times New Roman" w:hAnsi="Times New Roman" w:eastAsia="仿宋_GB2312"/>
          <w:sz w:val="32"/>
          <w:szCs w:val="32"/>
        </w:rPr>
        <w:t>行政诉讼期间，行政处罚不停止执行。</w:t>
      </w:r>
    </w:p>
    <w:p>
      <w:pPr>
        <w:keepNext w:val="0"/>
        <w:keepLines w:val="0"/>
        <w:pageBreakBefore w:val="0"/>
        <w:widowControl/>
        <w:kinsoku/>
        <w:wordWrap/>
        <w:overflowPunct/>
        <w:topLinePunct w:val="0"/>
        <w:bidi w:val="0"/>
        <w:snapToGrid w:val="0"/>
        <w:spacing w:line="594" w:lineRule="exact"/>
        <w:ind w:right="640"/>
        <w:jc w:val="left"/>
        <w:textAlignment w:val="auto"/>
        <w:rPr>
          <w:rFonts w:hint="eastAsia" w:ascii="Times New Roman" w:hAnsi="Times New Roman" w:eastAsia="仿宋_GB2312" w:cs="仿宋_GB2312"/>
          <w:color w:val="000000"/>
          <w:sz w:val="32"/>
          <w:szCs w:val="32"/>
        </w:rPr>
      </w:pPr>
    </w:p>
    <w:p>
      <w:pPr>
        <w:keepNext w:val="0"/>
        <w:keepLines w:val="0"/>
        <w:pageBreakBefore w:val="0"/>
        <w:widowControl/>
        <w:kinsoku/>
        <w:wordWrap/>
        <w:overflowPunct/>
        <w:topLinePunct w:val="0"/>
        <w:bidi w:val="0"/>
        <w:snapToGrid w:val="0"/>
        <w:spacing w:line="594" w:lineRule="exact"/>
        <w:ind w:firstLine="6240" w:firstLineChars="1950"/>
        <w:jc w:val="left"/>
        <w:textAlignment w:val="auto"/>
        <w:rPr>
          <w:rFonts w:hint="eastAsia" w:ascii="Times New Roman" w:hAnsi="Times New Roman" w:eastAsia="仿宋_GB2312" w:cs="仿宋_GB2312"/>
          <w:color w:val="000000"/>
          <w:sz w:val="32"/>
          <w:szCs w:val="32"/>
        </w:rPr>
      </w:pPr>
    </w:p>
    <w:p>
      <w:pPr>
        <w:keepNext w:val="0"/>
        <w:keepLines w:val="0"/>
        <w:pageBreakBefore w:val="0"/>
        <w:widowControl/>
        <w:kinsoku/>
        <w:wordWrap/>
        <w:overflowPunct/>
        <w:topLinePunct w:val="0"/>
        <w:bidi w:val="0"/>
        <w:snapToGrid w:val="0"/>
        <w:spacing w:line="594" w:lineRule="exact"/>
        <w:ind w:firstLine="6240" w:firstLineChars="1950"/>
        <w:jc w:val="left"/>
        <w:textAlignment w:val="auto"/>
        <w:rPr>
          <w:rFonts w:hint="eastAsia" w:ascii="Times New Roman" w:hAnsi="Times New Roman" w:eastAsia="仿宋_GB2312" w:cs="仿宋_GB2312"/>
          <w:color w:val="000000"/>
          <w:sz w:val="32"/>
          <w:szCs w:val="32"/>
        </w:rPr>
      </w:pPr>
      <w:bookmarkStart w:id="2" w:name="OLE_LINK1"/>
    </w:p>
    <w:p>
      <w:pPr>
        <w:keepNext w:val="0"/>
        <w:keepLines w:val="0"/>
        <w:pageBreakBefore w:val="0"/>
        <w:kinsoku/>
        <w:wordWrap/>
        <w:overflowPunct/>
        <w:topLinePunct w:val="0"/>
        <w:bidi w:val="0"/>
        <w:spacing w:line="594" w:lineRule="exact"/>
        <w:ind w:right="640" w:firstLine="601"/>
        <w:jc w:val="right"/>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none"/>
          <w:lang w:val="en-US" w:eastAsia="zh-CN"/>
        </w:rPr>
        <w:t>国家</w:t>
      </w:r>
      <w:r>
        <w:rPr>
          <w:rFonts w:hint="eastAsia" w:ascii="Times New Roman" w:hAnsi="Times New Roman" w:eastAsia="仿宋_GB2312" w:cs="仿宋"/>
          <w:color w:val="000000"/>
          <w:sz w:val="32"/>
          <w:szCs w:val="32"/>
        </w:rPr>
        <w:t>市场监督管理</w:t>
      </w:r>
      <w:r>
        <w:rPr>
          <w:rFonts w:hint="eastAsia" w:ascii="Times New Roman" w:hAnsi="Times New Roman" w:eastAsia="仿宋_GB2312" w:cs="仿宋"/>
          <w:color w:val="000000"/>
          <w:sz w:val="32"/>
          <w:szCs w:val="32"/>
          <w:lang w:val="en-US" w:eastAsia="zh-CN"/>
        </w:rPr>
        <w:t>总</w:t>
      </w:r>
      <w:r>
        <w:rPr>
          <w:rFonts w:hint="eastAsia" w:ascii="Times New Roman" w:hAnsi="Times New Roman" w:eastAsia="仿宋_GB2312" w:cs="仿宋"/>
          <w:color w:val="000000"/>
          <w:sz w:val="32"/>
          <w:szCs w:val="32"/>
        </w:rPr>
        <w:t>局</w:t>
      </w:r>
    </w:p>
    <w:p>
      <w:pPr>
        <w:keepNext w:val="0"/>
        <w:keepLines w:val="0"/>
        <w:pageBreakBefore w:val="0"/>
        <w:kinsoku/>
        <w:wordWrap/>
        <w:overflowPunct/>
        <w:topLinePunct w:val="0"/>
        <w:bidi w:val="0"/>
        <w:spacing w:line="594" w:lineRule="exact"/>
        <w:ind w:right="978" w:rightChars="0" w:firstLine="600"/>
        <w:jc w:val="right"/>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lang w:val="en-US" w:eastAsia="zh-CN"/>
        </w:rPr>
        <w:t>2026</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lang w:val="en-US" w:eastAsia="zh-CN"/>
        </w:rPr>
        <w:t>4</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lang w:val="en-US" w:eastAsia="zh-CN"/>
        </w:rPr>
        <w:t>17</w:t>
      </w:r>
      <w:r>
        <w:rPr>
          <w:rFonts w:hint="eastAsia" w:ascii="Times New Roman" w:hAnsi="Times New Roman" w:eastAsia="仿宋_GB2312" w:cs="仿宋"/>
          <w:color w:val="000000"/>
          <w:sz w:val="32"/>
          <w:szCs w:val="32"/>
        </w:rPr>
        <w:t>日</w:t>
      </w: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jc w:val="both"/>
        <w:textAlignment w:val="auto"/>
        <w:rPr>
          <w:rFonts w:hint="eastAsia" w:ascii="Times New Roman" w:hAnsi="Times New Roman" w:eastAsia="仿宋_GB2312" w:cs="仿宋_GB2312"/>
          <w:color w:val="000000"/>
          <w:sz w:val="32"/>
          <w:szCs w:val="32"/>
        </w:rPr>
      </w:pPr>
    </w:p>
    <w:p>
      <w:pPr>
        <w:pStyle w:val="2"/>
        <w:keepNext w:val="0"/>
        <w:keepLines w:val="0"/>
        <w:pageBreakBefore w:val="0"/>
        <w:kinsoku/>
        <w:wordWrap/>
        <w:overflowPunct/>
        <w:topLinePunct w:val="0"/>
        <w:bidi w:val="0"/>
        <w:spacing w:before="1" w:line="594" w:lineRule="exact"/>
        <w:jc w:val="center"/>
        <w:textAlignment w:val="auto"/>
        <w:rPr>
          <w:rFonts w:ascii="Times New Roman" w:hAnsi="Times New Roman" w:eastAsia="方正仿宋_GBK" w:cs="Times New Roman"/>
          <w:sz w:val="32"/>
          <w:szCs w:val="32"/>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5408" behindDoc="0" locked="0" layoutInCell="1" allowOverlap="1">
                <wp:simplePos x="0" y="0"/>
                <wp:positionH relativeFrom="column">
                  <wp:posOffset>171450</wp:posOffset>
                </wp:positionH>
                <wp:positionV relativeFrom="paragraph">
                  <wp:posOffset>375285</wp:posOffset>
                </wp:positionV>
                <wp:extent cx="5339080" cy="635"/>
                <wp:effectExtent l="0" t="7620" r="10160" b="14605"/>
                <wp:wrapNone/>
                <wp:docPr id="5" name="直接连接符 5"/>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3.5pt;margin-top:29.55pt;height:0.05pt;width:420.4pt;z-index:251665408;mso-width-relative:page;mso-height-relative:page;" filled="f" stroked="t" coordsize="21600,21600" o:gfxdata="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IB99e&#10;1wAAAAgBAAAPAAAAAAAAAAEAIAAAACIAAABkcnMvZG93bnJldi54bWxQSwECFAAUAAAACACHTuJA&#10;q+YhgiICAAApBAAADgAAAAAAAAABACAAAAAmAQAAZHJzL2Uyb0RvYy54bWxQSwUGAAAAAAYABgBZ&#10;AQAAugUAAAAA&#10;">
                <v:fill on="f" focussize="0,0"/>
                <v:stroke weight="1.25pt" color="#000000" joinstyle="round"/>
                <v:imagedata o:title=""/>
                <o:lock v:ext="edit" aspectratio="f"/>
              </v:line>
            </w:pict>
          </mc:Fallback>
        </mc:AlternateContent>
      </w:r>
      <w:r>
        <w:rPr>
          <w:rFonts w:hint="eastAsia" w:ascii="Times New Roman" w:hAnsi="Times New Roman" w:eastAsia="黑体"/>
          <w:color w:val="231F20"/>
          <w:spacing w:val="-16"/>
          <w:highlight w:val="none"/>
        </w:rPr>
        <w:t>（市场监督管理部门将依法向社会公开行政处罚决定信息）</w:t>
      </w:r>
    </w:p>
    <w:p>
      <w:pPr>
        <w:keepNext w:val="0"/>
        <w:keepLines w:val="0"/>
        <w:pageBreakBefore w:val="0"/>
        <w:kinsoku/>
        <w:wordWrap/>
        <w:overflowPunct/>
        <w:topLinePunct w:val="0"/>
        <w:bidi w:val="0"/>
        <w:spacing w:line="594" w:lineRule="exact"/>
        <w:jc w:val="center"/>
        <w:textAlignment w:val="auto"/>
        <w:rPr>
          <w:rFonts w:ascii="Times New Roman" w:hAnsi="Times New Roman" w:cs="Times New Roman"/>
          <w:highlight w:val="yellow"/>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540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540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i&#10;N2T9IQIAACcEAAAOAAAAAAAAAAEAIAAAACYBAABkcnMvZTJvRG9jLnhtbFBLBQYAAAAABgAGAFkB&#10;AAC5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_GB2312"/>
          <w:sz w:val="32"/>
          <w:szCs w:val="32"/>
        </w:rPr>
        <w:t>本文书一式</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份，一份送达，一份归档。</w:t>
      </w:r>
      <w:r>
        <w:rPr>
          <w:rFonts w:hint="eastAsia" w:ascii="Times New Roman" w:hAnsi="Times New Roman" w:eastAsia="仿宋_GB2312" w:cs="仿宋_GB2312"/>
          <w:sz w:val="32"/>
          <w:szCs w:val="32"/>
        </w:rPr>
        <mc:AlternateContent>
          <mc:Choice Requires="wps">
            <w:drawing>
              <wp:anchor distT="0" distB="0" distL="113665" distR="113665" simplePos="0" relativeHeight="25166438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438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Cp&#10;J/crIQIAACcEAAAOAAAAAAAAAAEAIAAAACYBAABkcnMvZTJvRG9jLnhtbFBLBQYAAAAABgAGAFkB&#10;AAC5BQ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3360" behindDoc="0" locked="0" layoutInCell="1" allowOverlap="1">
                <wp:simplePos x="0" y="0"/>
                <wp:positionH relativeFrom="column">
                  <wp:posOffset>28575</wp:posOffset>
                </wp:positionH>
                <wp:positionV relativeFrom="paragraph">
                  <wp:posOffset>-2540</wp:posOffset>
                </wp:positionV>
                <wp:extent cx="5339080" cy="635"/>
                <wp:effectExtent l="0" t="7620" r="10160" b="14605"/>
                <wp:wrapNone/>
                <wp:docPr id="8" name="直接连接符 8"/>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2.25pt;margin-top:-0.2pt;height:0.05pt;width:420.4pt;z-index:251663360;mso-width-relative:page;mso-height-relative:page;" filled="f" stroked="t" coordsize="21600,21600" o:gfxdata="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VeBeNUA&#10;AAAFAQAADwAAAAAAAAABACAAAAAiAAAAZHJzL2Rvd25yZXYueG1sUEsBAhQAFAAAAAgAh07iQIXX&#10;ImIiAgAAKQQAAA4AAAAAAAAAAQAgAAAAJAEAAGRycy9lMm9Eb2MueG1sUEsFBgAAAAAGAAYAWQEA&#10;ALgFAAAAAA==&#10;">
                <v:fill on="f" focussize="0,0"/>
                <v:stroke weight="1.25pt" color="#000000" joinstyle="round"/>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336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9"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336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zkdcA&#10;AAAKAQAADwAAAAAAAAABACAAAAAiAAAAZHJzL2Rvd25yZXYueG1sUEsBAhQAFAAAAAgAh07iQE3V&#10;I7MgAgAAJwQAAA4AAAAAAAAAAQAgAAAAJgEAAGRycy9lMm9Eb2MueG1sUEsFBgAAAAAGAAYAWQEA&#10;ALgFA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0"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Cq&#10;mM6HIQIAACgEAAAOAAAAAAAAAAEAIAAAACYBAABkcnMvZTJvRG9jLnhtbFBLBQYAAAAABgAGAFkB&#10;AAC5BQ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0288" behindDoc="0" locked="0" layoutInCell="1" allowOverlap="1">
                <wp:simplePos x="0" y="0"/>
                <wp:positionH relativeFrom="column">
                  <wp:posOffset>28575</wp:posOffset>
                </wp:positionH>
                <wp:positionV relativeFrom="paragraph">
                  <wp:posOffset>-2540</wp:posOffset>
                </wp:positionV>
                <wp:extent cx="5339080" cy="635"/>
                <wp:effectExtent l="0" t="7620" r="7620" b="10795"/>
                <wp:wrapNone/>
                <wp:docPr id="2" name="直接连接符 2"/>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2.25pt;margin-top:-0.2pt;height:0.05pt;width:420.4pt;z-index:251660288;mso-width-relative:page;mso-height-relative:page;" filled="f" stroked="t" coordsize="21600,21600" o:gfxdata="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VeBeNUA&#10;AAAFAQAADwAAAAAAAAABACAAAAAiAAAAZHJzL2Rvd25yZXYueG1sUEsBAhQAFAAAAAgAh07iQN6N&#10;mZAiAgAAKQQAAA4AAAAAAAAAAQAgAAAAJAEAAGRycy9lMm9Eb2MueG1sUEsFBgAAAAAGAAYAWQEA&#10;ALgFAAAAAA==&#10;">
                <v:fill on="f" focussize="0,0"/>
                <v:stroke weight="1.25pt" color="#000000" joinstyle="round"/>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H&#10;aVnHIQIAACcEAAAOAAAAAAAAAAEAIAAAACYBAABkcnMvZTJvRG9jLnhtbFBLBQYAAAAABgAGAFkB&#10;AAC5BQAAAAA=&#10;">
                <v:fill on="f" focussize="0,0"/>
                <v:stroke weight="0.737007874015748pt" color="#000000" joinstyle="round" endcap="square"/>
                <v:imagedata o:title=""/>
                <o:lock v:ext="edit" aspectratio="f"/>
              </v:line>
            </w:pict>
          </mc:Fallback>
        </mc:AlternateContent>
      </w:r>
      <w:bookmarkEnd w:id="2"/>
    </w:p>
    <w:sectPr>
      <w:footerReference r:id="rId3" w:type="default"/>
      <w:pgSz w:w="11906" w:h="16838"/>
      <w:pgMar w:top="1984"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0573B"/>
    <w:rsid w:val="14F50A04"/>
    <w:rsid w:val="15DD485A"/>
    <w:rsid w:val="17D066AA"/>
    <w:rsid w:val="1A4B2E35"/>
    <w:rsid w:val="1CBB7B40"/>
    <w:rsid w:val="1E1A7077"/>
    <w:rsid w:val="1FCA46A4"/>
    <w:rsid w:val="245D27E5"/>
    <w:rsid w:val="25BB9681"/>
    <w:rsid w:val="2658388B"/>
    <w:rsid w:val="29B2779F"/>
    <w:rsid w:val="2B164EBE"/>
    <w:rsid w:val="2B9B5E5B"/>
    <w:rsid w:val="2BAE23A7"/>
    <w:rsid w:val="32B643EB"/>
    <w:rsid w:val="33822B45"/>
    <w:rsid w:val="35FE4762"/>
    <w:rsid w:val="3EC40485"/>
    <w:rsid w:val="3FCF38E8"/>
    <w:rsid w:val="49EA7BC7"/>
    <w:rsid w:val="4E3647AD"/>
    <w:rsid w:val="567E13A3"/>
    <w:rsid w:val="57AB0A5C"/>
    <w:rsid w:val="5AEB105D"/>
    <w:rsid w:val="5CE563DA"/>
    <w:rsid w:val="5FD7A26F"/>
    <w:rsid w:val="637A489C"/>
    <w:rsid w:val="67D75A74"/>
    <w:rsid w:val="67F11E27"/>
    <w:rsid w:val="69A93CEC"/>
    <w:rsid w:val="6CCA0E22"/>
    <w:rsid w:val="71514ADF"/>
    <w:rsid w:val="72D523A5"/>
    <w:rsid w:val="78C2422D"/>
    <w:rsid w:val="7DDA6064"/>
    <w:rsid w:val="877E328C"/>
    <w:rsid w:val="ABFBF0A4"/>
    <w:rsid w:val="B3FF7442"/>
    <w:rsid w:val="BFED4AE0"/>
    <w:rsid w:val="E9DFD007"/>
    <w:rsid w:val="FC669EB5"/>
    <w:rsid w:val="FF1D6070"/>
    <w:rsid w:val="FFD7B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2026-03-27T00:47:00Z</dcterms:created>
  <dc:creator>王燕</dc:creator>
  <cp:lastModifiedBy>企业用户_325245456</cp:lastModifiedBy>
  <cp:lastPrinted>2026-04-15T01:09:00Z</cp:lastPrinted>
  <dcterms:modified xsi:type="dcterms:W3CDTF">2026-04-17T02:11:34Z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66798BD4A2C04A889C57E771DB24968D_13</vt:lpwstr>
  </property>
</Properties>
</file>