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40"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u w:val="none"/>
          <w:lang w:val="en-US" w:eastAsia="zh-CN"/>
        </w:rPr>
        <w:t>国家</w:t>
      </w:r>
      <w:r>
        <w:rPr>
          <w:rFonts w:hint="eastAsia" w:ascii="方正小标宋简体" w:hAnsi="方正小标宋简体" w:eastAsia="方正小标宋简体" w:cs="方正小标宋简体"/>
          <w:bCs/>
          <w:sz w:val="44"/>
          <w:szCs w:val="44"/>
        </w:rPr>
        <w:t>市场监督管理</w:t>
      </w:r>
      <w:r>
        <w:rPr>
          <w:rFonts w:hint="eastAsia" w:ascii="方正小标宋简体" w:hAnsi="方正小标宋简体" w:eastAsia="方正小标宋简体" w:cs="方正小标宋简体"/>
          <w:bCs/>
          <w:sz w:val="44"/>
          <w:szCs w:val="44"/>
          <w:lang w:val="en-US" w:eastAsia="zh-CN"/>
        </w:rPr>
        <w:t>总</w:t>
      </w:r>
      <w:r>
        <w:rPr>
          <w:rFonts w:hint="eastAsia" w:ascii="方正小标宋简体" w:hAnsi="方正小标宋简体" w:eastAsia="方正小标宋简体" w:cs="方正小标宋简体"/>
          <w:bCs/>
          <w:sz w:val="44"/>
          <w:szCs w:val="44"/>
        </w:rPr>
        <w:t>局</w:t>
      </w:r>
    </w:p>
    <w:p>
      <w:pPr>
        <w:keepNext w:val="0"/>
        <w:keepLines w:val="0"/>
        <w:pageBreakBefore w:val="0"/>
        <w:kinsoku/>
        <w:wordWrap/>
        <w:overflowPunct/>
        <w:topLinePunct w:val="0"/>
        <w:bidi w:val="0"/>
        <w:spacing w:line="540" w:lineRule="exact"/>
        <w:jc w:val="center"/>
        <w:textAlignment w:val="auto"/>
        <w:outlineLvl w:val="0"/>
        <w:rPr>
          <w:rFonts w:ascii="Times New Roman" w:hAnsi="Times New Roman" w:eastAsia="方正小标宋简体" w:cs="Mongolian Baiti"/>
          <w:bCs/>
          <w:color w:val="000000"/>
          <w:sz w:val="44"/>
          <w:szCs w:val="44"/>
        </w:rPr>
      </w:pPr>
      <w:bookmarkStart w:id="0" w:name="_Toc76683364"/>
      <w:r>
        <w:rPr>
          <w:rFonts w:ascii="Times New Roman" w:hAnsi="Mongolian Baiti" w:eastAsia="方正小标宋简体" w:cs="Mongolian Baiti"/>
          <w:bCs/>
          <w:color w:val="000000"/>
          <w:sz w:val="44"/>
          <w:szCs w:val="44"/>
        </w:rPr>
        <w:t>行政处罚决定书</w:t>
      </w:r>
      <w:bookmarkEnd w:id="0"/>
    </w:p>
    <w:p>
      <w:pPr>
        <w:keepNext w:val="0"/>
        <w:keepLines w:val="0"/>
        <w:pageBreakBefore w:val="0"/>
        <w:widowControl/>
        <w:kinsoku/>
        <w:wordWrap/>
        <w:overflowPunct/>
        <w:topLinePunct w:val="0"/>
        <w:bidi w:val="0"/>
        <w:snapToGrid w:val="0"/>
        <w:spacing w:line="540" w:lineRule="exact"/>
        <w:ind w:right="55"/>
        <w:jc w:val="center"/>
        <w:textAlignment w:val="auto"/>
        <w:outlineLvl w:val="1"/>
        <w:rPr>
          <w:rFonts w:hint="eastAsia" w:ascii="Times New Roman" w:hAnsi="Times New Roman"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国</w:t>
      </w:r>
      <w:r>
        <w:rPr>
          <w:rFonts w:hint="eastAsia" w:ascii="Times New Roman" w:hAnsi="Times New Roman"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15</w:t>
      </w:r>
      <w:r>
        <w:rPr>
          <w:rFonts w:hint="eastAsia" w:ascii="Times New Roman" w:hAnsi="Times New Roman" w:eastAsia="仿宋_GB2312" w:cs="仿宋_GB2312"/>
          <w:bCs/>
          <w:color w:val="000000"/>
          <w:sz w:val="32"/>
          <w:szCs w:val="32"/>
          <w:u w:val="none"/>
        </w:rPr>
        <w:t>号</w:t>
      </w:r>
    </w:p>
    <w:p>
      <w:pPr>
        <w:keepNext w:val="0"/>
        <w:keepLines w:val="0"/>
        <w:pageBreakBefore w:val="0"/>
        <w:widowControl/>
        <w:kinsoku/>
        <w:wordWrap/>
        <w:overflowPunct/>
        <w:topLinePunct w:val="0"/>
        <w:bidi w:val="0"/>
        <w:snapToGrid w:val="0"/>
        <w:spacing w:line="540" w:lineRule="exact"/>
        <w:ind w:right="55"/>
        <w:jc w:val="left"/>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Mongolian Baiti"/>
          <w:bCs/>
          <w:kern w:val="1"/>
          <w:sz w:val="32"/>
          <w:szCs w:val="32"/>
        </w:rPr>
        <w:t>当事人：</w:t>
      </w:r>
      <w:r>
        <w:rPr>
          <w:rFonts w:hint="eastAsia" w:ascii="Times New Roman" w:hAnsi="Times New Roman" w:eastAsia="仿宋_GB2312" w:cs="Times New Roman"/>
          <w:color w:val="auto"/>
          <w:sz w:val="32"/>
          <w:szCs w:val="32"/>
          <w:lang w:val="en-US" w:eastAsia="zh-CN"/>
        </w:rPr>
        <w:t>田西艳</w:t>
      </w:r>
    </w:p>
    <w:p>
      <w:pPr>
        <w:keepNext w:val="0"/>
        <w:keepLines w:val="0"/>
        <w:pageBreakBefore w:val="0"/>
        <w:kinsoku/>
        <w:wordWrap/>
        <w:overflowPunct/>
        <w:topLinePunct w:val="0"/>
        <w:bidi w:val="0"/>
        <w:spacing w:line="540" w:lineRule="exact"/>
        <w:ind w:left="140" w:hanging="140"/>
        <w:jc w:val="both"/>
        <w:textAlignment w:val="auto"/>
        <w:rPr>
          <w:rFonts w:hint="default" w:ascii="Times New Roman" w:hAnsi="Times New Roman" w:eastAsia="仿宋_GB2312" w:cs="仿宋_GB2312"/>
          <w:color w:val="auto"/>
          <w:sz w:val="32"/>
          <w:szCs w:val="32"/>
          <w:highlight w:val="none"/>
          <w:lang w:val="en-US" w:eastAsia="zh-CN" w:bidi="ar"/>
        </w:rPr>
      </w:pPr>
      <w:r>
        <w:rPr>
          <w:rFonts w:hint="eastAsia" w:ascii="Times New Roman" w:hAnsi="Times New Roman" w:eastAsia="仿宋_GB2312" w:cs="仿宋_GB2312"/>
          <w:color w:val="auto"/>
          <w:sz w:val="32"/>
          <w:szCs w:val="32"/>
          <w:highlight w:val="none"/>
          <w:lang w:val="en-US" w:eastAsia="zh-CN" w:bidi="ar"/>
        </w:rPr>
        <w:t>身份证件类型：居民身份证</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Mongolian Baiti"/>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overflowPunct/>
        <w:topLinePunct w:val="0"/>
        <w:bidi w:val="0"/>
        <w:spacing w:line="540" w:lineRule="exact"/>
        <w:ind w:left="140" w:hanging="140"/>
        <w:jc w:val="both"/>
        <w:textAlignment w:val="auto"/>
        <w:rPr>
          <w:rFonts w:hint="eastAsia" w:ascii="Times New Roman" w:hAnsi="Times New Roman" w:eastAsia="仿宋_GB2312" w:cs="Mongolian Baiti"/>
          <w:sz w:val="32"/>
          <w:szCs w:val="32"/>
        </w:rPr>
      </w:pPr>
      <w:r>
        <w:rPr>
          <w:rFonts w:hint="eastAsia" w:ascii="Times New Roman" w:hAnsi="Times New Roman" w:eastAsia="仿宋_GB2312" w:cs="微软雅黑"/>
          <w:bCs/>
          <w:kern w:val="1"/>
          <w:sz w:val="32"/>
          <w:szCs w:val="32"/>
          <w:lang w:val="en-US" w:eastAsia="zh-CN"/>
        </w:rPr>
        <w:t>住址</w:t>
      </w:r>
      <w:r>
        <w:rPr>
          <w:rFonts w:hint="eastAsia" w:ascii="Times New Roman" w:hAnsi="Times New Roman" w:eastAsia="仿宋_GB2312" w:cs="Mongolian Baiti"/>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overflowPunct/>
        <w:topLinePunct w:val="0"/>
        <w:autoSpaceDE/>
        <w:autoSpaceDN/>
        <w:bidi w:val="0"/>
        <w:spacing w:line="540" w:lineRule="exact"/>
        <w:jc w:val="both"/>
        <w:textAlignment w:val="auto"/>
        <w:rPr>
          <w:rFonts w:hint="eastAsia" w:ascii="Times New Roman" w:hAnsi="Times New Roman" w:eastAsia="仿宋_GB2312"/>
          <w:b/>
          <w:strike/>
          <w:color w:val="231F20"/>
          <w:spacing w:val="-49"/>
          <w:sz w:val="32"/>
          <w:lang w:val="en-US" w:eastAsia="zh-CN"/>
        </w:rPr>
      </w:pPr>
    </w:p>
    <w:p>
      <w:pPr>
        <w:pStyle w:val="2"/>
        <w:keepNext w:val="0"/>
        <w:keepLines w:val="0"/>
        <w:pageBreakBefore w:val="0"/>
        <w:tabs>
          <w:tab w:val="left" w:pos="8240"/>
        </w:tabs>
        <w:kinsoku/>
        <w:wordWrap/>
        <w:overflowPunct/>
        <w:topLinePunct w:val="0"/>
        <w:autoSpaceDE/>
        <w:autoSpaceDN/>
        <w:bidi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kern w:val="1"/>
          <w:sz w:val="32"/>
          <w:szCs w:val="32"/>
          <w:highlight w:val="none"/>
          <w:lang w:val="en-US" w:eastAsia="zh-CN"/>
        </w:rPr>
        <w:t>上海拉扎斯信息科技有限公司存在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仿宋_GB2312"/>
          <w:color w:val="auto"/>
          <w:sz w:val="32"/>
          <w:szCs w:val="32"/>
          <w:highlight w:val="none"/>
        </w:rPr>
        <w:t>的</w:t>
      </w:r>
      <w:r>
        <w:rPr>
          <w:rFonts w:hint="eastAsia" w:ascii="Times New Roman" w:hAnsi="Times New Roman" w:eastAsia="仿宋_GB2312" w:cs="仿宋_GB2312"/>
          <w:color w:val="auto"/>
          <w:sz w:val="32"/>
          <w:szCs w:val="32"/>
          <w:highlight w:val="none"/>
          <w:lang w:val="en-US" w:eastAsia="zh-CN"/>
        </w:rPr>
        <w:t>违法</w:t>
      </w:r>
      <w:r>
        <w:rPr>
          <w:rFonts w:hint="eastAsia" w:ascii="Times New Roman" w:hAnsi="Times New Roman" w:eastAsia="仿宋_GB2312" w:cs="仿宋_GB2312"/>
          <w:color w:val="auto"/>
          <w:sz w:val="32"/>
          <w:szCs w:val="32"/>
          <w:highlight w:val="none"/>
        </w:rPr>
        <w:t>行为，</w:t>
      </w:r>
      <w:r>
        <w:rPr>
          <w:rFonts w:hint="eastAsia" w:ascii="Times New Roman" w:hAnsi="Times New Roman" w:eastAsia="仿宋_GB2312" w:cs="仿宋_GB2312"/>
          <w:color w:val="auto"/>
          <w:sz w:val="32"/>
          <w:szCs w:val="32"/>
          <w:highlight w:val="none"/>
          <w:lang w:val="en-US" w:eastAsia="zh-CN"/>
        </w:rPr>
        <w:t>本局于2025年11月20日依法立案调查，当事人</w:t>
      </w:r>
      <w:r>
        <w:rPr>
          <w:rFonts w:hint="eastAsia" w:ascii="Times New Roman" w:hAnsi="Times New Roman" w:eastAsia="仿宋_GB2312" w:cs="仿宋_GB2312"/>
          <w:color w:val="auto"/>
          <w:sz w:val="32"/>
          <w:szCs w:val="32"/>
          <w:highlight w:val="none"/>
          <w:lang w:val="en-US" w:eastAsia="zh-CN" w:bidi="ar"/>
        </w:rPr>
        <w:t>系该公司</w:t>
      </w:r>
      <w:r>
        <w:rPr>
          <w:rFonts w:hint="eastAsia" w:ascii="Times New Roman" w:eastAsia="仿宋_GB2312" w:cs="仿宋_GB2312"/>
          <w:color w:val="auto"/>
          <w:sz w:val="32"/>
          <w:szCs w:val="32"/>
          <w:highlight w:val="none"/>
          <w:lang w:val="en-US" w:eastAsia="zh-CN" w:bidi="ar"/>
        </w:rPr>
        <w:t>食品安全总监。</w:t>
      </w:r>
      <w:r>
        <w:rPr>
          <w:rFonts w:hint="eastAsia" w:ascii="Times New Roman" w:hAnsi="Times New Roman" w:eastAsia="仿宋_GB2312" w:cs="仿宋_GB2312"/>
          <w:color w:val="auto"/>
          <w:sz w:val="32"/>
          <w:szCs w:val="32"/>
          <w:highlight w:val="none"/>
          <w:lang w:val="en-US" w:eastAsia="zh-CN" w:bidi="ar"/>
        </w:rPr>
        <w:t>本局通过核查平台数据、询问相关人员、调取收入证明、提取书证、电子数据</w:t>
      </w:r>
      <w:r>
        <w:rPr>
          <w:rFonts w:hint="eastAsia" w:ascii="Times New Roman" w:hAnsi="Times New Roman" w:eastAsia="仿宋_GB2312" w:cs="仿宋_GB2312"/>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highlight w:val="none"/>
          <w:u w:val="none"/>
          <w:lang w:val="en-US" w:eastAsia="zh-CN" w:bidi="ar"/>
        </w:rPr>
      </w:pPr>
      <w:r>
        <w:rPr>
          <w:rFonts w:hint="eastAsia" w:ascii="Times New Roman" w:hAnsi="Times New Roman" w:eastAsia="仿宋_GB2312" w:cs="仿宋_GB2312"/>
          <w:color w:val="auto"/>
          <w:kern w:val="1"/>
          <w:sz w:val="32"/>
          <w:szCs w:val="32"/>
          <w:highlight w:val="none"/>
          <w:lang w:val="en-US" w:eastAsia="zh-CN"/>
        </w:rPr>
        <w:t>上海拉扎斯信息科技有限公司作为网络食品交易第三方平台提供者，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本局已决定</w:t>
      </w:r>
      <w:r>
        <w:rPr>
          <w:rFonts w:hint="default" w:ascii="Times New Roman" w:hAnsi="Times New Roman" w:eastAsia="仿宋_GB2312" w:cs="Times New Roman"/>
          <w:color w:val="auto"/>
          <w:sz w:val="32"/>
          <w:szCs w:val="32"/>
          <w:lang w:val="en-US" w:eastAsia="zh-CN"/>
        </w:rPr>
        <w:t>依据</w:t>
      </w:r>
      <w:r>
        <w:rPr>
          <w:rFonts w:hint="default" w:ascii="Times New Roman" w:hAnsi="Times New Roman" w:eastAsia="仿宋_GB2312" w:cs="Times New Roman"/>
          <w:color w:val="auto"/>
          <w:sz w:val="32"/>
          <w:szCs w:val="32"/>
          <w:lang w:eastAsia="zh-CN"/>
        </w:rPr>
        <w:t>《中华人民共和国食品安全法》第一百三十一条第一款</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违反本</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B7%A8%B9%E6&amp;k0=%B7%A8%B9%E6&amp;kdi0=0&amp;luki=5&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法规</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定，网络食品交易第三方平台提供者未对入网食品经营者进行实名登记、审查许可证，或者未履行报告、停止提供网络交易平台服务等义务的，由县级以上人民政府食品</w:t>
      </w:r>
      <w:r>
        <w:rPr>
          <w:rFonts w:hint="eastAsia" w:ascii="Times New Roman" w:hAnsi="Times New Roman" w:eastAsia="仿宋_GB2312" w:cs="Times New Roman"/>
          <w:color w:val="auto"/>
          <w:sz w:val="32"/>
          <w:szCs w:val="32"/>
          <w:lang w:eastAsia="zh-CN"/>
        </w:rPr>
        <w:t>安全</w:t>
      </w:r>
      <w:r>
        <w:rPr>
          <w:rFonts w:hint="default" w:ascii="Times New Roman" w:hAnsi="Times New Roman" w:eastAsia="仿宋_GB2312" w:cs="Times New Roman"/>
          <w:color w:val="auto"/>
          <w:sz w:val="32"/>
          <w:szCs w:val="32"/>
          <w:lang w:eastAsia="zh-CN"/>
        </w:rPr>
        <w:t>监督管理部门责令改正，没收违法所得，并处五万元以上二十万元以下罚款；造成严重后果的，责令停业，直至由原发证部门吊销</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D0%ED%BF%C9%D6%A4&amp;k0=%D0%ED%BF%C9%D6%A4&amp;kdi0=0&amp;luki=1&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许可证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；使消费者的合法权益受到损害的，应当与</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cpro.baidu.com/cpro/ui/uijs.php?c=news&amp;cf=1001&amp;ch=0&amp;di=128&amp;fv=17&amp;jk=d8fa7e886ca73649&amp;k=%CA%B3%C6%B7&amp;k0=%CA%B3%C6%B7&amp;kdi0=0&amp;luki=9&amp;n=10&amp;p=baidu&amp;q=techoo_cpr&amp;rb=0&amp;rs=1&amp;seller_id=1&amp;sid=4936a76c887efad8&amp;ssp2=1&amp;stid=0&amp;t=tpclicked3_hc&amp;tu=u1983939&amp;u=http%3A%2F%2Fwww%2Etech%2Dfood%2Ecom%2Fkndata%2F1084%2F0169695%5F5%2Ehtm&amp;urlid=0" \t "_blank"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食品</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eastAsia="zh-CN"/>
        </w:rPr>
        <w:t>经营者承担连带责任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的规定，对上海拉扎斯信息科技有限公司</w:t>
      </w:r>
      <w:r>
        <w:rPr>
          <w:rFonts w:hint="eastAsia" w:ascii="Times New Roman" w:hAnsi="Times New Roman" w:eastAsia="仿宋_GB2312" w:cs="仿宋_GB2312"/>
          <w:color w:val="auto"/>
          <w:sz w:val="32"/>
          <w:szCs w:val="32"/>
          <w:highlight w:val="none"/>
          <w:u w:val="none"/>
          <w:lang w:val="en-US" w:eastAsia="zh-CN" w:bidi="ar"/>
        </w:rPr>
        <w:t>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1"/>
          <w:sz w:val="32"/>
          <w:szCs w:val="32"/>
          <w:lang w:val="en-US" w:eastAsia="zh-CN"/>
        </w:rPr>
        <w:t>上海拉扎斯信息科技有限公司上述违法行为持续时间长、涉及店铺多、影响范围广、存在较高的食品安全风险，已构成《中华人民共和国食品安全法实施条例》第七十五条第一款第二项规定的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违法行为性质恶劣</w:t>
      </w:r>
      <w:r>
        <w:rPr>
          <w:rFonts w:hint="eastAsia"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eastAsia" w:ascii="Times New Roman" w:hAnsi="Times New Roman" w:eastAsia="仿宋_GB2312" w:cs="仿宋_GB2312"/>
          <w:bCs/>
          <w:sz w:val="32"/>
          <w:szCs w:val="32"/>
          <w:lang w:eastAsia="zh-CN"/>
        </w:rPr>
      </w:pPr>
      <w:r>
        <w:rPr>
          <w:rFonts w:hint="default" w:ascii="Times New Roman" w:hAnsi="Times New Roman" w:eastAsia="仿宋_GB2312" w:cs="Times New Roman"/>
          <w:color w:val="auto"/>
          <w:sz w:val="32"/>
          <w:szCs w:val="32"/>
          <w:highlight w:val="none"/>
          <w:lang w:val="en-US" w:eastAsia="zh-CN"/>
        </w:rPr>
        <w:t>经查，</w:t>
      </w:r>
      <w:r>
        <w:rPr>
          <w:rFonts w:hint="eastAsia" w:ascii="Times New Roman" w:hAnsi="Times New Roman" w:eastAsia="仿宋_GB2312" w:cs="仿宋_GB2312"/>
          <w:color w:val="auto"/>
          <w:kern w:val="1"/>
          <w:sz w:val="32"/>
          <w:szCs w:val="32"/>
          <w:highlight w:val="none"/>
          <w:lang w:val="en-US" w:eastAsia="zh-CN"/>
        </w:rPr>
        <w:t>当事人</w:t>
      </w:r>
      <w:r>
        <w:rPr>
          <w:rFonts w:hint="eastAsia" w:ascii="Times New Roman" w:hAnsi="Times New Roman" w:eastAsia="仿宋_GB2312" w:cs="仿宋_GB2312"/>
          <w:color w:val="auto"/>
          <w:sz w:val="32"/>
          <w:szCs w:val="32"/>
          <w:highlight w:val="none"/>
          <w:lang w:val="en-US" w:eastAsia="zh-CN" w:bidi="ar"/>
        </w:rPr>
        <w:t>是上海拉扎斯信息科技有限公司</w:t>
      </w:r>
      <w:r>
        <w:rPr>
          <w:rFonts w:hint="eastAsia" w:ascii="Times New Roman" w:hAnsi="Times New Roman" w:eastAsia="仿宋_GB2312" w:cs="仿宋_GB2312"/>
          <w:color w:val="auto"/>
          <w:kern w:val="1"/>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食品安全总监</w:t>
      </w:r>
      <w:r>
        <w:rPr>
          <w:rFonts w:hint="eastAsia" w:ascii="Times New Roman" w:hAnsi="Times New Roman" w:eastAsia="仿宋_GB2312" w:cs="仿宋_GB2312"/>
          <w:color w:val="auto"/>
          <w:kern w:val="1"/>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作为</w:t>
      </w:r>
      <w:r>
        <w:rPr>
          <w:rFonts w:hint="eastAsia" w:ascii="Times New Roman" w:hAnsi="Times New Roman" w:eastAsia="仿宋_GB2312" w:cs="Times New Roman"/>
          <w:color w:val="auto"/>
          <w:kern w:val="1"/>
          <w:sz w:val="32"/>
          <w:szCs w:val="32"/>
          <w:lang w:val="en-US" w:eastAsia="zh-CN"/>
        </w:rPr>
        <w:t>该公司</w:t>
      </w:r>
      <w:r>
        <w:rPr>
          <w:rFonts w:hint="default" w:ascii="Times New Roman" w:hAnsi="Times New Roman" w:eastAsia="仿宋_GB2312" w:cs="Times New Roman"/>
          <w:color w:val="auto"/>
          <w:sz w:val="32"/>
          <w:szCs w:val="32"/>
          <w:highlight w:val="none"/>
          <w:lang w:val="en-US" w:eastAsia="zh-CN"/>
        </w:rPr>
        <w:t>食品安全</w:t>
      </w:r>
      <w:r>
        <w:rPr>
          <w:rFonts w:hint="default" w:ascii="Times New Roman" w:hAnsi="Times New Roman" w:eastAsia="仿宋_GB2312" w:cs="Times New Roman"/>
          <w:color w:val="auto"/>
          <w:sz w:val="32"/>
          <w:szCs w:val="32"/>
          <w:lang w:val="en-US" w:eastAsia="zh-CN"/>
        </w:rPr>
        <w:t>直接负责的主管人员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上一年度取得的相关收入</w:t>
      </w:r>
      <w:r>
        <w:rPr>
          <w:rFonts w:hint="eastAsia" w:ascii="Times New Roman" w:hAnsi="Times New Roman" w:eastAsia="仿宋_GB2312" w:cs="Times New Roman"/>
          <w:color w:val="auto"/>
          <w:sz w:val="32"/>
          <w:szCs w:val="32"/>
          <w:highlight w:val="none"/>
          <w:lang w:val="en-US" w:eastAsia="zh-CN"/>
        </w:rPr>
        <w:t>（略）</w:t>
      </w:r>
      <w:r>
        <w:rPr>
          <w:rFonts w:hint="eastAsia" w:ascii="Times New Roman" w:hAnsi="Times New Roman" w:eastAsia="仿宋_GB2312" w:cs="仿宋_GB2312"/>
          <w:bCs/>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kern w:val="1"/>
          <w:sz w:val="32"/>
          <w:szCs w:val="32"/>
        </w:rPr>
        <w:t>上述事实，主要有以下证据证明：</w:t>
      </w:r>
      <w:bookmarkStart w:id="1" w:name="OLE_LINK3"/>
      <w:r>
        <w:rPr>
          <w:rFonts w:hint="default" w:ascii="Times New Roman" w:hAnsi="Times New Roman" w:eastAsia="仿宋_GB2312" w:cs="Times New Roman"/>
          <w:color w:val="auto"/>
          <w:kern w:val="1"/>
          <w:sz w:val="32"/>
          <w:szCs w:val="32"/>
          <w:lang w:val="en-US" w:eastAsia="zh-CN"/>
        </w:rPr>
        <w:t>上海拉扎斯信息科技有限公司</w:t>
      </w:r>
      <w:r>
        <w:rPr>
          <w:rFonts w:hint="eastAsia" w:ascii="Times New Roman" w:hAnsi="Times New Roman" w:eastAsia="仿宋_GB2312" w:cs="仿宋_GB2312"/>
          <w:kern w:val="1"/>
          <w:sz w:val="32"/>
          <w:szCs w:val="32"/>
          <w:lang w:val="en-US" w:eastAsia="zh-CN"/>
        </w:rPr>
        <w:t>的营业执照</w:t>
      </w:r>
      <w:r>
        <w:rPr>
          <w:rFonts w:hint="eastAsia" w:ascii="Times New Roman" w:hAnsi="Times New Roman" w:eastAsia="仿宋_GB2312" w:cs="仿宋_GB2312"/>
          <w:kern w:val="1"/>
          <w:sz w:val="32"/>
          <w:szCs w:val="32"/>
          <w:lang w:eastAsia="zh-CN"/>
        </w:rPr>
        <w:t>、增值电信业务经营许可证、</w:t>
      </w:r>
      <w:r>
        <w:rPr>
          <w:rFonts w:hint="eastAsia" w:ascii="Times New Roman" w:hAnsi="Times New Roman" w:eastAsia="仿宋_GB2312" w:cs="仿宋_GB2312"/>
          <w:kern w:val="1"/>
          <w:sz w:val="32"/>
          <w:szCs w:val="32"/>
          <w:lang w:val="en-US" w:eastAsia="zh-CN"/>
        </w:rPr>
        <w:t>ICP备案、</w:t>
      </w:r>
      <w:r>
        <w:rPr>
          <w:rFonts w:hint="eastAsia" w:ascii="Times New Roman" w:hAnsi="Times New Roman" w:eastAsia="仿宋_GB2312" w:cs="仿宋_GB2312"/>
          <w:kern w:val="1"/>
          <w:sz w:val="32"/>
          <w:szCs w:val="32"/>
          <w:lang w:eastAsia="zh-CN"/>
        </w:rPr>
        <w:t>网络食品交易第三方平台提供者备案；授权委托书、现场笔录、询问笔录；入驻商家资质审核及管理制度、代购业务管理规范、代购合作商管理规则；</w:t>
      </w:r>
      <w:r>
        <w:rPr>
          <w:rFonts w:hint="default" w:ascii="Times New Roman" w:hAnsi="Times New Roman" w:eastAsia="仿宋_GB2312" w:cs="Times New Roman"/>
          <w:color w:val="auto"/>
          <w:kern w:val="1"/>
          <w:sz w:val="32"/>
          <w:szCs w:val="32"/>
          <w:lang w:val="en-US" w:eastAsia="zh-CN"/>
        </w:rPr>
        <w:t>上海拉扎斯信息科技有限公司</w:t>
      </w:r>
      <w:r>
        <w:rPr>
          <w:rFonts w:hint="eastAsia" w:ascii="Times New Roman" w:hAnsi="Times New Roman" w:eastAsia="仿宋_GB2312" w:cs="仿宋_GB2312"/>
          <w:kern w:val="1"/>
          <w:sz w:val="32"/>
          <w:szCs w:val="32"/>
          <w:lang w:eastAsia="zh-CN"/>
        </w:rPr>
        <w:t>与转单平台合作合同；电子</w:t>
      </w:r>
      <w:r>
        <w:rPr>
          <w:rFonts w:hint="eastAsia" w:ascii="Times New Roman" w:hAnsi="Times New Roman" w:eastAsia="仿宋_GB2312" w:cs="仿宋_GB2312"/>
          <w:kern w:val="1"/>
          <w:sz w:val="32"/>
          <w:szCs w:val="32"/>
          <w:lang w:val="en-US" w:eastAsia="zh-CN"/>
        </w:rPr>
        <w:t>数据</w:t>
      </w:r>
      <w:r>
        <w:rPr>
          <w:rFonts w:hint="eastAsia" w:ascii="Times New Roman" w:hAnsi="Times New Roman" w:eastAsia="仿宋_GB2312" w:cs="仿宋_GB2312"/>
          <w:kern w:val="1"/>
          <w:sz w:val="32"/>
          <w:szCs w:val="32"/>
          <w:lang w:eastAsia="zh-CN"/>
        </w:rPr>
        <w:t>；审计报告；</w:t>
      </w:r>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eastAsia" w:ascii="Times New Roman" w:hAnsi="Times New Roman" w:eastAsia="仿宋_GB2312" w:cs="仿宋_GB2312"/>
          <w:kern w:val="1"/>
          <w:sz w:val="32"/>
          <w:szCs w:val="32"/>
          <w:lang w:val="en-US" w:eastAsia="zh-CN"/>
        </w:rPr>
        <w:t>当事人的职务及任职证明材料、当事人上一年度收入证明材料等</w:t>
      </w:r>
      <w:r>
        <w:rPr>
          <w:rFonts w:hint="eastAsia" w:ascii="Times New Roman" w:hAnsi="Times New Roman" w:eastAsia="仿宋_GB2312" w:cs="仿宋_GB2312"/>
          <w:kern w:val="1"/>
          <w:sz w:val="32"/>
          <w:szCs w:val="32"/>
        </w:rPr>
        <w:t>证据</w:t>
      </w:r>
      <w:r>
        <w:rPr>
          <w:rFonts w:hint="eastAsia" w:ascii="Times New Roman" w:hAnsi="Times New Roman" w:eastAsia="仿宋_GB2312" w:cs="仿宋_GB2312"/>
          <w:kern w:val="1"/>
          <w:sz w:val="32"/>
          <w:szCs w:val="32"/>
          <w:lang w:eastAsia="zh-CN"/>
        </w:rPr>
        <w:t>。</w:t>
      </w:r>
      <w:bookmarkEnd w:id="1"/>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trike/>
          <w:dstrike w:val="0"/>
          <w:sz w:val="32"/>
          <w:szCs w:val="32"/>
          <w:u w:val="none"/>
          <w:lang w:val="en-US" w:eastAsia="zh-CN"/>
        </w:rPr>
      </w:pPr>
      <w:r>
        <w:rPr>
          <w:rFonts w:hint="eastAsia" w:ascii="Times New Roman" w:hAnsi="Times New Roman" w:eastAsia="仿宋_GB2312" w:cs="仿宋_GB2312"/>
          <w:sz w:val="32"/>
          <w:szCs w:val="32"/>
          <w:highlight w:val="none"/>
          <w:lang w:val="en-US" w:eastAsia="zh-CN"/>
        </w:rPr>
        <w:t>2026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8</w:t>
      </w:r>
      <w:r>
        <w:rPr>
          <w:rFonts w:hint="eastAsia" w:ascii="Times New Roman" w:hAnsi="Times New Roman" w:eastAsia="仿宋_GB2312" w:cs="仿宋_GB2312"/>
          <w:sz w:val="32"/>
          <w:szCs w:val="32"/>
          <w:highlight w:val="none"/>
        </w:rPr>
        <w:t>日</w:t>
      </w:r>
      <w:r>
        <w:rPr>
          <w:rFonts w:hint="eastAsia" w:ascii="Times New Roman" w:hAnsi="Times New Roman" w:eastAsia="仿宋_GB2312" w:cs="仿宋_GB2312"/>
          <w:sz w:val="32"/>
          <w:szCs w:val="32"/>
        </w:rPr>
        <w:t>，本</w:t>
      </w:r>
      <w:r>
        <w:rPr>
          <w:rFonts w:hint="eastAsia" w:ascii="Times New Roman" w:hAnsi="Times New Roman" w:eastAsia="仿宋_GB2312" w:cs="仿宋_GB2312"/>
          <w:sz w:val="32"/>
          <w:szCs w:val="32"/>
          <w:lang w:val="en-US" w:eastAsia="zh-CN"/>
        </w:rPr>
        <w:t>局</w:t>
      </w:r>
      <w:r>
        <w:rPr>
          <w:rFonts w:hint="eastAsia" w:ascii="Times New Roman" w:hAnsi="Times New Roman" w:eastAsia="仿宋_GB2312" w:cs="仿宋_GB2312"/>
          <w:sz w:val="32"/>
          <w:szCs w:val="32"/>
        </w:rPr>
        <w:t>向</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送达了《行政处罚告知书》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国市监罚告</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2026</w:t>
      </w:r>
      <w:r>
        <w:rPr>
          <w:rFonts w:hint="eastAsia" w:ascii="Times New Roman" w:hAnsi="Times New Roman" w:eastAsia="仿宋_GB2312" w:cs="仿宋_GB2312"/>
          <w:bCs/>
          <w:color w:val="000000"/>
          <w:sz w:val="32"/>
          <w:szCs w:val="32"/>
          <w:u w:val="none"/>
        </w:rPr>
        <w:t>〕</w:t>
      </w:r>
      <w:r>
        <w:rPr>
          <w:rFonts w:hint="eastAsia" w:ascii="Times New Roman" w:hAnsi="Times New Roman" w:eastAsia="仿宋_GB2312" w:cs="仿宋_GB2312"/>
          <w:bCs/>
          <w:color w:val="000000"/>
          <w:sz w:val="32"/>
          <w:szCs w:val="32"/>
          <w:highlight w:val="none"/>
          <w:u w:val="none"/>
          <w:lang w:val="en-US" w:eastAsia="zh-CN"/>
        </w:rPr>
        <w:t>13</w:t>
      </w:r>
      <w:r>
        <w:rPr>
          <w:rFonts w:hint="eastAsia" w:ascii="Times New Roman" w:hAnsi="Times New Roman" w:eastAsia="仿宋_GB2312" w:cs="仿宋_GB2312"/>
          <w:bCs/>
          <w:color w:val="000000"/>
          <w:sz w:val="32"/>
          <w:szCs w:val="32"/>
          <w:u w:val="none"/>
          <w:lang w:val="en-US" w:eastAsia="zh-CN"/>
        </w:rPr>
        <w:t>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，告知了拟作出行政处罚的事实、理由、依据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处罚内容，</w:t>
      </w:r>
      <w:r>
        <w:rPr>
          <w:rFonts w:hint="eastAsia" w:ascii="Times New Roman" w:hAnsi="Times New Roman" w:eastAsia="仿宋_GB2312" w:cs="仿宋_GB2312"/>
          <w:sz w:val="32"/>
          <w:szCs w:val="32"/>
          <w:lang w:eastAsia="zh-CN"/>
        </w:rPr>
        <w:t>以及依法享有</w:t>
      </w:r>
      <w:r>
        <w:rPr>
          <w:rFonts w:hint="eastAsia" w:ascii="Times New Roman" w:hAnsi="Times New Roman" w:eastAsia="仿宋_GB2312" w:cs="仿宋_GB2312"/>
          <w:sz w:val="32"/>
          <w:szCs w:val="32"/>
        </w:rPr>
        <w:t>陈述、申辩</w:t>
      </w:r>
      <w:r>
        <w:rPr>
          <w:rFonts w:hint="eastAsia" w:ascii="Times New Roman" w:hAnsi="Times New Roman" w:eastAsia="仿宋_GB2312" w:cs="仿宋_GB2312"/>
          <w:sz w:val="32"/>
          <w:szCs w:val="32"/>
          <w:lang w:eastAsia="zh-CN"/>
        </w:rPr>
        <w:t>和要求听证的权利</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在法定期限内</w:t>
      </w:r>
      <w:r>
        <w:rPr>
          <w:rFonts w:hint="eastAsia" w:ascii="Times New Roman" w:hAnsi="Times New Roman" w:eastAsia="仿宋_GB2312" w:cs="仿宋_GB2312"/>
          <w:sz w:val="32"/>
          <w:szCs w:val="32"/>
          <w:lang w:eastAsia="zh-CN"/>
        </w:rPr>
        <w:t>未</w:t>
      </w:r>
      <w:r>
        <w:rPr>
          <w:rFonts w:hint="eastAsia" w:ascii="Times New Roman" w:hAnsi="Times New Roman" w:eastAsia="仿宋_GB2312" w:cs="仿宋_GB2312"/>
          <w:sz w:val="32"/>
          <w:szCs w:val="32"/>
          <w:lang w:val="en-US" w:eastAsia="zh-CN"/>
        </w:rPr>
        <w:t>向本局</w:t>
      </w:r>
      <w:r>
        <w:rPr>
          <w:rFonts w:hint="eastAsia" w:ascii="Times New Roman" w:hAnsi="Times New Roman" w:eastAsia="仿宋_GB2312" w:cs="仿宋_GB2312"/>
          <w:sz w:val="32"/>
          <w:szCs w:val="32"/>
          <w:lang w:eastAsia="zh-CN"/>
        </w:rPr>
        <w:t>提出</w:t>
      </w:r>
      <w:r>
        <w:rPr>
          <w:rFonts w:hint="eastAsia" w:ascii="Times New Roman" w:hAnsi="Times New Roman" w:eastAsia="仿宋_GB2312" w:cs="仿宋_GB2312"/>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b w:val="0"/>
          <w:bCs w:val="0"/>
          <w:color w:val="auto"/>
          <w:kern w:val="2"/>
          <w:sz w:val="32"/>
          <w:szCs w:val="32"/>
          <w:u w:val="none"/>
          <w:lang w:val="zh-CN" w:eastAsia="zh-CN" w:bidi="ar-SA"/>
        </w:rPr>
        <w:t>综合考虑当事人的岗位职责及上海拉扎斯信息科技有限公司违法行为的社会危害程度，依据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二）违法行为性质恶劣</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仿宋_GB2312"/>
          <w:b w:val="0"/>
          <w:bCs w:val="0"/>
          <w:color w:val="auto"/>
          <w:sz w:val="32"/>
          <w:szCs w:val="32"/>
          <w:highlight w:val="none"/>
          <w:u w:val="none"/>
          <w:lang w:val="en-US" w:eastAsia="zh-CN"/>
        </w:rPr>
        <w:t>规定，决定处罚如下：</w:t>
      </w:r>
      <w:bookmarkStart w:id="3" w:name="_GoBack"/>
      <w:bookmarkEnd w:id="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罚款985279.38元（玖拾捌万伍仟贰佰柒拾玖元叁角捌分）。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highlight w:val="yellow"/>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rPr>
        <w:t>应当自收到本行政处罚决定书之日起十五日内，根据本行政处罚决定书，携缴款码</w:t>
      </w:r>
      <w:r>
        <w:rPr>
          <w:rFonts w:hint="eastAsia" w:ascii="Times New Roman" w:hAnsi="Times New Roman" w:eastAsia="仿宋_GB2312" w:cs="仿宋_GB2312"/>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到1</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家中央财政非税收入收缴代理银行（工、农、中、建、交、中信、光大、招商、邮储、华夏、平安、兴业</w:t>
      </w:r>
      <w:r>
        <w:rPr>
          <w:rFonts w:hint="eastAsia" w:ascii="Times New Roman" w:hAnsi="Times New Roman" w:eastAsia="仿宋_GB2312" w:cs="仿宋_GB2312"/>
          <w:sz w:val="32"/>
          <w:szCs w:val="32"/>
          <w:lang w:eastAsia="zh-CN"/>
        </w:rPr>
        <w:t>、民生、广发、浙商、</w:t>
      </w:r>
      <w:r>
        <w:rPr>
          <w:rFonts w:hint="eastAsia" w:ascii="Times New Roman" w:hAnsi="Times New Roman" w:eastAsia="仿宋_GB2312" w:cs="仿宋_GB2312"/>
          <w:sz w:val="32"/>
          <w:szCs w:val="32"/>
          <w:lang w:val="en-US" w:eastAsia="zh-CN"/>
        </w:rPr>
        <w:t>浦发、江苏</w:t>
      </w:r>
      <w:r>
        <w:rPr>
          <w:rFonts w:hint="eastAsia" w:ascii="Times New Roman" w:hAnsi="Times New Roman" w:eastAsia="仿宋_GB2312" w:cs="仿宋_GB2312"/>
          <w:sz w:val="32"/>
          <w:szCs w:val="32"/>
        </w:rPr>
        <w:t>）任一银行网点或者网上银行</w:t>
      </w:r>
      <w:r>
        <w:rPr>
          <w:rFonts w:hint="eastAsia" w:ascii="Times New Roman" w:hAnsi="Times New Roman" w:eastAsia="仿宋_GB2312" w:cs="仿宋_GB2312"/>
          <w:sz w:val="32"/>
          <w:szCs w:val="32"/>
          <w:lang w:eastAsia="zh-CN"/>
        </w:rPr>
        <w:t>缴纳</w:t>
      </w:r>
      <w:r>
        <w:rPr>
          <w:rFonts w:hint="eastAsia" w:ascii="Times New Roman" w:hAnsi="Times New Roman" w:eastAsia="仿宋_GB2312" w:cs="仿宋_GB2312"/>
          <w:sz w:val="32"/>
          <w:szCs w:val="32"/>
        </w:rPr>
        <w:t>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当事人</w:t>
      </w:r>
      <w:r>
        <w:rPr>
          <w:rFonts w:hint="eastAsia" w:ascii="Times New Roman" w:hAnsi="Times New Roman" w:eastAsia="仿宋_GB2312" w:cs="仿宋_GB2312"/>
          <w:sz w:val="32"/>
          <w:szCs w:val="32"/>
          <w:lang w:val="en-US" w:eastAsia="zh-CN"/>
        </w:rPr>
        <w:t>到期不缴纳罚款的</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依据</w:t>
      </w:r>
      <w:r>
        <w:rPr>
          <w:rFonts w:hint="eastAsia" w:ascii="Times New Roman" w:hAnsi="Times New Roman" w:eastAsia="仿宋_GB2312" w:cs="仿宋_GB2312"/>
          <w:sz w:val="32"/>
          <w:szCs w:val="32"/>
        </w:rPr>
        <w:t>《中华人民共和国行政处罚法》第</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十</w:t>
      </w: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条</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rPr>
        <w:t>规定，本</w:t>
      </w:r>
      <w:r>
        <w:rPr>
          <w:rFonts w:hint="eastAsia" w:ascii="Times New Roman" w:hAnsi="Times New Roman" w:eastAsia="仿宋_GB2312" w:cs="仿宋_GB2312"/>
          <w:sz w:val="32"/>
          <w:szCs w:val="32"/>
          <w:lang w:val="en-US" w:eastAsia="zh-CN"/>
        </w:rPr>
        <w:t>局将</w:t>
      </w:r>
      <w:r>
        <w:rPr>
          <w:rFonts w:hint="eastAsia" w:ascii="Times New Roman" w:hAnsi="Times New Roman" w:eastAsia="仿宋_GB2312" w:cs="仿宋_GB2312"/>
          <w:sz w:val="32"/>
          <w:szCs w:val="32"/>
        </w:rPr>
        <w:t>每日按罚款数额的百分之三加处罚款</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并依法</w:t>
      </w:r>
      <w:r>
        <w:rPr>
          <w:rFonts w:hint="eastAsia" w:ascii="Times New Roman" w:hAnsi="Times New Roman" w:eastAsia="仿宋_GB2312" w:cs="仿宋_GB2312"/>
          <w:sz w:val="32"/>
          <w:szCs w:val="32"/>
        </w:rPr>
        <w:t>申请人民法院强制执行。</w:t>
      </w:r>
    </w:p>
    <w:p>
      <w:pPr>
        <w:keepNext w:val="0"/>
        <w:keepLines w:val="0"/>
        <w:pageBreakBefore w:val="0"/>
        <w:widowControl/>
        <w:kinsoku/>
        <w:wordWrap/>
        <w:overflowPunct/>
        <w:topLinePunct w:val="0"/>
        <w:bidi w:val="0"/>
        <w:snapToGrid w:val="0"/>
        <w:spacing w:line="540" w:lineRule="exact"/>
        <w:ind w:firstLine="640" w:firstLineChars="20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sz w:val="32"/>
          <w:szCs w:val="32"/>
        </w:rPr>
        <w:t>如当事人不服</w:t>
      </w:r>
      <w:r>
        <w:rPr>
          <w:rFonts w:hint="eastAsia" w:ascii="Times New Roman" w:hAnsi="Times New Roman" w:eastAsia="仿宋_GB2312"/>
          <w:sz w:val="32"/>
          <w:szCs w:val="32"/>
          <w:lang w:val="en-US" w:eastAsia="zh-CN"/>
        </w:rPr>
        <w:t>本</w:t>
      </w:r>
      <w:r>
        <w:rPr>
          <w:rFonts w:hint="eastAsia" w:ascii="Times New Roman" w:hAnsi="Times New Roman" w:eastAsia="仿宋_GB2312"/>
          <w:sz w:val="32"/>
          <w:szCs w:val="32"/>
        </w:rPr>
        <w:t>行政处罚决定，可以</w:t>
      </w:r>
      <w:r>
        <w:rPr>
          <w:rFonts w:hint="eastAsia" w:ascii="Times New Roman" w:hAnsi="Times New Roman" w:eastAsia="仿宋_GB2312"/>
          <w:sz w:val="32"/>
          <w:szCs w:val="32"/>
          <w:lang w:val="en-US" w:eastAsia="zh-CN"/>
        </w:rPr>
        <w:t>在</w:t>
      </w:r>
      <w:r>
        <w:rPr>
          <w:rFonts w:hint="eastAsia" w:ascii="Times New Roman" w:hAnsi="Times New Roman" w:eastAsia="仿宋_GB2312"/>
          <w:sz w:val="32"/>
          <w:szCs w:val="32"/>
        </w:rPr>
        <w:t>收到本行政处罚决定书之日起六十日内向国家市场监督管理总局申请行政复议；</w:t>
      </w:r>
      <w:r>
        <w:rPr>
          <w:rFonts w:hint="eastAsia" w:ascii="Times New Roman" w:hAnsi="Times New Roman" w:eastAsia="仿宋_GB2312"/>
          <w:sz w:val="32"/>
          <w:szCs w:val="32"/>
          <w:lang w:val="en-US" w:eastAsia="zh-CN"/>
        </w:rPr>
        <w:t>也可以在</w:t>
      </w:r>
      <w:r>
        <w:rPr>
          <w:rFonts w:hint="eastAsia" w:ascii="Times New Roman" w:hAnsi="Times New Roman" w:eastAsia="仿宋_GB2312"/>
          <w:sz w:val="32"/>
          <w:szCs w:val="32"/>
        </w:rPr>
        <w:t>收到本行政处罚决定书之日起六个月内，依法向</w:t>
      </w:r>
      <w:r>
        <w:rPr>
          <w:rFonts w:hint="eastAsia" w:ascii="Times New Roman" w:hAnsi="Times New Roman" w:eastAsia="仿宋_GB2312" w:cs="仿宋_GB2312"/>
          <w:sz w:val="32"/>
          <w:szCs w:val="32"/>
        </w:rPr>
        <w:t>北京市第一中级人民法院提起行政诉讼</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申请</w:t>
      </w:r>
      <w:r>
        <w:rPr>
          <w:rFonts w:hint="eastAsia" w:ascii="Times New Roman" w:hAnsi="Times New Roman" w:eastAsia="仿宋_GB2312"/>
          <w:sz w:val="32"/>
          <w:szCs w:val="32"/>
        </w:rPr>
        <w:t>行政复议或者</w:t>
      </w:r>
      <w:r>
        <w:rPr>
          <w:rFonts w:hint="eastAsia" w:ascii="Times New Roman" w:hAnsi="Times New Roman" w:eastAsia="仿宋_GB2312"/>
          <w:sz w:val="32"/>
          <w:szCs w:val="32"/>
          <w:lang w:val="en-US" w:eastAsia="zh-CN"/>
        </w:rPr>
        <w:t>提起</w:t>
      </w:r>
      <w:r>
        <w:rPr>
          <w:rFonts w:hint="eastAsia" w:ascii="Times New Roman" w:hAnsi="Times New Roman" w:eastAsia="仿宋_GB2312"/>
          <w:sz w:val="32"/>
          <w:szCs w:val="32"/>
        </w:rPr>
        <w:t>行政诉讼期间，行政处罚不停止执行。</w:t>
      </w:r>
    </w:p>
    <w:p>
      <w:pPr>
        <w:keepNext w:val="0"/>
        <w:keepLines w:val="0"/>
        <w:pageBreakBefore w:val="0"/>
        <w:widowControl/>
        <w:kinsoku/>
        <w:wordWrap/>
        <w:overflowPunct/>
        <w:topLinePunct w:val="0"/>
        <w:bidi w:val="0"/>
        <w:snapToGrid w:val="0"/>
        <w:spacing w:line="540" w:lineRule="exact"/>
        <w:ind w:firstLine="0" w:firstLineChars="0"/>
        <w:jc w:val="left"/>
        <w:textAlignment w:val="auto"/>
        <w:rPr>
          <w:rFonts w:hint="eastAsia" w:ascii="Times New Roman" w:hAnsi="Times New Roman" w:eastAsia="仿宋_GB2312" w:cs="仿宋_GB2312"/>
          <w:color w:val="000000"/>
          <w:sz w:val="32"/>
          <w:szCs w:val="32"/>
          <w:lang w:val="en-US" w:eastAsia="zh-CN"/>
        </w:rPr>
      </w:pPr>
    </w:p>
    <w:p>
      <w:pPr>
        <w:keepNext w:val="0"/>
        <w:keepLines w:val="0"/>
        <w:pageBreakBefore w:val="0"/>
        <w:kinsoku/>
        <w:wordWrap/>
        <w:overflowPunct/>
        <w:topLinePunct w:val="0"/>
        <w:bidi w:val="0"/>
        <w:spacing w:line="540" w:lineRule="exact"/>
        <w:ind w:right="640" w:firstLine="601"/>
        <w:jc w:val="right"/>
        <w:textAlignment w:val="auto"/>
        <w:rPr>
          <w:rFonts w:ascii="Times New Roman" w:hAnsi="Times New Roman" w:eastAsia="仿宋_GB2312" w:cs="仿宋"/>
          <w:color w:val="000000"/>
          <w:sz w:val="32"/>
          <w:szCs w:val="32"/>
        </w:rPr>
      </w:pPr>
      <w:bookmarkStart w:id="2" w:name="OLE_LINK1"/>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after="157" w:afterLines="50" w:line="540" w:lineRule="exact"/>
        <w:ind w:right="981" w:rightChars="0" w:firstLine="601"/>
        <w:jc w:val="right"/>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4</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17</w:t>
      </w:r>
      <w:r>
        <w:rPr>
          <w:rFonts w:hint="eastAsia" w:ascii="Times New Roman" w:hAnsi="Times New Roman" w:eastAsia="仿宋_GB2312" w:cs="仿宋"/>
          <w:color w:val="000000"/>
          <w:sz w:val="32"/>
          <w:szCs w:val="32"/>
        </w:rPr>
        <w:t>日</w:t>
      </w:r>
    </w:p>
    <w:p>
      <w:pPr>
        <w:pStyle w:val="2"/>
        <w:keepNext w:val="0"/>
        <w:keepLines w:val="0"/>
        <w:pageBreakBefore w:val="0"/>
        <w:kinsoku/>
        <w:wordWrap/>
        <w:overflowPunct/>
        <w:topLinePunct w:val="0"/>
        <w:autoSpaceDE/>
        <w:autoSpaceDN/>
        <w:bidi w:val="0"/>
        <w:spacing w:before="1" w:line="540" w:lineRule="exact"/>
        <w:jc w:val="center"/>
        <w:textAlignment w:val="auto"/>
        <w:rPr>
          <w:rFonts w:ascii="Times New Roman" w:hAnsi="Times New Roman" w:eastAsia="方正仿宋_GBK" w:cs="Times New Roman"/>
          <w:sz w:val="32"/>
          <w:szCs w:val="32"/>
        </w:rPr>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eastAsia"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40" w:lineRule="exact"/>
        <w:jc w:val="center"/>
        <w:textAlignment w:val="auto"/>
      </w:pPr>
      <w:r>
        <w:rPr>
          <w:rFonts w:hint="eastAsia" w:ascii="Times New Roman" w:hAnsi="Times New Roman" w:eastAsia="仿宋_GB2312" w:cs="仿宋_GB2312"/>
          <w:sz w:val="32"/>
          <w:szCs w:val="32"/>
        </w:rPr>
        <mc:AlternateContent>
          <mc:Choice Requires="wps">
            <w:drawing>
              <wp:anchor distT="0" distB="0" distL="113665" distR="113665"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43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i&#10;N2T9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_GB2312"/>
          <w:sz w:val="32"/>
          <w:szCs w:val="32"/>
        </w:rPr>
        <w:t>本文书一式</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rPr>
        <w:t>份，一份送达，一份归档。</w:t>
      </w:r>
      <w:r>
        <w:rPr>
          <w:rFonts w:hint="eastAsia" w:ascii="Times New Roman" w:hAnsi="Times New Roman" w:eastAsia="仿宋_GB2312" w:cs="仿宋_GB2312"/>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Cp&#10;J/crIQIAACcEAAAOAAAAAAAAAAEAIAAAACYBAABkcnMvZTJvRG9jLnhtbFBLBQYAAAAABgAGAFkB&#10;AAC5BQ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zkdcA&#10;AAAKAQAADwAAAAAAAAABACAAAAAiAAAAZHJzL2Rvd25yZXYueG1sUEsBAhQAFAAAAAgAh07iQE3V&#10;I7MgAgAAJwQAAA4AAAAAAAAAAQAgAAAAJgEAAGRycy9lMm9Eb2MueG1sUEsFBgAAAAAGAAYAWQEA&#10;ALg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2"/>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第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 共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NUMPAGES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47EAF"/>
    <w:rsid w:val="15DD485A"/>
    <w:rsid w:val="17D066AA"/>
    <w:rsid w:val="1CE330AF"/>
    <w:rsid w:val="1F2F0695"/>
    <w:rsid w:val="24AE38A6"/>
    <w:rsid w:val="25BB9681"/>
    <w:rsid w:val="264441E0"/>
    <w:rsid w:val="292F635B"/>
    <w:rsid w:val="2B164EBE"/>
    <w:rsid w:val="2B9B5E5B"/>
    <w:rsid w:val="2DB82518"/>
    <w:rsid w:val="33822B45"/>
    <w:rsid w:val="380F3812"/>
    <w:rsid w:val="3BAF4FD2"/>
    <w:rsid w:val="455C4728"/>
    <w:rsid w:val="49EA7BC7"/>
    <w:rsid w:val="4B1E4541"/>
    <w:rsid w:val="57AB0A5C"/>
    <w:rsid w:val="5AE94028"/>
    <w:rsid w:val="5B2F4624"/>
    <w:rsid w:val="5D811177"/>
    <w:rsid w:val="5FD7A26F"/>
    <w:rsid w:val="67F11E27"/>
    <w:rsid w:val="6CCA0E22"/>
    <w:rsid w:val="71514ADF"/>
    <w:rsid w:val="72D523A5"/>
    <w:rsid w:val="77FA26D9"/>
    <w:rsid w:val="78C939CF"/>
    <w:rsid w:val="7C1B4897"/>
    <w:rsid w:val="7C504C83"/>
    <w:rsid w:val="7CD15D4D"/>
    <w:rsid w:val="7DDA6064"/>
    <w:rsid w:val="7E0430A2"/>
    <w:rsid w:val="877E328C"/>
    <w:rsid w:val="ABFBF0A4"/>
    <w:rsid w:val="B3FF7442"/>
    <w:rsid w:val="BFED4AE0"/>
    <w:rsid w:val="E9DFD007"/>
    <w:rsid w:val="FC669EB5"/>
    <w:rsid w:val="FF1D6070"/>
    <w:rsid w:val="FFD7B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2026-03-27T00:47:00Z</dcterms:created>
  <dc:creator>王燕</dc:creator>
  <cp:lastModifiedBy>企业用户_325245456</cp:lastModifiedBy>
  <cp:lastPrinted>2026-04-15T01:08:00Z</cp:lastPrinted>
  <dcterms:modified xsi:type="dcterms:W3CDTF">2026-04-17T03:33:45Z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66798BD4A2C04A889C57E771DB24968D_13</vt:lpwstr>
  </property>
</Properties>
</file>