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967C" w14:textId="77777777" w:rsidR="00634898" w:rsidRPr="00A03D8F" w:rsidRDefault="00A27CAE" w:rsidP="00A03D8F">
      <w:pPr>
        <w:widowControl/>
        <w:spacing w:after="240"/>
        <w:jc w:val="center"/>
        <w:rPr>
          <w:b/>
          <w:bCs/>
          <w:kern w:val="0"/>
          <w:sz w:val="36"/>
          <w:szCs w:val="36"/>
          <w:lang w:val="en-GB" w:bidi="ar-AE"/>
        </w:rPr>
      </w:pPr>
      <w:r w:rsidRPr="00A03D8F">
        <w:rPr>
          <w:b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634898" w:rsidRPr="00A03D8F" w14:paraId="6A03B3A3" w14:textId="77777777">
        <w:trPr>
          <w:trHeight w:val="926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5351D489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05535C2C" w14:textId="48B1D454" w:rsidR="00634898" w:rsidRPr="00A03D8F" w:rsidRDefault="005A0FA7" w:rsidP="00A03D8F">
            <w:pPr>
              <w:adjustRightInd w:val="0"/>
              <w:snapToGrid w:val="0"/>
              <w:spacing w:line="264" w:lineRule="auto"/>
              <w:rPr>
                <w:bCs/>
                <w:color w:val="000000"/>
                <w:sz w:val="24"/>
              </w:rPr>
            </w:pPr>
            <w:proofErr w:type="gramStart"/>
            <w:r>
              <w:rPr>
                <w:rFonts w:hint="eastAsia"/>
                <w:bCs/>
                <w:color w:val="000000"/>
                <w:sz w:val="24"/>
              </w:rPr>
              <w:t>杭氧集团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股份</w:t>
            </w:r>
            <w:r w:rsidR="00152B75" w:rsidRPr="00152B75">
              <w:rPr>
                <w:rFonts w:hint="eastAsia"/>
                <w:bCs/>
                <w:color w:val="000000"/>
                <w:sz w:val="24"/>
              </w:rPr>
              <w:t>有限公司与</w:t>
            </w:r>
            <w:r>
              <w:rPr>
                <w:rFonts w:hint="eastAsia"/>
                <w:bCs/>
                <w:color w:val="000000"/>
                <w:sz w:val="24"/>
              </w:rPr>
              <w:t>浙江华友钴业股份</w:t>
            </w:r>
            <w:r w:rsidR="00152B75" w:rsidRPr="00152B75">
              <w:rPr>
                <w:rFonts w:hint="eastAsia"/>
                <w:bCs/>
                <w:color w:val="000000"/>
                <w:sz w:val="24"/>
              </w:rPr>
              <w:t>有限公司新设合营企业案</w:t>
            </w:r>
          </w:p>
        </w:tc>
      </w:tr>
      <w:tr w:rsidR="00634898" w:rsidRPr="00A03D8F" w14:paraId="65A20690" w14:textId="77777777">
        <w:trPr>
          <w:trHeight w:val="1391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2B0F6223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交易概况（限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200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08349E1A" w14:textId="08303C6A" w:rsidR="00F0629A" w:rsidRPr="00A03D8F" w:rsidRDefault="005A0FA7" w:rsidP="00A03D8F">
            <w:pPr>
              <w:pStyle w:val="a0"/>
              <w:adjustRightInd w:val="0"/>
              <w:snapToGrid w:val="0"/>
              <w:spacing w:after="0" w:line="264" w:lineRule="auto"/>
              <w:ind w:firstLineChars="0" w:firstLine="0"/>
              <w:rPr>
                <w:rFonts w:ascii="Times New Roman" w:hAnsi="Times New Roman"/>
                <w:bCs/>
                <w:color w:val="000000"/>
                <w:sz w:val="24"/>
                <w:lang w:eastAsia="zh-CN"/>
              </w:rPr>
            </w:pPr>
            <w:proofErr w:type="gramStart"/>
            <w:r>
              <w:rPr>
                <w:rFonts w:hint="eastAsia"/>
                <w:bCs/>
                <w:color w:val="000000"/>
                <w:sz w:val="24"/>
                <w:lang w:eastAsia="zh-CN"/>
              </w:rPr>
              <w:t>杭氧集团</w:t>
            </w:r>
            <w:proofErr w:type="gramEnd"/>
            <w:r>
              <w:rPr>
                <w:rFonts w:hint="eastAsia"/>
                <w:bCs/>
                <w:color w:val="000000"/>
                <w:sz w:val="24"/>
                <w:lang w:eastAsia="zh-CN"/>
              </w:rPr>
              <w:t>股份</w:t>
            </w:r>
            <w:r w:rsidR="00152B75" w:rsidRPr="00152B75">
              <w:rPr>
                <w:rFonts w:hint="eastAsia"/>
                <w:bCs/>
                <w:color w:val="000000"/>
                <w:sz w:val="24"/>
                <w:lang w:eastAsia="zh-CN"/>
              </w:rPr>
              <w:t>有限公司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（“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杭氧集团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”）</w:t>
            </w:r>
            <w:r w:rsidR="00152B75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与</w:t>
            </w:r>
            <w:r w:rsidR="00BF7AB4">
              <w:rPr>
                <w:rFonts w:hint="eastAsia"/>
                <w:bCs/>
                <w:color w:val="000000"/>
                <w:sz w:val="24"/>
                <w:lang w:eastAsia="zh-CN"/>
              </w:rPr>
              <w:t>浙江华友钴业股份</w:t>
            </w:r>
            <w:r w:rsidR="00152B75" w:rsidRPr="00152B75">
              <w:rPr>
                <w:rFonts w:hint="eastAsia"/>
                <w:bCs/>
                <w:color w:val="000000"/>
                <w:sz w:val="24"/>
                <w:lang w:eastAsia="zh-CN"/>
              </w:rPr>
              <w:t>有限公司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（“</w:t>
            </w:r>
            <w:r w:rsidR="00BF7AB4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华友钴业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”）</w:t>
            </w:r>
            <w:r w:rsidR="00BF7AB4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通过各自的全资子公司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签署协议，约定分别以</w:t>
            </w:r>
            <w:r w:rsidR="00BF7AB4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51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%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、</w:t>
            </w:r>
            <w:r w:rsidR="00152B75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4</w:t>
            </w:r>
            <w:r w:rsidR="00BF7AB4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9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%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的出资比例共同</w:t>
            </w:r>
            <w:r w:rsidR="00152B75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在印度尼西亚</w:t>
            </w:r>
            <w:r w:rsidR="00433839" w:rsidRPr="00433839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设立一家合营企业（“合营企业”）</w:t>
            </w:r>
            <w:r w:rsidR="00A10AF5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，从事</w:t>
            </w:r>
            <w:r w:rsidR="00BF7AB4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大气气体</w:t>
            </w:r>
            <w:r w:rsidR="0062610F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的生产和销售</w:t>
            </w:r>
            <w:r w:rsidR="00486568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业务</w:t>
            </w:r>
            <w:r w:rsidR="000F4136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。</w:t>
            </w:r>
            <w:r w:rsidR="007E7B07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本次交易完成后，</w:t>
            </w:r>
            <w:proofErr w:type="gramStart"/>
            <w:r w:rsidR="00BF7AB4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杭氧集团</w:t>
            </w:r>
            <w:proofErr w:type="gramEnd"/>
            <w:r w:rsidR="007E7B07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和</w:t>
            </w:r>
            <w:proofErr w:type="gramStart"/>
            <w:r w:rsidR="00BF7AB4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华友钴业</w:t>
            </w:r>
            <w:r w:rsidR="00E879BC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共同</w:t>
            </w:r>
            <w:proofErr w:type="gramEnd"/>
            <w:r w:rsidR="00E879BC"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控制合营企业。</w:t>
            </w:r>
          </w:p>
        </w:tc>
      </w:tr>
      <w:tr w:rsidR="00634898" w:rsidRPr="00A03D8F" w14:paraId="74B6ADAF" w14:textId="77777777">
        <w:trPr>
          <w:trHeight w:val="942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3E2A838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参与集中的经营者简介（每个限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100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字以内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795C2104" w14:textId="430C7A9A" w:rsidR="00634898" w:rsidRPr="00A03D8F" w:rsidRDefault="006A4B59" w:rsidP="00131626">
            <w:pPr>
              <w:pStyle w:val="a4"/>
              <w:adjustRightInd w:val="0"/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</w:pPr>
            <w:proofErr w:type="gramStart"/>
            <w:r>
              <w:rPr>
                <w:rFonts w:ascii="Times New Roman" w:hAnsi="Times New Roman" w:hint="eastAsia"/>
                <w:bCs/>
                <w:color w:val="000000"/>
                <w:sz w:val="24"/>
                <w:lang w:eastAsia="zh-CN"/>
              </w:rPr>
              <w:t>杭氧集团</w:t>
            </w:r>
            <w:proofErr w:type="gramEnd"/>
          </w:p>
        </w:tc>
        <w:tc>
          <w:tcPr>
            <w:tcW w:w="6093" w:type="dxa"/>
            <w:vAlign w:val="center"/>
          </w:tcPr>
          <w:p w14:paraId="62C34F0C" w14:textId="4DE194DB" w:rsidR="000E43D6" w:rsidRPr="000E43D6" w:rsidRDefault="000E43D6" w:rsidP="000E43D6">
            <w:pPr>
              <w:adjustRightInd w:val="0"/>
              <w:snapToGrid w:val="0"/>
              <w:spacing w:line="264" w:lineRule="auto"/>
              <w:rPr>
                <w:rFonts w:hint="eastAsia"/>
                <w:bCs/>
                <w:color w:val="000000"/>
                <w:sz w:val="24"/>
                <w:lang w:val="en-GB" w:bidi="ar-AE"/>
              </w:rPr>
            </w:pPr>
            <w:proofErr w:type="gramStart"/>
            <w:r w:rsidRPr="000E43D6">
              <w:rPr>
                <w:rFonts w:hint="eastAsia"/>
                <w:bCs/>
                <w:color w:val="000000"/>
                <w:sz w:val="24"/>
                <w:lang w:val="en-GB" w:bidi="ar-AE"/>
              </w:rPr>
              <w:t>杭氧集团</w:t>
            </w:r>
            <w:proofErr w:type="gramEnd"/>
            <w:r w:rsidRPr="000E43D6">
              <w:rPr>
                <w:rFonts w:hint="eastAsia"/>
                <w:bCs/>
                <w:color w:val="000000"/>
                <w:sz w:val="24"/>
                <w:lang w:val="en-GB" w:bidi="ar-AE"/>
              </w:rPr>
              <w:t>于</w:t>
            </w:r>
            <w:r w:rsidRPr="000E43D6">
              <w:rPr>
                <w:rFonts w:hint="eastAsia"/>
                <w:bCs/>
                <w:color w:val="000000"/>
                <w:sz w:val="24"/>
                <w:lang w:val="en-GB" w:bidi="ar-AE"/>
              </w:rPr>
              <w:t>2002</w:t>
            </w:r>
            <w:r w:rsidRPr="000E43D6">
              <w:rPr>
                <w:rFonts w:hint="eastAsia"/>
                <w:bCs/>
                <w:color w:val="000000"/>
                <w:sz w:val="24"/>
                <w:lang w:val="en-GB" w:bidi="ar-AE"/>
              </w:rPr>
              <w:t>年</w:t>
            </w:r>
            <w:r w:rsidRPr="000E43D6">
              <w:rPr>
                <w:rFonts w:hint="eastAsia"/>
                <w:bCs/>
                <w:color w:val="000000"/>
                <w:sz w:val="24"/>
                <w:lang w:val="en-GB" w:bidi="ar-AE"/>
              </w:rPr>
              <w:t>12</w:t>
            </w:r>
            <w:r w:rsidRPr="000E43D6">
              <w:rPr>
                <w:rFonts w:hint="eastAsia"/>
                <w:bCs/>
                <w:color w:val="000000"/>
                <w:sz w:val="24"/>
                <w:lang w:val="en-GB" w:bidi="ar-AE"/>
              </w:rPr>
              <w:t>月</w:t>
            </w:r>
            <w:r>
              <w:rPr>
                <w:rFonts w:hint="eastAsia"/>
                <w:bCs/>
                <w:color w:val="000000"/>
                <w:sz w:val="24"/>
                <w:lang w:val="en-GB" w:bidi="ar-AE"/>
              </w:rPr>
              <w:t>成立于</w:t>
            </w:r>
            <w:r w:rsidRPr="000E43D6">
              <w:rPr>
                <w:rFonts w:hint="eastAsia"/>
                <w:bCs/>
                <w:color w:val="000000"/>
                <w:sz w:val="24"/>
                <w:lang w:val="en-GB" w:bidi="ar-AE"/>
              </w:rPr>
              <w:t>浙江省杭州市，</w:t>
            </w:r>
            <w:r>
              <w:rPr>
                <w:rFonts w:hint="eastAsia"/>
                <w:bCs/>
                <w:color w:val="000000"/>
                <w:sz w:val="24"/>
                <w:lang w:val="en-GB" w:bidi="ar-AE"/>
              </w:rPr>
              <w:t>为</w:t>
            </w:r>
            <w:r w:rsidRPr="000E43D6">
              <w:rPr>
                <w:rFonts w:hint="eastAsia"/>
                <w:bCs/>
                <w:color w:val="000000"/>
                <w:sz w:val="24"/>
                <w:lang w:val="en-GB" w:bidi="ar-AE"/>
              </w:rPr>
              <w:t>深圳证券交易所</w:t>
            </w:r>
            <w:r>
              <w:rPr>
                <w:rFonts w:hint="eastAsia"/>
                <w:bCs/>
                <w:color w:val="000000"/>
                <w:sz w:val="24"/>
                <w:lang w:val="en-GB" w:bidi="ar-AE"/>
              </w:rPr>
              <w:t>上市公司</w:t>
            </w:r>
            <w:r w:rsidRPr="000E43D6">
              <w:rPr>
                <w:rFonts w:hint="eastAsia"/>
                <w:bCs/>
                <w:color w:val="000000"/>
                <w:sz w:val="24"/>
                <w:lang w:val="en-GB" w:bidi="ar-AE"/>
              </w:rPr>
              <w:t>，主要从事空气分离设备的制造和销售，以及大气气体的生产和销售业务。</w:t>
            </w:r>
          </w:p>
          <w:p w14:paraId="5EBC3128" w14:textId="79BC7A50" w:rsidR="00CA04EC" w:rsidRPr="00CA04EC" w:rsidRDefault="000E43D6" w:rsidP="000E43D6">
            <w:pPr>
              <w:pStyle w:val="a0"/>
              <w:spacing w:after="0"/>
              <w:ind w:firstLineChars="0" w:firstLine="0"/>
              <w:rPr>
                <w:rFonts w:hint="eastAsia"/>
                <w:lang w:val="en-GB" w:eastAsia="zh-CN" w:bidi="ar-AE"/>
              </w:rPr>
            </w:pPr>
            <w:proofErr w:type="gramStart"/>
            <w:r w:rsidRPr="000E43D6">
              <w:rPr>
                <w:rFonts w:hint="eastAsia"/>
                <w:bCs/>
                <w:color w:val="000000"/>
                <w:sz w:val="24"/>
                <w:lang w:val="en-GB" w:eastAsia="zh-CN" w:bidi="ar-AE"/>
              </w:rPr>
              <w:t>杭氧集团</w:t>
            </w:r>
            <w:proofErr w:type="gramEnd"/>
            <w:r w:rsidRPr="000E43D6">
              <w:rPr>
                <w:rFonts w:hint="eastAsia"/>
                <w:bCs/>
                <w:color w:val="000000"/>
                <w:sz w:val="24"/>
                <w:lang w:val="en-GB" w:eastAsia="zh-CN" w:bidi="ar-AE"/>
              </w:rPr>
              <w:t>的最终控制人为杭州市国有资本投资运营有限公司，其作为杭州市人民政府国有资产监督管理委员会下属企业，主要从事国有资本的运营和管理业务。</w:t>
            </w:r>
          </w:p>
        </w:tc>
      </w:tr>
      <w:tr w:rsidR="00634898" w:rsidRPr="00A03D8F" w14:paraId="791A24D8" w14:textId="77777777">
        <w:trPr>
          <w:trHeight w:val="984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1F3210D5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5EBC7167" w14:textId="2B94A718" w:rsidR="00634898" w:rsidRPr="00A03D8F" w:rsidRDefault="006A4B59" w:rsidP="00131626">
            <w:pPr>
              <w:pStyle w:val="a4"/>
              <w:adjustRightInd w:val="0"/>
              <w:snapToGrid w:val="0"/>
              <w:spacing w:after="0" w:line="26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</w:pPr>
            <w:proofErr w:type="gramStart"/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eastAsia="zh-CN"/>
              </w:rPr>
              <w:t>华友钴业</w:t>
            </w:r>
            <w:proofErr w:type="gramEnd"/>
          </w:p>
        </w:tc>
        <w:tc>
          <w:tcPr>
            <w:tcW w:w="6093" w:type="dxa"/>
            <w:vAlign w:val="center"/>
          </w:tcPr>
          <w:p w14:paraId="2CC3924A" w14:textId="77777777" w:rsidR="007C7074" w:rsidRDefault="007C7074" w:rsidP="007C7074">
            <w:pPr>
              <w:adjustRightInd w:val="0"/>
              <w:snapToGrid w:val="0"/>
              <w:spacing w:line="264" w:lineRule="auto"/>
              <w:rPr>
                <w:bCs/>
                <w:color w:val="000000"/>
                <w:sz w:val="24"/>
                <w:lang w:val="en-GB" w:bidi="ar-AE"/>
              </w:rPr>
            </w:pPr>
            <w:proofErr w:type="gramStart"/>
            <w:r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华友钴业于</w:t>
            </w:r>
            <w:proofErr w:type="gramEnd"/>
            <w:r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2002</w:t>
            </w:r>
            <w:r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年</w:t>
            </w:r>
            <w:r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5</w:t>
            </w:r>
            <w:r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月</w:t>
            </w:r>
            <w:r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22</w:t>
            </w:r>
            <w:r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日成立于浙江省</w:t>
            </w:r>
            <w:r>
              <w:rPr>
                <w:rFonts w:hint="eastAsia"/>
                <w:bCs/>
                <w:color w:val="000000"/>
                <w:sz w:val="24"/>
                <w:lang w:val="en-GB" w:bidi="ar-AE"/>
              </w:rPr>
              <w:t>桐乡市</w:t>
            </w:r>
            <w:r w:rsidRPr="009B707E">
              <w:rPr>
                <w:rFonts w:hint="eastAsia"/>
                <w:bCs/>
                <w:color w:val="000000"/>
                <w:sz w:val="24"/>
                <w:lang w:val="en-GB" w:bidi="ar-AE"/>
              </w:rPr>
              <w:t>，为上海证券交易所上市公司，主要业务为锂电新能源材料的制造、钴新材料产品的深加工，钴、铜有色金属采、选、冶等。</w:t>
            </w:r>
          </w:p>
          <w:p w14:paraId="775E561A" w14:textId="65CFF40D" w:rsidR="00E31474" w:rsidRPr="00A03D8F" w:rsidRDefault="007C7074" w:rsidP="007C7074">
            <w:pPr>
              <w:pStyle w:val="a0"/>
              <w:adjustRightInd w:val="0"/>
              <w:snapToGrid w:val="0"/>
              <w:spacing w:after="0" w:line="264" w:lineRule="auto"/>
              <w:ind w:firstLineChars="0"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hAnsi="宋体" w:hint="eastAsia"/>
                <w:sz w:val="24"/>
                <w:lang w:eastAsia="zh-CN"/>
              </w:rPr>
              <w:t>华友钴业</w:t>
            </w:r>
            <w:r w:rsidRPr="00AF2677">
              <w:rPr>
                <w:rFonts w:ascii="宋体" w:hAnsi="宋体" w:hint="eastAsia"/>
                <w:sz w:val="24"/>
                <w:lang w:eastAsia="zh-CN"/>
              </w:rPr>
              <w:t>的</w:t>
            </w:r>
            <w:proofErr w:type="gramEnd"/>
            <w:r w:rsidRPr="00AF2677">
              <w:rPr>
                <w:rFonts w:ascii="宋体" w:hAnsi="宋体" w:hint="eastAsia"/>
                <w:sz w:val="24"/>
                <w:lang w:eastAsia="zh-CN"/>
              </w:rPr>
              <w:t>最终控制人为</w:t>
            </w:r>
            <w:r>
              <w:rPr>
                <w:rFonts w:ascii="宋体" w:hAnsi="宋体" w:hint="eastAsia"/>
                <w:sz w:val="24"/>
                <w:lang w:eastAsia="zh-CN"/>
              </w:rPr>
              <w:t>自然人</w:t>
            </w:r>
            <w:r w:rsidRPr="00AF2677">
              <w:rPr>
                <w:rFonts w:ascii="宋体" w:hAnsi="宋体" w:hint="eastAsia"/>
                <w:sz w:val="24"/>
                <w:lang w:eastAsia="zh-CN"/>
              </w:rPr>
              <w:t>，主要业务</w:t>
            </w:r>
            <w:r>
              <w:rPr>
                <w:rFonts w:ascii="宋体" w:hAnsi="宋体" w:hint="eastAsia"/>
                <w:sz w:val="24"/>
                <w:lang w:eastAsia="zh-CN"/>
              </w:rPr>
              <w:t>同</w:t>
            </w:r>
            <w:proofErr w:type="gramStart"/>
            <w:r>
              <w:rPr>
                <w:rFonts w:ascii="宋体" w:hAnsi="宋体" w:hint="eastAsia"/>
                <w:sz w:val="24"/>
                <w:lang w:eastAsia="zh-CN"/>
              </w:rPr>
              <w:t>华友钴业的</w:t>
            </w:r>
            <w:proofErr w:type="gramEnd"/>
            <w:r>
              <w:rPr>
                <w:rFonts w:ascii="宋体" w:hAnsi="宋体" w:hint="eastAsia"/>
                <w:sz w:val="24"/>
                <w:lang w:eastAsia="zh-CN"/>
              </w:rPr>
              <w:t>主要业务</w:t>
            </w:r>
            <w:r w:rsidRPr="00AF2677">
              <w:rPr>
                <w:rFonts w:ascii="宋体" w:hAnsi="宋体" w:hint="eastAsia"/>
                <w:sz w:val="24"/>
                <w:lang w:eastAsia="zh-CN"/>
              </w:rPr>
              <w:t>。</w:t>
            </w:r>
          </w:p>
        </w:tc>
      </w:tr>
      <w:tr w:rsidR="00634898" w:rsidRPr="00A03D8F" w14:paraId="6C69EAEC" w14:textId="77777777">
        <w:trPr>
          <w:trHeight w:val="279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B0466FB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72EF9667" w14:textId="13A10A26" w:rsidR="00634898" w:rsidRPr="00A03D8F" w:rsidRDefault="00855132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1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、在同一相关市场，所有参与集中的经营者所占市场份额之和小于</w:t>
            </w:r>
            <w:r w:rsidRPr="00E225B5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15%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。</w:t>
            </w:r>
          </w:p>
        </w:tc>
      </w:tr>
      <w:tr w:rsidR="00634898" w:rsidRPr="00A03D8F" w14:paraId="7B7E1A2A" w14:textId="77777777">
        <w:trPr>
          <w:trHeight w:val="330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3666432A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C2B7D99" w14:textId="0CDC3E50" w:rsidR="00634898" w:rsidRPr="00A03D8F" w:rsidRDefault="00855132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2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、存在上下游关系的参与集中的经营者，在上下游市场所占的市场份额均小于</w:t>
            </w:r>
            <w:r w:rsidRPr="00E225B5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25%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。</w:t>
            </w:r>
          </w:p>
        </w:tc>
      </w:tr>
      <w:tr w:rsidR="00634898" w:rsidRPr="00A03D8F" w14:paraId="7AF6615B" w14:textId="77777777">
        <w:trPr>
          <w:trHeight w:val="285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2FBEB751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28B7438" w14:textId="11C043E1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="00855132"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3</w:t>
            </w:r>
            <w:r w:rsidR="00855132"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、不在同一相关市场、也不存在上下游关系的参与集中的经营者，在与交易有关的每个市场所占的份额均小于</w:t>
            </w:r>
            <w:r w:rsidR="00855132"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25%</w:t>
            </w:r>
            <w:r w:rsidR="00855132"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。</w:t>
            </w:r>
          </w:p>
        </w:tc>
      </w:tr>
      <w:tr w:rsidR="00634898" w:rsidRPr="00A03D8F" w14:paraId="362A4C29" w14:textId="77777777">
        <w:trPr>
          <w:trHeight w:val="870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5901D82B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6CECA0E" w14:textId="4AF1E381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F0FE"/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4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、参与集中的经营者在中国境外设立合营企业，合营企业不在中国境内从事经济活动。</w:t>
            </w:r>
          </w:p>
        </w:tc>
      </w:tr>
      <w:tr w:rsidR="00634898" w:rsidRPr="00A03D8F" w14:paraId="10D06482" w14:textId="77777777">
        <w:trPr>
          <w:trHeight w:val="264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0FB888E7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568CEC0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5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634898" w:rsidRPr="00A03D8F" w14:paraId="159B1152" w14:textId="77777777">
        <w:trPr>
          <w:trHeight w:val="345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25AC9104" w14:textId="77777777" w:rsidR="00634898" w:rsidRPr="00A03D8F" w:rsidRDefault="00634898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8440C5C" w14:textId="77777777" w:rsidR="00634898" w:rsidRPr="00A03D8F" w:rsidRDefault="00A27CAE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 xml:space="preserve"> 6</w:t>
            </w: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196F95" w:rsidRPr="00A03D8F" w14:paraId="464BABDB" w14:textId="77777777">
        <w:trPr>
          <w:trHeight w:val="345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0B13BDD0" w14:textId="4D43EA45" w:rsidR="00196F95" w:rsidRPr="00A03D8F" w:rsidRDefault="00196F95" w:rsidP="00A03D8F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03D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0F658FD6" w14:textId="52E1A8EB" w:rsidR="00583A4E" w:rsidRPr="008508B3" w:rsidRDefault="00A27CAE" w:rsidP="00583A4E">
            <w:pPr>
              <w:pStyle w:val="a4"/>
              <w:adjustRightInd w:val="0"/>
              <w:snapToGrid w:val="0"/>
              <w:spacing w:after="0"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A27CAE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eastAsia="zh-CN"/>
              </w:rPr>
              <w:t>不适用</w:t>
            </w:r>
          </w:p>
        </w:tc>
      </w:tr>
    </w:tbl>
    <w:p w14:paraId="5FAC7FD3" w14:textId="77777777" w:rsidR="006A2E12" w:rsidRPr="00A03D8F" w:rsidRDefault="006A2E12" w:rsidP="000630AC"/>
    <w:sectPr w:rsidR="006A2E12" w:rsidRPr="00A03D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EE79" w14:textId="77777777" w:rsidR="00476768" w:rsidRDefault="00476768" w:rsidP="00BF19C4">
      <w:r>
        <w:separator/>
      </w:r>
    </w:p>
  </w:endnote>
  <w:endnote w:type="continuationSeparator" w:id="0">
    <w:p w14:paraId="4B770A4C" w14:textId="77777777" w:rsidR="00476768" w:rsidRDefault="00476768" w:rsidP="00B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F5A9" w14:textId="77777777" w:rsidR="00476768" w:rsidRDefault="00476768" w:rsidP="00BF19C4">
      <w:r>
        <w:separator/>
      </w:r>
    </w:p>
  </w:footnote>
  <w:footnote w:type="continuationSeparator" w:id="0">
    <w:p w14:paraId="299CFC9F" w14:textId="77777777" w:rsidR="00476768" w:rsidRDefault="00476768" w:rsidP="00BF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467C"/>
    <w:multiLevelType w:val="hybridMultilevel"/>
    <w:tmpl w:val="7DC208EA"/>
    <w:lvl w:ilvl="0" w:tplc="BEE8540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E526CE"/>
    <w:multiLevelType w:val="hybridMultilevel"/>
    <w:tmpl w:val="D45A10CC"/>
    <w:lvl w:ilvl="0" w:tplc="9D845928">
      <w:numFmt w:val="bullet"/>
      <w:lvlText w:val="•"/>
      <w:lvlJc w:val="left"/>
      <w:pPr>
        <w:ind w:left="440" w:hanging="44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5490287">
    <w:abstractNumId w:val="0"/>
  </w:num>
  <w:num w:numId="2" w16cid:durableId="207535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VhNGJiMWVmZTg4ZjFhYWZhYWFiMzBkODkwYWRkZmUifQ=="/>
  </w:docVars>
  <w:rsids>
    <w:rsidRoot w:val="17704F92"/>
    <w:rsid w:val="00026E6A"/>
    <w:rsid w:val="0006228B"/>
    <w:rsid w:val="000630AC"/>
    <w:rsid w:val="000946D7"/>
    <w:rsid w:val="000E3289"/>
    <w:rsid w:val="000E43D6"/>
    <w:rsid w:val="000F4136"/>
    <w:rsid w:val="000F4FB1"/>
    <w:rsid w:val="00107CA0"/>
    <w:rsid w:val="00117245"/>
    <w:rsid w:val="00131626"/>
    <w:rsid w:val="00152B75"/>
    <w:rsid w:val="00194756"/>
    <w:rsid w:val="00196F95"/>
    <w:rsid w:val="001A4661"/>
    <w:rsid w:val="001A7828"/>
    <w:rsid w:val="001B3C27"/>
    <w:rsid w:val="001B72EA"/>
    <w:rsid w:val="001C014D"/>
    <w:rsid w:val="001E0C21"/>
    <w:rsid w:val="001E1708"/>
    <w:rsid w:val="001E22C8"/>
    <w:rsid w:val="001F3359"/>
    <w:rsid w:val="001F593B"/>
    <w:rsid w:val="002148B5"/>
    <w:rsid w:val="00263858"/>
    <w:rsid w:val="002863B5"/>
    <w:rsid w:val="002B78FC"/>
    <w:rsid w:val="002F0832"/>
    <w:rsid w:val="003E524B"/>
    <w:rsid w:val="003F6276"/>
    <w:rsid w:val="00402F5D"/>
    <w:rsid w:val="00433839"/>
    <w:rsid w:val="00434DFA"/>
    <w:rsid w:val="00457388"/>
    <w:rsid w:val="00460FC4"/>
    <w:rsid w:val="0046329B"/>
    <w:rsid w:val="00476768"/>
    <w:rsid w:val="00483306"/>
    <w:rsid w:val="00486568"/>
    <w:rsid w:val="00496DAB"/>
    <w:rsid w:val="004E5BAE"/>
    <w:rsid w:val="004F2D8C"/>
    <w:rsid w:val="00532DD7"/>
    <w:rsid w:val="00533D7E"/>
    <w:rsid w:val="0057746E"/>
    <w:rsid w:val="00583A4E"/>
    <w:rsid w:val="00594EE4"/>
    <w:rsid w:val="005A0FA7"/>
    <w:rsid w:val="005D50F7"/>
    <w:rsid w:val="005D58E7"/>
    <w:rsid w:val="005E3805"/>
    <w:rsid w:val="005E4519"/>
    <w:rsid w:val="005F1C25"/>
    <w:rsid w:val="00622B07"/>
    <w:rsid w:val="0062610F"/>
    <w:rsid w:val="00630580"/>
    <w:rsid w:val="00634898"/>
    <w:rsid w:val="00645DEB"/>
    <w:rsid w:val="006A2E12"/>
    <w:rsid w:val="006A4B59"/>
    <w:rsid w:val="006D1B26"/>
    <w:rsid w:val="0073666B"/>
    <w:rsid w:val="00736FF6"/>
    <w:rsid w:val="007438AC"/>
    <w:rsid w:val="00744976"/>
    <w:rsid w:val="007A5C5B"/>
    <w:rsid w:val="007C7074"/>
    <w:rsid w:val="007D7C2B"/>
    <w:rsid w:val="007E1B3A"/>
    <w:rsid w:val="007E7B07"/>
    <w:rsid w:val="008279B2"/>
    <w:rsid w:val="00841CAE"/>
    <w:rsid w:val="008508B3"/>
    <w:rsid w:val="0085182B"/>
    <w:rsid w:val="00855132"/>
    <w:rsid w:val="008555A8"/>
    <w:rsid w:val="008760CD"/>
    <w:rsid w:val="00882542"/>
    <w:rsid w:val="008A3684"/>
    <w:rsid w:val="008A78DA"/>
    <w:rsid w:val="008C64A7"/>
    <w:rsid w:val="008F6307"/>
    <w:rsid w:val="009050AD"/>
    <w:rsid w:val="0095195F"/>
    <w:rsid w:val="00991926"/>
    <w:rsid w:val="00991D4F"/>
    <w:rsid w:val="00995CAC"/>
    <w:rsid w:val="009B707E"/>
    <w:rsid w:val="009D3A0F"/>
    <w:rsid w:val="00A03D8F"/>
    <w:rsid w:val="00A10AF5"/>
    <w:rsid w:val="00A17A2C"/>
    <w:rsid w:val="00A27CAE"/>
    <w:rsid w:val="00A52930"/>
    <w:rsid w:val="00A67105"/>
    <w:rsid w:val="00A81655"/>
    <w:rsid w:val="00A85CF5"/>
    <w:rsid w:val="00AA0568"/>
    <w:rsid w:val="00B13E75"/>
    <w:rsid w:val="00B66F74"/>
    <w:rsid w:val="00B738B0"/>
    <w:rsid w:val="00B96C32"/>
    <w:rsid w:val="00BB5EAB"/>
    <w:rsid w:val="00BD0033"/>
    <w:rsid w:val="00BF19C4"/>
    <w:rsid w:val="00BF7AB4"/>
    <w:rsid w:val="00C41247"/>
    <w:rsid w:val="00C947B8"/>
    <w:rsid w:val="00CA04EC"/>
    <w:rsid w:val="00CA0EDB"/>
    <w:rsid w:val="00CE4CF1"/>
    <w:rsid w:val="00D02FE3"/>
    <w:rsid w:val="00D078E1"/>
    <w:rsid w:val="00D401F7"/>
    <w:rsid w:val="00D5136B"/>
    <w:rsid w:val="00D82B9E"/>
    <w:rsid w:val="00DB7F9D"/>
    <w:rsid w:val="00DC706D"/>
    <w:rsid w:val="00DD4B99"/>
    <w:rsid w:val="00DE6E96"/>
    <w:rsid w:val="00DF020B"/>
    <w:rsid w:val="00E136A1"/>
    <w:rsid w:val="00E20BE6"/>
    <w:rsid w:val="00E225B5"/>
    <w:rsid w:val="00E31474"/>
    <w:rsid w:val="00E57C88"/>
    <w:rsid w:val="00E879BC"/>
    <w:rsid w:val="00EA14F1"/>
    <w:rsid w:val="00F0629A"/>
    <w:rsid w:val="00F22EB3"/>
    <w:rsid w:val="00F5593F"/>
    <w:rsid w:val="00F563C5"/>
    <w:rsid w:val="00F60396"/>
    <w:rsid w:val="00F8087E"/>
    <w:rsid w:val="00FA6C19"/>
    <w:rsid w:val="00FC2FC1"/>
    <w:rsid w:val="00FC6D2C"/>
    <w:rsid w:val="00FD467A"/>
    <w:rsid w:val="00FD4A0F"/>
    <w:rsid w:val="00FF381C"/>
    <w:rsid w:val="17704F92"/>
    <w:rsid w:val="7927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7C251"/>
  <w15:chartTrackingRefBased/>
  <w15:docId w15:val="{6130B22B-17B2-446E-AD47-1FC7E4CE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E136A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link w:val="a5"/>
    <w:qFormat/>
    <w:pPr>
      <w:widowControl/>
      <w:spacing w:after="240" w:line="288" w:lineRule="auto"/>
    </w:pPr>
    <w:rPr>
      <w:rFonts w:ascii="CG Times" w:hAnsi="CG Times"/>
      <w:kern w:val="0"/>
      <w:sz w:val="22"/>
      <w:szCs w:val="20"/>
      <w:lang w:eastAsia="en-US"/>
    </w:rPr>
  </w:style>
  <w:style w:type="table" w:styleId="a6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正文文本 字符"/>
    <w:link w:val="a4"/>
    <w:rsid w:val="00E31474"/>
    <w:rPr>
      <w:rFonts w:ascii="CG Times" w:hAnsi="CG Times"/>
      <w:sz w:val="22"/>
      <w:lang w:eastAsia="en-US"/>
    </w:rPr>
  </w:style>
  <w:style w:type="paragraph" w:styleId="a7">
    <w:name w:val="header"/>
    <w:basedOn w:val="a"/>
    <w:link w:val="a8"/>
    <w:rsid w:val="00BF1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BF19C4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BF1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BF19C4"/>
    <w:rPr>
      <w:rFonts w:ascii="Times New Roman" w:hAnsi="Times New Roman"/>
      <w:kern w:val="2"/>
      <w:sz w:val="18"/>
      <w:szCs w:val="18"/>
    </w:rPr>
  </w:style>
  <w:style w:type="paragraph" w:styleId="ab">
    <w:name w:val="Revision"/>
    <w:hidden/>
    <w:uiPriority w:val="99"/>
    <w:unhideWhenUsed/>
    <w:rsid w:val="008555A8"/>
    <w:rPr>
      <w:rFonts w:ascii="Times New Roman" w:hAnsi="Times New Roman"/>
      <w:kern w:val="2"/>
      <w:sz w:val="21"/>
      <w:szCs w:val="24"/>
    </w:rPr>
  </w:style>
  <w:style w:type="character" w:styleId="ac">
    <w:name w:val="annotation reference"/>
    <w:basedOn w:val="a1"/>
    <w:rsid w:val="00F563C5"/>
    <w:rPr>
      <w:sz w:val="21"/>
      <w:szCs w:val="21"/>
    </w:rPr>
  </w:style>
  <w:style w:type="paragraph" w:styleId="ad">
    <w:name w:val="annotation text"/>
    <w:basedOn w:val="a"/>
    <w:link w:val="ae"/>
    <w:rsid w:val="00F563C5"/>
    <w:pPr>
      <w:jc w:val="left"/>
    </w:pPr>
  </w:style>
  <w:style w:type="character" w:customStyle="1" w:styleId="ae">
    <w:name w:val="批注文字 字符"/>
    <w:basedOn w:val="a1"/>
    <w:link w:val="ad"/>
    <w:rsid w:val="00F563C5"/>
    <w:rPr>
      <w:rFonts w:ascii="Times New Roman" w:hAnsi="Times New Roman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563C5"/>
    <w:rPr>
      <w:b/>
      <w:bCs/>
    </w:rPr>
  </w:style>
  <w:style w:type="character" w:customStyle="1" w:styleId="af0">
    <w:name w:val="批注主题 字符"/>
    <w:basedOn w:val="ae"/>
    <w:link w:val="af"/>
    <w:rsid w:val="00F563C5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cd93175b5e2e30f3ba5d5d22101a8dae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d116d143cce9d65f7ebb710e04601f84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CA293-5E33-4758-A265-C6EBF72F9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236B5-5E7F-42F9-856F-82C9DBB612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FDA086-F547-4F9A-BB1E-F5CCC4E59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F79C5-6A29-47AA-A669-A8B7D7E154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725</Words>
  <Characters>67</Characters>
  <Application>Microsoft Office Word</Application>
  <DocSecurity>0</DocSecurity>
  <Lines>1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/ZL</dc:creator>
  <cp:keywords/>
  <cp:lastModifiedBy>Zhong Lun</cp:lastModifiedBy>
  <cp:revision>48</cp:revision>
  <dcterms:created xsi:type="dcterms:W3CDTF">2024-11-29T09:26:00Z</dcterms:created>
  <dcterms:modified xsi:type="dcterms:W3CDTF">2026-04-20T12:08:00Z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401295FA1B0A4B8093173A919C0DA85C_13</vt:lpwstr>
  </property>
  <property fmtid="{D5CDD505-2E9C-101B-9397-08002B2CF9AE}" pid="4" name="ContentTypeId">
    <vt:lpwstr>0x01010026A2BEFD371A2D43AF26B316195BAA8F</vt:lpwstr>
  </property>
</Properties>
</file>