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260F18">
      <w:pPr>
        <w:adjustRightInd w:val="0"/>
        <w:snapToGrid w:val="0"/>
        <w:spacing w:line="594" w:lineRule="exact"/>
        <w:jc w:val="center"/>
        <w:rPr>
          <w:rFonts w:hint="default" w:ascii="Times New Roman" w:hAnsi="Times New Roman" w:eastAsia="方正小标宋简体" w:cs="Times New Roman"/>
          <w:color w:val="000000"/>
          <w:sz w:val="32"/>
          <w:szCs w:val="32"/>
        </w:rPr>
      </w:pPr>
      <w:r>
        <w:rPr>
          <w:rFonts w:hint="default" w:ascii="Times New Roman" w:hAnsi="Times New Roman" w:eastAsia="方正小标宋简体" w:cs="Times New Roman"/>
          <w:color w:val="000000"/>
          <w:sz w:val="32"/>
          <w:szCs w:val="32"/>
        </w:rPr>
        <w:t>保护足趾安全鞋产品质量国家监督抽查实施细则</w:t>
      </w:r>
    </w:p>
    <w:p w14:paraId="273E5970">
      <w:pPr>
        <w:spacing w:line="440" w:lineRule="exact"/>
        <w:jc w:val="center"/>
        <w:rPr>
          <w:rFonts w:hint="default" w:ascii="Times New Roman" w:hAnsi="Times New Roman" w:eastAsia="方正小标宋简体" w:cs="Times New Roman"/>
          <w:color w:val="000000"/>
          <w:sz w:val="32"/>
          <w:szCs w:val="32"/>
        </w:rPr>
      </w:pPr>
      <w:r>
        <w:rPr>
          <w:rFonts w:hint="default" w:ascii="Times New Roman" w:hAnsi="Times New Roman" w:eastAsia="方正小标宋简体" w:cs="Times New Roman"/>
          <w:color w:val="000000"/>
          <w:sz w:val="32"/>
          <w:szCs w:val="32"/>
        </w:rPr>
        <w:t>（2026年版）</w:t>
      </w:r>
    </w:p>
    <w:p w14:paraId="14BB8BEA">
      <w:pPr>
        <w:adjustRightInd w:val="0"/>
        <w:snapToGrid w:val="0"/>
        <w:spacing w:line="594" w:lineRule="exact"/>
        <w:jc w:val="center"/>
        <w:rPr>
          <w:rFonts w:hint="default" w:ascii="Times New Roman" w:hAnsi="Times New Roman" w:eastAsia="方正小标宋简体" w:cs="Times New Roman"/>
          <w:color w:val="000000"/>
          <w:sz w:val="32"/>
          <w:szCs w:val="32"/>
        </w:rPr>
      </w:pPr>
    </w:p>
    <w:p w14:paraId="56B1872E">
      <w:pPr>
        <w:snapToGrid w:val="0"/>
        <w:spacing w:line="440" w:lineRule="exact"/>
        <w:rPr>
          <w:rFonts w:hint="default" w:ascii="Times New Roman" w:hAnsi="Times New Roman" w:eastAsia="黑体" w:cs="Times New Roman"/>
          <w:color w:val="000000"/>
          <w:szCs w:val="21"/>
        </w:rPr>
      </w:pPr>
      <w:r>
        <w:rPr>
          <w:rFonts w:hint="default" w:ascii="Times New Roman" w:hAnsi="Times New Roman" w:eastAsia="黑体" w:cs="Times New Roman"/>
          <w:color w:val="000000"/>
          <w:szCs w:val="21"/>
        </w:rPr>
        <w:t>1 抽样方法</w:t>
      </w:r>
    </w:p>
    <w:p w14:paraId="0B3A45EB">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以随机抽样的方式在被抽样生产者、销售者的待销产品中抽取。</w:t>
      </w:r>
    </w:p>
    <w:p w14:paraId="65FBF280">
      <w:pPr>
        <w:adjustRightInd w:val="0"/>
        <w:snapToGrid w:val="0"/>
        <w:spacing w:line="440" w:lineRule="exact"/>
        <w:ind w:firstLine="420"/>
        <w:rPr>
          <w:rFonts w:hint="default" w:ascii="Times New Roman" w:hAnsi="Times New Roman" w:cs="Times New Roman"/>
          <w:color w:val="000000"/>
          <w:szCs w:val="21"/>
        </w:rPr>
      </w:pPr>
      <w:r>
        <w:rPr>
          <w:rFonts w:hint="default" w:ascii="Times New Roman" w:hAnsi="Times New Roman" w:cs="Times New Roman"/>
          <w:color w:val="000000"/>
          <w:szCs w:val="21"/>
        </w:rPr>
        <w:t>随机数一般可使用随机数表等方法产生。</w:t>
      </w:r>
    </w:p>
    <w:p w14:paraId="1B067D18">
      <w:pPr>
        <w:snapToGrid w:val="0"/>
        <w:spacing w:line="440" w:lineRule="exact"/>
        <w:ind w:firstLine="420" w:firstLineChars="200"/>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每批次产品抽取样品18双</w:t>
      </w:r>
      <w:r>
        <w:rPr>
          <w:rFonts w:hint="default" w:ascii="Times New Roman" w:hAnsi="Times New Roman" w:cs="Times New Roman"/>
          <w:szCs w:val="21"/>
        </w:rPr>
        <w:t>（3个鞋号，每个鞋号6双）</w:t>
      </w:r>
      <w:r>
        <w:rPr>
          <w:rFonts w:hint="default" w:ascii="Times New Roman" w:hAnsi="Times New Roman" w:eastAsia="宋体" w:cs="Times New Roman"/>
          <w:color w:val="000000"/>
          <w:szCs w:val="21"/>
        </w:rPr>
        <w:t>，其中9双（3个鞋号，</w:t>
      </w:r>
      <w:r>
        <w:rPr>
          <w:rFonts w:hint="default" w:ascii="Times New Roman" w:hAnsi="Times New Roman" w:cs="Times New Roman"/>
          <w:color w:val="000000"/>
          <w:szCs w:val="21"/>
        </w:rPr>
        <w:t>每个鞋号3双</w:t>
      </w:r>
      <w:r>
        <w:rPr>
          <w:rFonts w:hint="default" w:ascii="Times New Roman" w:hAnsi="Times New Roman" w:eastAsia="宋体" w:cs="Times New Roman"/>
          <w:color w:val="000000"/>
          <w:szCs w:val="21"/>
        </w:rPr>
        <w:t>）作为检验样品，9双（3个鞋号，</w:t>
      </w:r>
      <w:r>
        <w:rPr>
          <w:rFonts w:hint="default" w:ascii="Times New Roman" w:hAnsi="Times New Roman" w:cs="Times New Roman"/>
          <w:color w:val="000000"/>
          <w:szCs w:val="21"/>
        </w:rPr>
        <w:t>每个鞋号3双</w:t>
      </w:r>
      <w:r>
        <w:rPr>
          <w:rFonts w:hint="default" w:ascii="Times New Roman" w:hAnsi="Times New Roman" w:eastAsia="宋体" w:cs="Times New Roman"/>
          <w:color w:val="000000"/>
          <w:szCs w:val="21"/>
        </w:rPr>
        <w:t>）作为备用样品。</w:t>
      </w:r>
    </w:p>
    <w:p w14:paraId="1723FA6A">
      <w:pPr>
        <w:snapToGrid w:val="0"/>
        <w:spacing w:line="440" w:lineRule="exact"/>
        <w:ind w:firstLine="420" w:firstLineChars="200"/>
        <w:rPr>
          <w:rFonts w:hint="default" w:ascii="Times New Roman" w:hAnsi="Times New Roman" w:eastAsia="宋体" w:cs="Times New Roman"/>
          <w:color w:val="000000"/>
          <w:szCs w:val="21"/>
        </w:rPr>
      </w:pPr>
    </w:p>
    <w:p w14:paraId="557B56CF">
      <w:pPr>
        <w:snapToGrid w:val="0"/>
        <w:spacing w:line="440" w:lineRule="exact"/>
        <w:rPr>
          <w:rFonts w:hint="default" w:ascii="Times New Roman" w:hAnsi="Times New Roman" w:eastAsia="黑体" w:cs="Times New Roman"/>
          <w:color w:val="000000"/>
          <w:szCs w:val="21"/>
        </w:rPr>
      </w:pPr>
      <w:r>
        <w:rPr>
          <w:rFonts w:hint="default" w:ascii="Times New Roman" w:hAnsi="Times New Roman" w:eastAsia="黑体" w:cs="Times New Roman"/>
          <w:color w:val="000000"/>
          <w:szCs w:val="21"/>
        </w:rPr>
        <w:t>2 检验依据</w:t>
      </w:r>
    </w:p>
    <w:p w14:paraId="3F0AECAD">
      <w:pPr>
        <w:snapToGrid w:val="0"/>
        <w:spacing w:line="440" w:lineRule="exact"/>
        <w:rPr>
          <w:rFonts w:hint="default" w:ascii="Times New Roman" w:hAnsi="Times New Roman" w:eastAsia="黑体" w:cs="Times New Roman"/>
          <w:color w:val="000000"/>
          <w:szCs w:val="21"/>
        </w:rPr>
      </w:pP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8"/>
        <w:gridCol w:w="1296"/>
        <w:gridCol w:w="1437"/>
        <w:gridCol w:w="5013"/>
      </w:tblGrid>
      <w:tr w14:paraId="14A26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jc w:val="center"/>
        </w:trPr>
        <w:tc>
          <w:tcPr>
            <w:tcW w:w="778" w:type="pct"/>
            <w:tcBorders>
              <w:top w:val="single" w:color="auto" w:sz="4" w:space="0"/>
              <w:left w:val="single" w:color="auto" w:sz="4" w:space="0"/>
              <w:bottom w:val="single" w:color="auto" w:sz="4" w:space="0"/>
              <w:right w:val="single" w:color="auto" w:sz="4" w:space="0"/>
            </w:tcBorders>
            <w:vAlign w:val="center"/>
          </w:tcPr>
          <w:p w14:paraId="42DD2C36">
            <w:pPr>
              <w:spacing w:line="440" w:lineRule="exact"/>
              <w:jc w:val="center"/>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1489" w:type="pct"/>
            <w:gridSpan w:val="2"/>
            <w:tcBorders>
              <w:top w:val="single" w:color="auto" w:sz="4" w:space="0"/>
              <w:left w:val="single" w:color="auto" w:sz="4" w:space="0"/>
              <w:right w:val="single" w:color="auto" w:sz="4" w:space="0"/>
            </w:tcBorders>
            <w:vAlign w:val="center"/>
          </w:tcPr>
          <w:p w14:paraId="68D01F88">
            <w:pPr>
              <w:spacing w:line="440" w:lineRule="exact"/>
              <w:jc w:val="center"/>
              <w:rPr>
                <w:rFonts w:hint="default" w:ascii="Times New Roman" w:hAnsi="Times New Roman" w:eastAsia="宋体" w:cs="Times New Roman"/>
                <w:szCs w:val="21"/>
              </w:rPr>
            </w:pPr>
            <w:r>
              <w:rPr>
                <w:rFonts w:hint="default" w:ascii="Times New Roman" w:hAnsi="Times New Roman" w:eastAsia="宋体" w:cs="Times New Roman"/>
                <w:szCs w:val="21"/>
              </w:rPr>
              <w:t>检验项目</w:t>
            </w:r>
          </w:p>
        </w:tc>
        <w:tc>
          <w:tcPr>
            <w:tcW w:w="2731" w:type="pct"/>
            <w:tcBorders>
              <w:top w:val="single" w:color="auto" w:sz="4" w:space="0"/>
              <w:left w:val="nil"/>
              <w:right w:val="single" w:color="auto" w:sz="4" w:space="0"/>
            </w:tcBorders>
          </w:tcPr>
          <w:p w14:paraId="4ED39F19">
            <w:pPr>
              <w:spacing w:line="440" w:lineRule="exact"/>
              <w:jc w:val="center"/>
              <w:rPr>
                <w:rFonts w:hint="default" w:ascii="Times New Roman" w:hAnsi="Times New Roman" w:eastAsia="宋体" w:cs="Times New Roman"/>
                <w:szCs w:val="21"/>
              </w:rPr>
            </w:pPr>
            <w:r>
              <w:rPr>
                <w:rFonts w:hint="default" w:ascii="Times New Roman" w:hAnsi="Times New Roman" w:eastAsia="宋体" w:cs="Times New Roman"/>
                <w:color w:val="000000"/>
                <w:szCs w:val="21"/>
              </w:rPr>
              <w:t>检验方法</w:t>
            </w:r>
          </w:p>
        </w:tc>
      </w:tr>
      <w:tr w14:paraId="7EEB7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jc w:val="center"/>
        </w:trPr>
        <w:tc>
          <w:tcPr>
            <w:tcW w:w="778" w:type="pct"/>
            <w:tcBorders>
              <w:top w:val="single" w:color="auto" w:sz="4" w:space="0"/>
              <w:left w:val="single" w:color="auto" w:sz="4" w:space="0"/>
              <w:bottom w:val="single" w:color="auto" w:sz="4" w:space="0"/>
              <w:right w:val="single" w:color="auto" w:sz="4" w:space="0"/>
            </w:tcBorders>
            <w:vAlign w:val="center"/>
          </w:tcPr>
          <w:p w14:paraId="7DFFF3B0">
            <w:pPr>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706" w:type="pct"/>
            <w:tcBorders>
              <w:top w:val="single" w:color="auto" w:sz="4" w:space="0"/>
              <w:left w:val="nil"/>
              <w:right w:val="single" w:color="auto" w:sz="4" w:space="0"/>
            </w:tcBorders>
            <w:vAlign w:val="center"/>
          </w:tcPr>
          <w:p w14:paraId="5E6CA0D8">
            <w:pPr>
              <w:jc w:val="center"/>
              <w:rPr>
                <w:rFonts w:hint="default" w:ascii="Times New Roman" w:hAnsi="Times New Roman" w:eastAsia="宋体" w:cs="Times New Roman"/>
                <w:szCs w:val="21"/>
              </w:rPr>
            </w:pPr>
            <w:r>
              <w:rPr>
                <w:rFonts w:hint="default" w:ascii="Times New Roman" w:hAnsi="Times New Roman" w:eastAsia="宋体" w:cs="Times New Roman"/>
                <w:szCs w:val="21"/>
              </w:rPr>
              <w:t>成鞋</w:t>
            </w:r>
          </w:p>
        </w:tc>
        <w:tc>
          <w:tcPr>
            <w:tcW w:w="783" w:type="pct"/>
            <w:tcBorders>
              <w:top w:val="single" w:color="auto" w:sz="4" w:space="0"/>
              <w:left w:val="nil"/>
              <w:right w:val="single" w:color="auto" w:sz="4" w:space="0"/>
            </w:tcBorders>
            <w:vAlign w:val="center"/>
          </w:tcPr>
          <w:p w14:paraId="3BEE226B">
            <w:pPr>
              <w:jc w:val="center"/>
              <w:rPr>
                <w:rFonts w:hint="default" w:ascii="Times New Roman" w:hAnsi="Times New Roman" w:eastAsia="宋体" w:cs="Times New Roman"/>
                <w:szCs w:val="21"/>
              </w:rPr>
            </w:pPr>
            <w:r>
              <w:rPr>
                <w:rFonts w:hint="default" w:ascii="Times New Roman" w:hAnsi="Times New Roman" w:eastAsia="宋体" w:cs="Times New Roman"/>
                <w:szCs w:val="21"/>
              </w:rPr>
              <w:t>防漏性</w:t>
            </w:r>
          </w:p>
        </w:tc>
        <w:tc>
          <w:tcPr>
            <w:tcW w:w="2731" w:type="pct"/>
            <w:vMerge w:val="restart"/>
            <w:tcBorders>
              <w:top w:val="single" w:color="auto" w:sz="4" w:space="0"/>
              <w:left w:val="nil"/>
              <w:right w:val="single" w:color="auto" w:sz="4" w:space="0"/>
            </w:tcBorders>
            <w:vAlign w:val="center"/>
          </w:tcPr>
          <w:p w14:paraId="588C9E99">
            <w:pPr>
              <w:jc w:val="center"/>
              <w:rPr>
                <w:rFonts w:hint="default" w:ascii="Times New Roman" w:hAnsi="Times New Roman" w:eastAsia="宋体" w:cs="Times New Roman"/>
                <w:szCs w:val="21"/>
              </w:rPr>
            </w:pPr>
            <w:r>
              <w:rPr>
                <w:rFonts w:hint="default" w:ascii="Times New Roman" w:hAnsi="Times New Roman" w:eastAsia="宋体" w:cs="Times New Roman"/>
                <w:b w:val="0"/>
                <w:bCs w:val="0"/>
                <w:i w:val="0"/>
                <w:iCs w:val="0"/>
                <w:color w:val="000000"/>
                <w:kern w:val="2"/>
                <w:sz w:val="21"/>
                <w:szCs w:val="21"/>
                <w:highlight w:val="none"/>
                <w:vertAlign w:val="baseline"/>
                <w:lang w:val="en-US" w:eastAsia="zh-CN"/>
              </w:rPr>
              <w:t>GB 21148—2020</w:t>
            </w:r>
          </w:p>
        </w:tc>
      </w:tr>
      <w:tr w14:paraId="12DAD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jc w:val="center"/>
        </w:trPr>
        <w:tc>
          <w:tcPr>
            <w:tcW w:w="778" w:type="pct"/>
            <w:tcBorders>
              <w:top w:val="single" w:color="auto" w:sz="4" w:space="0"/>
              <w:left w:val="single" w:color="auto" w:sz="4" w:space="0"/>
              <w:bottom w:val="single" w:color="auto" w:sz="4" w:space="0"/>
              <w:right w:val="single" w:color="auto" w:sz="4" w:space="0"/>
            </w:tcBorders>
            <w:vAlign w:val="center"/>
          </w:tcPr>
          <w:p w14:paraId="53F76E86">
            <w:pPr>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706" w:type="pct"/>
            <w:vMerge w:val="restart"/>
            <w:tcBorders>
              <w:top w:val="single" w:color="auto" w:sz="4" w:space="0"/>
              <w:left w:val="nil"/>
              <w:right w:val="single" w:color="auto" w:sz="4" w:space="0"/>
            </w:tcBorders>
            <w:vAlign w:val="center"/>
          </w:tcPr>
          <w:p w14:paraId="0234694B">
            <w:pPr>
              <w:jc w:val="center"/>
              <w:rPr>
                <w:rFonts w:hint="default" w:ascii="Times New Roman" w:hAnsi="Times New Roman" w:eastAsia="宋体" w:cs="Times New Roman"/>
                <w:szCs w:val="21"/>
              </w:rPr>
            </w:pPr>
            <w:r>
              <w:rPr>
                <w:rFonts w:hint="default" w:ascii="Times New Roman" w:hAnsi="Times New Roman" w:eastAsia="宋体" w:cs="Times New Roman"/>
                <w:szCs w:val="21"/>
              </w:rPr>
              <w:t>鞋帮</w:t>
            </w:r>
          </w:p>
        </w:tc>
        <w:tc>
          <w:tcPr>
            <w:tcW w:w="783" w:type="pct"/>
            <w:tcBorders>
              <w:top w:val="single" w:color="auto" w:sz="4" w:space="0"/>
              <w:left w:val="nil"/>
              <w:bottom w:val="single" w:color="auto" w:sz="4" w:space="0"/>
              <w:right w:val="single" w:color="auto" w:sz="4" w:space="0"/>
            </w:tcBorders>
            <w:vAlign w:val="center"/>
          </w:tcPr>
          <w:p w14:paraId="3A3F60E7">
            <w:pPr>
              <w:jc w:val="center"/>
              <w:rPr>
                <w:rFonts w:hint="default" w:ascii="Times New Roman" w:hAnsi="Times New Roman" w:eastAsia="宋体" w:cs="Times New Roman"/>
                <w:szCs w:val="21"/>
              </w:rPr>
            </w:pPr>
            <w:r>
              <w:rPr>
                <w:rFonts w:hint="default" w:ascii="Times New Roman" w:hAnsi="Times New Roman" w:eastAsia="宋体" w:cs="Times New Roman"/>
                <w:szCs w:val="21"/>
              </w:rPr>
              <w:t>撕裂性能</w:t>
            </w:r>
          </w:p>
        </w:tc>
        <w:tc>
          <w:tcPr>
            <w:tcW w:w="2731" w:type="pct"/>
            <w:vMerge w:val="continue"/>
            <w:tcBorders>
              <w:left w:val="nil"/>
              <w:right w:val="single" w:color="auto" w:sz="4" w:space="0"/>
            </w:tcBorders>
          </w:tcPr>
          <w:p w14:paraId="2D6A8F06">
            <w:pPr>
              <w:spacing w:line="360" w:lineRule="auto"/>
              <w:jc w:val="center"/>
              <w:rPr>
                <w:rFonts w:hint="default" w:ascii="Times New Roman" w:hAnsi="Times New Roman" w:eastAsia="宋体" w:cs="Times New Roman"/>
                <w:szCs w:val="21"/>
              </w:rPr>
            </w:pPr>
          </w:p>
        </w:tc>
      </w:tr>
      <w:tr w14:paraId="65254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jc w:val="center"/>
        </w:trPr>
        <w:tc>
          <w:tcPr>
            <w:tcW w:w="778" w:type="pct"/>
            <w:tcBorders>
              <w:top w:val="single" w:color="auto" w:sz="4" w:space="0"/>
              <w:left w:val="single" w:color="auto" w:sz="4" w:space="0"/>
              <w:bottom w:val="single" w:color="auto" w:sz="4" w:space="0"/>
              <w:right w:val="single" w:color="auto" w:sz="4" w:space="0"/>
            </w:tcBorders>
            <w:vAlign w:val="center"/>
          </w:tcPr>
          <w:p w14:paraId="036FE9D0">
            <w:pPr>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706" w:type="pct"/>
            <w:vMerge w:val="continue"/>
            <w:tcBorders>
              <w:left w:val="nil"/>
              <w:right w:val="single" w:color="auto" w:sz="4" w:space="0"/>
            </w:tcBorders>
            <w:vAlign w:val="center"/>
          </w:tcPr>
          <w:p w14:paraId="73B084F7">
            <w:pPr>
              <w:jc w:val="center"/>
              <w:rPr>
                <w:rFonts w:hint="default" w:ascii="Times New Roman" w:hAnsi="Times New Roman" w:eastAsia="宋体" w:cs="Times New Roman"/>
                <w:szCs w:val="21"/>
              </w:rPr>
            </w:pPr>
          </w:p>
        </w:tc>
        <w:tc>
          <w:tcPr>
            <w:tcW w:w="783" w:type="pct"/>
            <w:tcBorders>
              <w:top w:val="single" w:color="auto" w:sz="4" w:space="0"/>
              <w:left w:val="nil"/>
              <w:bottom w:val="single" w:color="auto" w:sz="4" w:space="0"/>
              <w:right w:val="single" w:color="auto" w:sz="4" w:space="0"/>
            </w:tcBorders>
            <w:vAlign w:val="center"/>
          </w:tcPr>
          <w:p w14:paraId="23060918">
            <w:pPr>
              <w:jc w:val="center"/>
              <w:rPr>
                <w:rFonts w:hint="default" w:ascii="Times New Roman" w:hAnsi="Times New Roman" w:eastAsia="宋体" w:cs="Times New Roman"/>
                <w:szCs w:val="21"/>
              </w:rPr>
            </w:pPr>
            <w:r>
              <w:rPr>
                <w:rFonts w:hint="default" w:ascii="Times New Roman" w:hAnsi="Times New Roman" w:eastAsia="宋体" w:cs="Times New Roman"/>
                <w:szCs w:val="21"/>
              </w:rPr>
              <w:t>拉伸性能</w:t>
            </w:r>
          </w:p>
        </w:tc>
        <w:tc>
          <w:tcPr>
            <w:tcW w:w="2731" w:type="pct"/>
            <w:vMerge w:val="continue"/>
            <w:tcBorders>
              <w:left w:val="nil"/>
              <w:right w:val="single" w:color="auto" w:sz="4" w:space="0"/>
            </w:tcBorders>
          </w:tcPr>
          <w:p w14:paraId="68D4CED2">
            <w:pPr>
              <w:spacing w:line="360" w:lineRule="auto"/>
              <w:jc w:val="center"/>
              <w:rPr>
                <w:rFonts w:hint="default" w:ascii="Times New Roman" w:hAnsi="Times New Roman" w:eastAsia="宋体" w:cs="Times New Roman"/>
                <w:szCs w:val="21"/>
              </w:rPr>
            </w:pPr>
          </w:p>
        </w:tc>
      </w:tr>
      <w:tr w14:paraId="6DD93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jc w:val="center"/>
        </w:trPr>
        <w:tc>
          <w:tcPr>
            <w:tcW w:w="778" w:type="pct"/>
            <w:tcBorders>
              <w:top w:val="single" w:color="auto" w:sz="4" w:space="0"/>
              <w:left w:val="single" w:color="auto" w:sz="4" w:space="0"/>
              <w:bottom w:val="single" w:color="auto" w:sz="4" w:space="0"/>
              <w:right w:val="single" w:color="auto" w:sz="4" w:space="0"/>
            </w:tcBorders>
            <w:vAlign w:val="center"/>
          </w:tcPr>
          <w:p w14:paraId="5914F675">
            <w:pPr>
              <w:jc w:val="center"/>
              <w:rPr>
                <w:rFonts w:hint="default" w:ascii="Times New Roman" w:hAnsi="Times New Roman" w:eastAsia="宋体" w:cs="Times New Roman"/>
                <w:szCs w:val="21"/>
              </w:rPr>
            </w:pPr>
            <w:r>
              <w:rPr>
                <w:rFonts w:hint="default" w:ascii="Times New Roman" w:hAnsi="Times New Roman" w:eastAsia="宋体" w:cs="Times New Roman"/>
                <w:szCs w:val="21"/>
              </w:rPr>
              <w:t>4</w:t>
            </w:r>
          </w:p>
        </w:tc>
        <w:tc>
          <w:tcPr>
            <w:tcW w:w="706" w:type="pct"/>
            <w:vMerge w:val="continue"/>
            <w:tcBorders>
              <w:left w:val="nil"/>
              <w:bottom w:val="single" w:color="auto" w:sz="4" w:space="0"/>
              <w:right w:val="single" w:color="auto" w:sz="4" w:space="0"/>
            </w:tcBorders>
            <w:vAlign w:val="center"/>
          </w:tcPr>
          <w:p w14:paraId="59448595">
            <w:pPr>
              <w:jc w:val="center"/>
              <w:rPr>
                <w:rFonts w:hint="default" w:ascii="Times New Roman" w:hAnsi="Times New Roman" w:eastAsia="宋体" w:cs="Times New Roman"/>
                <w:szCs w:val="21"/>
              </w:rPr>
            </w:pPr>
          </w:p>
        </w:tc>
        <w:tc>
          <w:tcPr>
            <w:tcW w:w="783" w:type="pct"/>
            <w:tcBorders>
              <w:top w:val="single" w:color="auto" w:sz="4" w:space="0"/>
              <w:left w:val="nil"/>
              <w:bottom w:val="single" w:color="auto" w:sz="4" w:space="0"/>
              <w:right w:val="single" w:color="auto" w:sz="4" w:space="0"/>
            </w:tcBorders>
            <w:vAlign w:val="center"/>
          </w:tcPr>
          <w:p w14:paraId="20F0EFB0">
            <w:pPr>
              <w:jc w:val="center"/>
              <w:rPr>
                <w:rFonts w:hint="default" w:ascii="Times New Roman" w:hAnsi="Times New Roman" w:eastAsia="宋体" w:cs="Times New Roman"/>
                <w:szCs w:val="21"/>
              </w:rPr>
            </w:pPr>
            <w:r>
              <w:rPr>
                <w:rFonts w:hint="default" w:ascii="Times New Roman" w:hAnsi="Times New Roman" w:eastAsia="宋体" w:cs="Times New Roman"/>
                <w:szCs w:val="21"/>
              </w:rPr>
              <w:t>耐折性</w:t>
            </w:r>
          </w:p>
        </w:tc>
        <w:tc>
          <w:tcPr>
            <w:tcW w:w="2731" w:type="pct"/>
            <w:vMerge w:val="continue"/>
            <w:tcBorders>
              <w:left w:val="nil"/>
              <w:right w:val="single" w:color="auto" w:sz="4" w:space="0"/>
            </w:tcBorders>
          </w:tcPr>
          <w:p w14:paraId="25B4195A">
            <w:pPr>
              <w:spacing w:line="360" w:lineRule="auto"/>
              <w:jc w:val="center"/>
              <w:rPr>
                <w:rFonts w:hint="default" w:ascii="Times New Roman" w:hAnsi="Times New Roman" w:eastAsia="宋体" w:cs="Times New Roman"/>
                <w:szCs w:val="21"/>
              </w:rPr>
            </w:pPr>
          </w:p>
        </w:tc>
      </w:tr>
      <w:tr w14:paraId="29DA4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jc w:val="center"/>
        </w:trPr>
        <w:tc>
          <w:tcPr>
            <w:tcW w:w="778" w:type="pct"/>
            <w:tcBorders>
              <w:top w:val="single" w:color="auto" w:sz="4" w:space="0"/>
              <w:left w:val="single" w:color="auto" w:sz="4" w:space="0"/>
              <w:bottom w:val="single" w:color="auto" w:sz="4" w:space="0"/>
              <w:right w:val="single" w:color="auto" w:sz="4" w:space="0"/>
            </w:tcBorders>
            <w:vAlign w:val="center"/>
          </w:tcPr>
          <w:p w14:paraId="34DFBE8D">
            <w:pPr>
              <w:jc w:val="center"/>
              <w:rPr>
                <w:rFonts w:hint="default" w:ascii="Times New Roman" w:hAnsi="Times New Roman" w:eastAsia="宋体" w:cs="Times New Roman"/>
                <w:szCs w:val="21"/>
              </w:rPr>
            </w:pPr>
            <w:r>
              <w:rPr>
                <w:rFonts w:hint="default" w:ascii="Times New Roman" w:hAnsi="Times New Roman" w:eastAsia="宋体" w:cs="Times New Roman"/>
                <w:szCs w:val="21"/>
              </w:rPr>
              <w:t>5</w:t>
            </w:r>
          </w:p>
        </w:tc>
        <w:tc>
          <w:tcPr>
            <w:tcW w:w="706" w:type="pct"/>
            <w:tcBorders>
              <w:top w:val="single" w:color="auto" w:sz="4" w:space="0"/>
              <w:left w:val="nil"/>
              <w:bottom w:val="single" w:color="auto" w:sz="4" w:space="0"/>
              <w:right w:val="single" w:color="auto" w:sz="4" w:space="0"/>
            </w:tcBorders>
            <w:vAlign w:val="center"/>
          </w:tcPr>
          <w:p w14:paraId="4DF94B3F">
            <w:pPr>
              <w:jc w:val="center"/>
              <w:rPr>
                <w:rFonts w:hint="default" w:ascii="Times New Roman" w:hAnsi="Times New Roman" w:eastAsia="宋体" w:cs="Times New Roman"/>
                <w:szCs w:val="21"/>
              </w:rPr>
            </w:pPr>
            <w:r>
              <w:rPr>
                <w:rFonts w:hint="default" w:ascii="Times New Roman" w:hAnsi="Times New Roman" w:eastAsia="宋体" w:cs="Times New Roman"/>
                <w:szCs w:val="21"/>
              </w:rPr>
              <w:t>外底</w:t>
            </w:r>
          </w:p>
        </w:tc>
        <w:tc>
          <w:tcPr>
            <w:tcW w:w="783" w:type="pct"/>
            <w:tcBorders>
              <w:top w:val="single" w:color="auto" w:sz="4" w:space="0"/>
              <w:left w:val="nil"/>
              <w:bottom w:val="single" w:color="auto" w:sz="4" w:space="0"/>
              <w:right w:val="single" w:color="auto" w:sz="4" w:space="0"/>
            </w:tcBorders>
            <w:vAlign w:val="center"/>
          </w:tcPr>
          <w:p w14:paraId="2EEE63BE">
            <w:pPr>
              <w:jc w:val="center"/>
              <w:rPr>
                <w:rFonts w:hint="default" w:ascii="Times New Roman" w:hAnsi="Times New Roman" w:eastAsia="宋体" w:cs="Times New Roman"/>
                <w:szCs w:val="21"/>
              </w:rPr>
            </w:pPr>
            <w:r>
              <w:rPr>
                <w:rFonts w:hint="default" w:ascii="Times New Roman" w:hAnsi="Times New Roman" w:eastAsia="宋体" w:cs="Times New Roman"/>
                <w:szCs w:val="21"/>
              </w:rPr>
              <w:t>耐折性</w:t>
            </w:r>
          </w:p>
        </w:tc>
        <w:tc>
          <w:tcPr>
            <w:tcW w:w="2731" w:type="pct"/>
            <w:vMerge w:val="continue"/>
            <w:tcBorders>
              <w:left w:val="nil"/>
              <w:right w:val="single" w:color="auto" w:sz="4" w:space="0"/>
            </w:tcBorders>
          </w:tcPr>
          <w:p w14:paraId="62EEA0FB">
            <w:pPr>
              <w:spacing w:line="360" w:lineRule="auto"/>
              <w:jc w:val="center"/>
              <w:rPr>
                <w:rFonts w:hint="default" w:ascii="Times New Roman" w:hAnsi="Times New Roman" w:eastAsia="宋体" w:cs="Times New Roman"/>
                <w:szCs w:val="21"/>
              </w:rPr>
            </w:pPr>
          </w:p>
        </w:tc>
      </w:tr>
      <w:tr w14:paraId="4A915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jc w:val="center"/>
        </w:trPr>
        <w:tc>
          <w:tcPr>
            <w:tcW w:w="778" w:type="pct"/>
            <w:tcBorders>
              <w:top w:val="single" w:color="auto" w:sz="4" w:space="0"/>
              <w:left w:val="single" w:color="auto" w:sz="4" w:space="0"/>
              <w:bottom w:val="single" w:color="auto" w:sz="4" w:space="0"/>
              <w:right w:val="single" w:color="auto" w:sz="4" w:space="0"/>
            </w:tcBorders>
            <w:vAlign w:val="center"/>
          </w:tcPr>
          <w:p w14:paraId="4795827D">
            <w:pPr>
              <w:jc w:val="center"/>
              <w:rPr>
                <w:rFonts w:hint="default" w:ascii="Times New Roman" w:hAnsi="Times New Roman" w:eastAsia="宋体" w:cs="Times New Roman"/>
                <w:szCs w:val="21"/>
              </w:rPr>
            </w:pPr>
            <w:r>
              <w:rPr>
                <w:rFonts w:hint="default" w:ascii="Times New Roman" w:hAnsi="Times New Roman" w:eastAsia="宋体" w:cs="Times New Roman"/>
                <w:szCs w:val="21"/>
              </w:rPr>
              <w:t>6</w:t>
            </w:r>
          </w:p>
        </w:tc>
        <w:tc>
          <w:tcPr>
            <w:tcW w:w="706" w:type="pct"/>
            <w:vMerge w:val="restart"/>
            <w:tcBorders>
              <w:top w:val="single" w:color="auto" w:sz="4" w:space="0"/>
              <w:left w:val="nil"/>
              <w:right w:val="single" w:color="auto" w:sz="4" w:space="0"/>
            </w:tcBorders>
            <w:vAlign w:val="center"/>
          </w:tcPr>
          <w:p w14:paraId="2EA520E4">
            <w:pPr>
              <w:jc w:val="center"/>
              <w:rPr>
                <w:rFonts w:hint="default" w:ascii="Times New Roman" w:hAnsi="Times New Roman" w:eastAsia="宋体" w:cs="Times New Roman"/>
                <w:szCs w:val="21"/>
              </w:rPr>
            </w:pPr>
            <w:r>
              <w:rPr>
                <w:rFonts w:hint="default" w:ascii="Times New Roman" w:hAnsi="Times New Roman" w:eastAsia="宋体" w:cs="Times New Roman"/>
                <w:szCs w:val="21"/>
              </w:rPr>
              <w:t>足趾保护</w:t>
            </w:r>
          </w:p>
        </w:tc>
        <w:tc>
          <w:tcPr>
            <w:tcW w:w="783" w:type="pct"/>
            <w:tcBorders>
              <w:top w:val="single" w:color="auto" w:sz="4" w:space="0"/>
              <w:left w:val="nil"/>
              <w:bottom w:val="single" w:color="auto" w:sz="4" w:space="0"/>
              <w:right w:val="single" w:color="auto" w:sz="4" w:space="0"/>
            </w:tcBorders>
            <w:vAlign w:val="center"/>
          </w:tcPr>
          <w:p w14:paraId="66747F50">
            <w:pPr>
              <w:jc w:val="center"/>
              <w:rPr>
                <w:rFonts w:hint="default" w:ascii="Times New Roman" w:hAnsi="Times New Roman" w:eastAsia="宋体" w:cs="Times New Roman"/>
                <w:szCs w:val="21"/>
              </w:rPr>
            </w:pPr>
            <w:r>
              <w:rPr>
                <w:rFonts w:hint="default" w:ascii="Times New Roman" w:hAnsi="Times New Roman" w:eastAsia="宋体" w:cs="Times New Roman"/>
                <w:szCs w:val="21"/>
              </w:rPr>
              <w:t>抗冲击性</w:t>
            </w:r>
          </w:p>
        </w:tc>
        <w:tc>
          <w:tcPr>
            <w:tcW w:w="2731" w:type="pct"/>
            <w:vMerge w:val="continue"/>
            <w:tcBorders>
              <w:left w:val="nil"/>
              <w:right w:val="single" w:color="auto" w:sz="4" w:space="0"/>
            </w:tcBorders>
          </w:tcPr>
          <w:p w14:paraId="6F1F7F8E">
            <w:pPr>
              <w:spacing w:line="360" w:lineRule="auto"/>
              <w:jc w:val="center"/>
              <w:rPr>
                <w:rFonts w:hint="default" w:ascii="Times New Roman" w:hAnsi="Times New Roman" w:eastAsia="宋体" w:cs="Times New Roman"/>
                <w:szCs w:val="21"/>
              </w:rPr>
            </w:pPr>
          </w:p>
        </w:tc>
      </w:tr>
      <w:tr w14:paraId="0EF7A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jc w:val="center"/>
        </w:trPr>
        <w:tc>
          <w:tcPr>
            <w:tcW w:w="778" w:type="pct"/>
            <w:tcBorders>
              <w:top w:val="single" w:color="auto" w:sz="4" w:space="0"/>
              <w:left w:val="single" w:color="auto" w:sz="4" w:space="0"/>
              <w:bottom w:val="single" w:color="auto" w:sz="4" w:space="0"/>
              <w:right w:val="single" w:color="auto" w:sz="4" w:space="0"/>
            </w:tcBorders>
            <w:vAlign w:val="center"/>
          </w:tcPr>
          <w:p w14:paraId="50BD5113">
            <w:pPr>
              <w:jc w:val="center"/>
              <w:rPr>
                <w:rFonts w:hint="default" w:ascii="Times New Roman" w:hAnsi="Times New Roman" w:eastAsia="宋体" w:cs="Times New Roman"/>
                <w:szCs w:val="21"/>
              </w:rPr>
            </w:pPr>
            <w:r>
              <w:rPr>
                <w:rFonts w:hint="default" w:ascii="Times New Roman" w:hAnsi="Times New Roman" w:eastAsia="宋体" w:cs="Times New Roman"/>
                <w:szCs w:val="21"/>
              </w:rPr>
              <w:t>7</w:t>
            </w:r>
          </w:p>
        </w:tc>
        <w:tc>
          <w:tcPr>
            <w:tcW w:w="706" w:type="pct"/>
            <w:vMerge w:val="continue"/>
            <w:tcBorders>
              <w:left w:val="nil"/>
              <w:bottom w:val="single" w:color="auto" w:sz="4" w:space="0"/>
              <w:right w:val="single" w:color="auto" w:sz="4" w:space="0"/>
            </w:tcBorders>
            <w:vAlign w:val="center"/>
          </w:tcPr>
          <w:p w14:paraId="33749837">
            <w:pPr>
              <w:jc w:val="center"/>
              <w:rPr>
                <w:rFonts w:hint="default" w:ascii="Times New Roman" w:hAnsi="Times New Roman" w:eastAsia="宋体" w:cs="Times New Roman"/>
                <w:szCs w:val="21"/>
              </w:rPr>
            </w:pPr>
          </w:p>
        </w:tc>
        <w:tc>
          <w:tcPr>
            <w:tcW w:w="783" w:type="pct"/>
            <w:tcBorders>
              <w:top w:val="single" w:color="auto" w:sz="4" w:space="0"/>
              <w:left w:val="nil"/>
              <w:bottom w:val="single" w:color="auto" w:sz="4" w:space="0"/>
              <w:right w:val="single" w:color="auto" w:sz="4" w:space="0"/>
            </w:tcBorders>
            <w:vAlign w:val="center"/>
          </w:tcPr>
          <w:p w14:paraId="58B5FB5F">
            <w:pPr>
              <w:jc w:val="center"/>
              <w:rPr>
                <w:rFonts w:hint="default" w:ascii="Times New Roman" w:hAnsi="Times New Roman" w:eastAsia="宋体" w:cs="Times New Roman"/>
                <w:szCs w:val="21"/>
              </w:rPr>
            </w:pPr>
            <w:r>
              <w:rPr>
                <w:rFonts w:hint="default" w:ascii="Times New Roman" w:hAnsi="Times New Roman" w:eastAsia="宋体" w:cs="Times New Roman"/>
                <w:szCs w:val="21"/>
              </w:rPr>
              <w:t>耐压力性</w:t>
            </w:r>
          </w:p>
        </w:tc>
        <w:tc>
          <w:tcPr>
            <w:tcW w:w="2731" w:type="pct"/>
            <w:vMerge w:val="continue"/>
            <w:tcBorders>
              <w:left w:val="nil"/>
              <w:bottom w:val="single" w:color="auto" w:sz="4" w:space="0"/>
              <w:right w:val="single" w:color="auto" w:sz="4" w:space="0"/>
            </w:tcBorders>
          </w:tcPr>
          <w:p w14:paraId="6E5D463C">
            <w:pPr>
              <w:spacing w:line="360" w:lineRule="auto"/>
              <w:jc w:val="center"/>
              <w:rPr>
                <w:rFonts w:hint="default" w:ascii="Times New Roman" w:hAnsi="Times New Roman" w:eastAsia="宋体" w:cs="Times New Roman"/>
                <w:szCs w:val="21"/>
              </w:rPr>
            </w:pPr>
          </w:p>
        </w:tc>
      </w:tr>
    </w:tbl>
    <w:p w14:paraId="24B93347">
      <w:pPr>
        <w:spacing w:line="440" w:lineRule="exact"/>
        <w:ind w:firstLine="420" w:firstLineChars="200"/>
        <w:rPr>
          <w:rFonts w:hint="default" w:ascii="Times New Roman" w:hAnsi="Times New Roman" w:cs="Times New Roman"/>
          <w:color w:val="000000"/>
          <w:szCs w:val="21"/>
        </w:rPr>
      </w:pPr>
    </w:p>
    <w:p w14:paraId="6B4D30D1">
      <w:pPr>
        <w:spacing w:line="440" w:lineRule="exact"/>
        <w:ind w:firstLine="420" w:firstLineChars="200"/>
        <w:rPr>
          <w:rFonts w:hint="default" w:ascii="Times New Roman" w:hAnsi="Times New Roman" w:cs="Times New Roman"/>
          <w:color w:val="000000"/>
          <w:szCs w:val="21"/>
        </w:rPr>
      </w:pPr>
      <w:bookmarkStart w:id="0" w:name="_GoBack"/>
      <w:bookmarkEnd w:id="0"/>
      <w:r>
        <w:rPr>
          <w:rFonts w:hint="default" w:ascii="Times New Roman" w:hAnsi="Times New Roman" w:cs="Times New Roman"/>
          <w:color w:val="000000"/>
          <w:szCs w:val="21"/>
        </w:rPr>
        <w:t>执行企业标准、团体标准、地方标准的产品，检验项目参照上述内容执行。</w:t>
      </w:r>
    </w:p>
    <w:p w14:paraId="446572D9">
      <w:pPr>
        <w:spacing w:line="440" w:lineRule="exact"/>
        <w:ind w:firstLine="420" w:firstLineChars="200"/>
        <w:rPr>
          <w:rFonts w:hint="default" w:ascii="Times New Roman" w:hAnsi="Times New Roman" w:eastAsia="黑体" w:cs="Times New Roman"/>
          <w:color w:val="000000"/>
          <w:szCs w:val="21"/>
        </w:rPr>
      </w:pPr>
      <w:r>
        <w:rPr>
          <w:rFonts w:hint="default" w:ascii="Times New Roman" w:hAnsi="Times New Roman" w:cs="Times New Roman"/>
          <w:color w:val="000000"/>
          <w:szCs w:val="21"/>
        </w:rPr>
        <w:t>凡是注日期的文件，其随后所有的修改单（不包括勘误的内容）或修订版不适用于本细则。凡是不注日期的文件，其最新版本适用于本细则。</w:t>
      </w:r>
    </w:p>
    <w:p w14:paraId="7E7245BD">
      <w:pPr>
        <w:spacing w:line="360" w:lineRule="auto"/>
        <w:rPr>
          <w:rFonts w:hint="default" w:ascii="Times New Roman" w:hAnsi="Times New Roman" w:eastAsia="黑体" w:cs="Times New Roman"/>
          <w:color w:val="000000"/>
          <w:szCs w:val="21"/>
        </w:rPr>
      </w:pPr>
    </w:p>
    <w:p w14:paraId="383A8D77">
      <w:pPr>
        <w:spacing w:line="360" w:lineRule="auto"/>
        <w:rPr>
          <w:rFonts w:hint="default" w:ascii="Times New Roman" w:hAnsi="Times New Roman" w:eastAsia="黑体" w:cs="Times New Roman"/>
          <w:color w:val="000000"/>
          <w:szCs w:val="21"/>
        </w:rPr>
      </w:pPr>
      <w:r>
        <w:rPr>
          <w:rFonts w:hint="default" w:ascii="Times New Roman" w:hAnsi="Times New Roman" w:eastAsia="黑体" w:cs="Times New Roman"/>
          <w:color w:val="000000"/>
          <w:szCs w:val="21"/>
        </w:rPr>
        <w:t>3 判定规则</w:t>
      </w:r>
    </w:p>
    <w:p w14:paraId="43538E1D">
      <w:pPr>
        <w:snapToGrid w:val="0"/>
        <w:spacing w:line="440" w:lineRule="exact"/>
        <w:rPr>
          <w:rFonts w:hint="default" w:ascii="Times New Roman" w:hAnsi="Times New Roman" w:cs="Times New Roman"/>
          <w:color w:val="000000"/>
          <w:szCs w:val="21"/>
        </w:rPr>
      </w:pPr>
      <w:r>
        <w:rPr>
          <w:rFonts w:hint="default" w:ascii="Times New Roman" w:hAnsi="Times New Roman" w:cs="Times New Roman"/>
          <w:color w:val="000000"/>
          <w:szCs w:val="21"/>
        </w:rPr>
        <w:t>3.1依据标准</w:t>
      </w:r>
    </w:p>
    <w:p w14:paraId="6160B38B">
      <w:pPr>
        <w:snapToGrid w:val="0"/>
        <w:spacing w:line="440" w:lineRule="exact"/>
        <w:ind w:firstLine="359" w:firstLineChars="171"/>
        <w:rPr>
          <w:rFonts w:hint="default" w:ascii="Times New Roman" w:hAnsi="Times New Roman" w:cs="Times New Roman"/>
          <w:color w:val="000000"/>
          <w:szCs w:val="21"/>
        </w:rPr>
      </w:pPr>
      <w:r>
        <w:rPr>
          <w:rFonts w:hint="default" w:ascii="Times New Roman" w:hAnsi="Times New Roman" w:cs="Times New Roman"/>
          <w:color w:val="000000"/>
          <w:szCs w:val="21"/>
        </w:rPr>
        <w:t>GB 21148—2020 足部防护 安全鞋</w:t>
      </w:r>
    </w:p>
    <w:p w14:paraId="558D9060">
      <w:pPr>
        <w:snapToGrid w:val="0"/>
        <w:spacing w:line="440" w:lineRule="exact"/>
        <w:ind w:firstLine="359" w:firstLineChars="171"/>
        <w:rPr>
          <w:rFonts w:hint="default" w:ascii="Times New Roman" w:hAnsi="Times New Roman" w:cs="Times New Roman"/>
          <w:color w:val="000000"/>
          <w:szCs w:val="21"/>
        </w:rPr>
      </w:pPr>
      <w:r>
        <w:rPr>
          <w:rFonts w:hint="default" w:ascii="Times New Roman" w:hAnsi="Times New Roman" w:cs="Times New Roman"/>
          <w:color w:val="000000"/>
          <w:szCs w:val="21"/>
        </w:rPr>
        <w:t>现行有效的企业标准、团体标准、地方标准及产品明示质量要求</w:t>
      </w:r>
    </w:p>
    <w:p w14:paraId="2EBE7584">
      <w:pPr>
        <w:snapToGrid w:val="0"/>
        <w:spacing w:line="440" w:lineRule="exact"/>
        <w:rPr>
          <w:rFonts w:hint="default" w:ascii="Times New Roman" w:hAnsi="Times New Roman" w:cs="Times New Roman"/>
          <w:color w:val="000000"/>
          <w:szCs w:val="21"/>
        </w:rPr>
      </w:pPr>
      <w:r>
        <w:rPr>
          <w:rFonts w:hint="default" w:ascii="Times New Roman" w:hAnsi="Times New Roman" w:cs="Times New Roman"/>
          <w:color w:val="000000"/>
          <w:szCs w:val="21"/>
        </w:rPr>
        <w:t>3.2判定原则</w:t>
      </w:r>
    </w:p>
    <w:p w14:paraId="4A415B2A">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经检验，检验项目全部合格，判定为被抽查产品所检项目未发现不合格；检验项目中任一项或一项以上不合格，判定为被抽查产品不合格。</w:t>
      </w:r>
    </w:p>
    <w:p w14:paraId="33660221">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若被检产品明示的质量要求高于本细则中检验项目依据的标准要求时，应按被检产品明示的质量要求判定。</w:t>
      </w:r>
    </w:p>
    <w:p w14:paraId="27741C0C">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若被检产品明示的质量要求低于本细则中检验项目依据的强制性标准要求时，应按照强制性标准要求判定。</w:t>
      </w:r>
    </w:p>
    <w:p w14:paraId="60A8EDD2">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若被检产品明示的质量要求低于或包含本细则中检验项目依据的推荐性标准要求时，应以被检产品明示的质量要求判定。</w:t>
      </w:r>
    </w:p>
    <w:p w14:paraId="49F7B1DA">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若被检产品明示的质量要求缺少本细则中检验项目依据的强制性标准要求时，应按照强制性标准要求判定。</w:t>
      </w:r>
    </w:p>
    <w:p w14:paraId="0E6B18DC">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若被检产品明示的质量要求缺少本细则中检验项目依据的推荐性标准要求时，该项目不参与判定。</w:t>
      </w:r>
    </w:p>
    <w:p w14:paraId="5B18CD90">
      <w:pPr>
        <w:snapToGrid w:val="0"/>
        <w:spacing w:line="440" w:lineRule="exact"/>
        <w:ind w:firstLine="417" w:firstLineChars="199"/>
        <w:rPr>
          <w:rFonts w:hint="default" w:ascii="Times New Roman" w:hAnsi="Times New Roman" w:cs="Times New Roman"/>
          <w:color w:val="000000"/>
          <w:szCs w:val="21"/>
        </w:rPr>
      </w:pPr>
    </w:p>
    <w:p w14:paraId="3B956271">
      <w:pPr>
        <w:spacing w:line="440" w:lineRule="exact"/>
        <w:rPr>
          <w:rFonts w:hint="default" w:ascii="Times New Roman" w:hAnsi="Times New Roman" w:eastAsia="黑体" w:cs="Times New Roman"/>
          <w:color w:val="000000"/>
          <w:szCs w:val="21"/>
        </w:rPr>
      </w:pPr>
      <w:r>
        <w:rPr>
          <w:rFonts w:hint="default" w:ascii="Times New Roman" w:hAnsi="Times New Roman" w:eastAsia="黑体" w:cs="Times New Roman"/>
          <w:color w:val="000000"/>
          <w:szCs w:val="21"/>
        </w:rPr>
        <w:t>4 附则</w:t>
      </w:r>
    </w:p>
    <w:p w14:paraId="0E26B4E1">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本细则代替</w:t>
      </w:r>
      <w:r>
        <w:rPr>
          <w:rFonts w:hint="default" w:ascii="Times New Roman" w:hAnsi="Times New Roman" w:cs="Times New Roman"/>
          <w:szCs w:val="21"/>
        </w:rPr>
        <w:t>《市场监管总局关于</w:t>
      </w:r>
      <w:r>
        <w:rPr>
          <w:rFonts w:hint="default" w:ascii="Times New Roman" w:hAnsi="Times New Roman" w:cs="Times New Roman"/>
          <w:color w:val="000000"/>
          <w:szCs w:val="21"/>
        </w:rPr>
        <w:t>发布童车等76种产品质量监督抽查实施细则的公告》（2022年第19号）中的《保护足趾安全（防护）鞋产品质量国家监督抽查实施细则（2022年版）》。</w:t>
      </w:r>
    </w:p>
    <w:sectPr>
      <w:footerReference r:id="rId4" w:type="first"/>
      <w:footerReference r:id="rId3" w:type="default"/>
      <w:type w:val="continuous"/>
      <w:pgSz w:w="11906" w:h="16838"/>
      <w:pgMar w:top="1984" w:right="1474" w:bottom="1644" w:left="1474" w:header="851" w:footer="1191" w:gutter="0"/>
      <w:pgNumType w:start="1"/>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D1FB37">
    <w:pPr>
      <w:pStyle w:val="6"/>
      <w:jc w:val="center"/>
    </w:pPr>
    <w:r>
      <w:fldChar w:fldCharType="begin"/>
    </w:r>
    <w:r>
      <w:instrText xml:space="preserve">PAGE   \* MERGEFORMAT</w:instrText>
    </w:r>
    <w:r>
      <w:fldChar w:fldCharType="separate"/>
    </w:r>
    <w:r>
      <w:rPr>
        <w:lang w:val="zh-CN"/>
      </w:rPr>
      <w:t>2</w:t>
    </w:r>
    <w:r>
      <w:fldChar w:fldCharType="end"/>
    </w:r>
  </w:p>
  <w:p w14:paraId="589D8CC2">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96CA4">
    <w:pPr>
      <w:pStyle w:val="6"/>
      <w:jc w:val="center"/>
    </w:pPr>
    <w:r>
      <w:fldChar w:fldCharType="begin"/>
    </w:r>
    <w:r>
      <w:instrText xml:space="preserve">PAGE   \* MERGEFORMAT</w:instrText>
    </w:r>
    <w:r>
      <w:fldChar w:fldCharType="separate"/>
    </w:r>
    <w:r>
      <w:rPr>
        <w:lang w:val="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multilevel"/>
    <w:tmpl w:val="00000000"/>
    <w:lvl w:ilvl="0" w:tentative="0">
      <w:start w:val="1"/>
      <w:numFmt w:val="none"/>
      <w:pStyle w:val="28"/>
      <w:suff w:val="nothing"/>
      <w:lvlText w:val="%1"/>
      <w:lvlJc w:val="left"/>
      <w:pPr>
        <w:ind w:left="0" w:firstLine="0"/>
      </w:pPr>
      <w:rPr>
        <w:rFonts w:hint="default" w:ascii="Times New Roman" w:hAnsi="Times New Roman"/>
        <w:b/>
        <w:i w:val="0"/>
        <w:sz w:val="21"/>
      </w:rPr>
    </w:lvl>
    <w:lvl w:ilvl="1" w:tentative="0">
      <w:start w:val="1"/>
      <w:numFmt w:val="decimal"/>
      <w:pStyle w:val="29"/>
      <w:suff w:val="nothing"/>
      <w:lvlText w:val="%1%2　"/>
      <w:lvlJc w:val="left"/>
      <w:pPr>
        <w:ind w:left="0" w:firstLine="0"/>
      </w:pPr>
      <w:rPr>
        <w:rFonts w:hint="eastAsia" w:ascii="黑体" w:hAnsi="Times New Roman" w:eastAsia="黑体"/>
        <w:b w:val="0"/>
        <w:i w:val="0"/>
        <w:sz w:val="21"/>
      </w:rPr>
    </w:lvl>
    <w:lvl w:ilvl="2" w:tentative="0">
      <w:start w:val="1"/>
      <w:numFmt w:val="decimal"/>
      <w:pStyle w:val="30"/>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F7E3264"/>
    <w:rsid w:val="F7E7A3D6"/>
    <w:rsid w:val="FDBE53CA"/>
    <w:rsid w:val="FFFD75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99"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2">
    <w:name w:val="Default Paragraph Font"/>
    <w:qFormat/>
    <w:uiPriority w:val="1"/>
  </w:style>
  <w:style w:type="table" w:default="1" w:styleId="10">
    <w:name w:val="Normal Table"/>
    <w:qFormat/>
    <w:uiPriority w:val="99"/>
    <w:tblPr>
      <w:tblCellMar>
        <w:top w:w="0" w:type="dxa"/>
        <w:left w:w="108" w:type="dxa"/>
        <w:bottom w:w="0" w:type="dxa"/>
        <w:right w:w="108" w:type="dxa"/>
      </w:tblCellMar>
    </w:tblPr>
  </w:style>
  <w:style w:type="paragraph" w:styleId="2">
    <w:name w:val="annotation text"/>
    <w:basedOn w:val="1"/>
    <w:link w:val="25"/>
    <w:qFormat/>
    <w:uiPriority w:val="99"/>
    <w:pPr>
      <w:jc w:val="left"/>
    </w:pPr>
  </w:style>
  <w:style w:type="paragraph" w:styleId="3">
    <w:name w:val="Body Text Indent"/>
    <w:basedOn w:val="1"/>
    <w:link w:val="21"/>
    <w:qFormat/>
    <w:uiPriority w:val="0"/>
    <w:pPr>
      <w:ind w:firstLine="600" w:firstLineChars="200"/>
    </w:pPr>
    <w:rPr>
      <w:rFonts w:ascii="Times New Roman" w:hAnsi="Times New Roman" w:eastAsia="仿宋_GB2312"/>
      <w:sz w:val="30"/>
      <w:szCs w:val="24"/>
    </w:rPr>
  </w:style>
  <w:style w:type="paragraph" w:styleId="4">
    <w:name w:val="Plain Text"/>
    <w:basedOn w:val="1"/>
    <w:link w:val="15"/>
    <w:qFormat/>
    <w:uiPriority w:val="0"/>
    <w:rPr>
      <w:rFonts w:ascii="宋体" w:hAnsi="Courier New"/>
      <w:kern w:val="0"/>
      <w:sz w:val="20"/>
      <w:szCs w:val="20"/>
    </w:rPr>
  </w:style>
  <w:style w:type="paragraph" w:styleId="5">
    <w:name w:val="Balloon Text"/>
    <w:basedOn w:val="1"/>
    <w:link w:val="24"/>
    <w:qFormat/>
    <w:uiPriority w:val="99"/>
    <w:rPr>
      <w:sz w:val="18"/>
      <w:szCs w:val="18"/>
    </w:rPr>
  </w:style>
  <w:style w:type="paragraph" w:styleId="6">
    <w:name w:val="footer"/>
    <w:basedOn w:val="1"/>
    <w:link w:val="18"/>
    <w:qFormat/>
    <w:uiPriority w:val="99"/>
    <w:pPr>
      <w:tabs>
        <w:tab w:val="center" w:pos="4153"/>
        <w:tab w:val="right" w:pos="8306"/>
      </w:tabs>
      <w:snapToGrid w:val="0"/>
      <w:jc w:val="left"/>
    </w:pPr>
    <w:rPr>
      <w:sz w:val="18"/>
      <w:szCs w:val="18"/>
    </w:rPr>
  </w:style>
  <w:style w:type="paragraph" w:styleId="7">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link w:val="23"/>
    <w:qFormat/>
    <w:uiPriority w:val="99"/>
    <w:pPr>
      <w:spacing w:after="120"/>
      <w:ind w:left="420" w:leftChars="200"/>
    </w:pPr>
    <w:rPr>
      <w:sz w:val="16"/>
      <w:szCs w:val="16"/>
    </w:rPr>
  </w:style>
  <w:style w:type="paragraph" w:styleId="9">
    <w:name w:val="annotation subject"/>
    <w:basedOn w:val="2"/>
    <w:next w:val="2"/>
    <w:link w:val="26"/>
    <w:qFormat/>
    <w:uiPriority w:val="99"/>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styleId="14">
    <w:name w:val="annotation reference"/>
    <w:basedOn w:val="12"/>
    <w:qFormat/>
    <w:uiPriority w:val="99"/>
    <w:rPr>
      <w:sz w:val="21"/>
      <w:szCs w:val="21"/>
    </w:rPr>
  </w:style>
  <w:style w:type="character" w:customStyle="1" w:styleId="15">
    <w:name w:val="纯文本 字符"/>
    <w:basedOn w:val="12"/>
    <w:link w:val="4"/>
    <w:qFormat/>
    <w:uiPriority w:val="0"/>
    <w:rPr>
      <w:rFonts w:ascii="宋体" w:hAnsi="Courier New" w:eastAsia="宋体" w:cs="Times New Roman"/>
      <w:kern w:val="0"/>
      <w:sz w:val="20"/>
      <w:szCs w:val="20"/>
    </w:rPr>
  </w:style>
  <w:style w:type="paragraph" w:customStyle="1" w:styleId="16">
    <w:name w:val="列出段落1"/>
    <w:basedOn w:val="1"/>
    <w:qFormat/>
    <w:uiPriority w:val="34"/>
    <w:pPr>
      <w:ind w:firstLine="420" w:firstLineChars="200"/>
    </w:pPr>
  </w:style>
  <w:style w:type="character" w:customStyle="1" w:styleId="17">
    <w:name w:val="页眉 字符1"/>
    <w:basedOn w:val="12"/>
    <w:link w:val="7"/>
    <w:qFormat/>
    <w:uiPriority w:val="0"/>
    <w:rPr>
      <w:rFonts w:ascii="Calibri" w:hAnsi="Calibri" w:eastAsia="宋体" w:cs="Times New Roman"/>
      <w:sz w:val="18"/>
      <w:szCs w:val="18"/>
    </w:rPr>
  </w:style>
  <w:style w:type="character" w:customStyle="1" w:styleId="18">
    <w:name w:val="页脚 字符"/>
    <w:basedOn w:val="12"/>
    <w:link w:val="6"/>
    <w:qFormat/>
    <w:uiPriority w:val="99"/>
    <w:rPr>
      <w:rFonts w:ascii="Calibri" w:hAnsi="Calibri" w:eastAsia="宋体" w:cs="Times New Roman"/>
      <w:sz w:val="18"/>
      <w:szCs w:val="18"/>
    </w:rPr>
  </w:style>
  <w:style w:type="paragraph" w:styleId="19">
    <w:name w:val="List Paragraph"/>
    <w:basedOn w:val="1"/>
    <w:qFormat/>
    <w:uiPriority w:val="99"/>
    <w:pPr>
      <w:ind w:firstLine="420" w:firstLineChars="200"/>
    </w:pPr>
  </w:style>
  <w:style w:type="paragraph" w:customStyle="1" w:styleId="20">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character" w:customStyle="1" w:styleId="21">
    <w:name w:val="正文文本缩进 字符"/>
    <w:basedOn w:val="12"/>
    <w:link w:val="3"/>
    <w:qFormat/>
    <w:uiPriority w:val="0"/>
    <w:rPr>
      <w:rFonts w:ascii="Times New Roman" w:hAnsi="Times New Roman" w:eastAsia="仿宋_GB2312" w:cs="Times New Roman"/>
      <w:sz w:val="30"/>
      <w:szCs w:val="24"/>
    </w:rPr>
  </w:style>
  <w:style w:type="character" w:customStyle="1" w:styleId="22">
    <w:name w:val="页眉 字符"/>
    <w:qFormat/>
    <w:uiPriority w:val="0"/>
    <w:rPr>
      <w:kern w:val="2"/>
      <w:sz w:val="18"/>
      <w:szCs w:val="18"/>
    </w:rPr>
  </w:style>
  <w:style w:type="character" w:customStyle="1" w:styleId="23">
    <w:name w:val="正文文本缩进 3 字符"/>
    <w:basedOn w:val="12"/>
    <w:link w:val="8"/>
    <w:qFormat/>
    <w:uiPriority w:val="99"/>
    <w:rPr>
      <w:rFonts w:ascii="Calibri" w:hAnsi="Calibri" w:eastAsia="宋体" w:cs="Times New Roman"/>
      <w:sz w:val="16"/>
      <w:szCs w:val="16"/>
    </w:rPr>
  </w:style>
  <w:style w:type="character" w:customStyle="1" w:styleId="24">
    <w:name w:val="批注框文本 字符"/>
    <w:basedOn w:val="12"/>
    <w:link w:val="5"/>
    <w:qFormat/>
    <w:uiPriority w:val="99"/>
    <w:rPr>
      <w:rFonts w:ascii="Calibri" w:hAnsi="Calibri" w:eastAsia="宋体" w:cs="Times New Roman"/>
      <w:sz w:val="18"/>
      <w:szCs w:val="18"/>
    </w:rPr>
  </w:style>
  <w:style w:type="character" w:customStyle="1" w:styleId="25">
    <w:name w:val="批注文字 字符"/>
    <w:basedOn w:val="12"/>
    <w:link w:val="2"/>
    <w:qFormat/>
    <w:uiPriority w:val="99"/>
    <w:rPr>
      <w:rFonts w:ascii="Calibri" w:hAnsi="Calibri" w:eastAsia="宋体" w:cs="Times New Roman"/>
    </w:rPr>
  </w:style>
  <w:style w:type="character" w:customStyle="1" w:styleId="26">
    <w:name w:val="批注主题 字符"/>
    <w:basedOn w:val="25"/>
    <w:link w:val="9"/>
    <w:qFormat/>
    <w:uiPriority w:val="99"/>
    <w:rPr>
      <w:rFonts w:ascii="Calibri" w:hAnsi="Calibri" w:eastAsia="宋体" w:cs="Times New Roman"/>
      <w:b/>
      <w:bCs/>
    </w:rPr>
  </w:style>
  <w:style w:type="paragraph" w:customStyle="1" w:styleId="27">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28">
    <w:name w:val="前言、引言标题"/>
    <w:next w:val="1"/>
    <w:qFormat/>
    <w:uiPriority w:val="0"/>
    <w:pPr>
      <w:numPr>
        <w:ilvl w:val="0"/>
        <w:numId w:val="1"/>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9">
    <w:name w:val="章标题"/>
    <w:next w:val="1"/>
    <w:qFormat/>
    <w:uiPriority w:val="0"/>
    <w:pPr>
      <w:numPr>
        <w:ilvl w:val="1"/>
        <w:numId w:val="1"/>
      </w:numPr>
      <w:spacing w:beforeLines="50" w:afterLines="50"/>
      <w:jc w:val="both"/>
      <w:outlineLvl w:val="1"/>
    </w:pPr>
    <w:rPr>
      <w:rFonts w:ascii="黑体" w:hAnsi="Times New Roman" w:eastAsia="黑体" w:cs="Times New Roman"/>
      <w:sz w:val="21"/>
      <w:lang w:val="en-US" w:eastAsia="zh-CN" w:bidi="ar-SA"/>
    </w:rPr>
  </w:style>
  <w:style w:type="paragraph" w:customStyle="1" w:styleId="30">
    <w:name w:val="一级条标题"/>
    <w:next w:val="1"/>
    <w:qFormat/>
    <w:uiPriority w:val="0"/>
    <w:pPr>
      <w:numPr>
        <w:ilvl w:val="2"/>
        <w:numId w:val="1"/>
      </w:numPr>
      <w:outlineLvl w:val="2"/>
    </w:pPr>
    <w:rPr>
      <w:rFonts w:ascii="Times New Roman" w:hAnsi="Times New Roman" w:eastAsia="黑体" w:cs="Times New Roman"/>
      <w:sz w:val="21"/>
      <w:lang w:val="en-US" w:eastAsia="zh-CN" w:bidi="ar-SA"/>
    </w:rPr>
  </w:style>
  <w:style w:type="paragraph" w:customStyle="1" w:styleId="31">
    <w:name w:val="二级条标题"/>
    <w:basedOn w:val="30"/>
    <w:next w:val="1"/>
    <w:qFormat/>
    <w:uiPriority w:val="0"/>
    <w:pPr>
      <w:numPr>
        <w:ilvl w:val="3"/>
        <w:numId w:val="0"/>
      </w:numPr>
      <w:outlineLvl w:val="3"/>
    </w:pPr>
  </w:style>
  <w:style w:type="paragraph" w:customStyle="1" w:styleId="32">
    <w:name w:val="三级条标题"/>
    <w:basedOn w:val="31"/>
    <w:next w:val="1"/>
    <w:qFormat/>
    <w:uiPriority w:val="0"/>
    <w:pPr>
      <w:numPr>
        <w:ilvl w:val="4"/>
        <w:numId w:val="0"/>
      </w:numPr>
      <w:outlineLvl w:val="4"/>
    </w:pPr>
  </w:style>
  <w:style w:type="paragraph" w:customStyle="1" w:styleId="33">
    <w:name w:val="四级条标题"/>
    <w:basedOn w:val="32"/>
    <w:next w:val="1"/>
    <w:qFormat/>
    <w:uiPriority w:val="0"/>
    <w:pPr>
      <w:numPr>
        <w:ilvl w:val="5"/>
        <w:numId w:val="0"/>
      </w:numPr>
      <w:outlineLvl w:val="5"/>
    </w:pPr>
  </w:style>
  <w:style w:type="paragraph" w:customStyle="1" w:styleId="34">
    <w:name w:val="五级条标题"/>
    <w:basedOn w:val="33"/>
    <w:next w:val="1"/>
    <w:qFormat/>
    <w:uiPriority w:val="0"/>
    <w:pPr>
      <w:numPr>
        <w:ilvl w:val="6"/>
        <w:numId w:val="0"/>
      </w:numPr>
      <w:outlineLvl w:val="6"/>
    </w:pPr>
  </w:style>
  <w:style w:type="paragraph" w:customStyle="1" w:styleId="35">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table" w:customStyle="1" w:styleId="36">
    <w:name w:val="网格型1"/>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64E62378-8F2D-4A8E-ABB6-758999100F32}">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746</Words>
  <Characters>788</Characters>
  <Paragraphs>79</Paragraphs>
  <TotalTime>13</TotalTime>
  <ScaleCrop>false</ScaleCrop>
  <LinksUpToDate>false</LinksUpToDate>
  <CharactersWithSpaces>797</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2020-02-22T08:10:00Z</dcterms:created>
  <dc:creator>Windows 用户</dc:creator>
  <cp:lastModifiedBy>hasee</cp:lastModifiedBy>
  <cp:lastPrinted>2019-05-17T09:19:00Z</cp:lastPrinted>
  <dcterms:modified xsi:type="dcterms:W3CDTF">2026-04-22T15:58:39Z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1D32DE5B2FE248269ADE48184DA92BFD_13</vt:lpwstr>
  </property>
  <property fmtid="{D5CDD505-2E9C-101B-9397-08002B2CF9AE}" pid="4" name="KSOTemplateDocerSaveRecord">
    <vt:lpwstr>eyJoZGlkIjoiZmI2ZDA3ZGQ3NTQyODU5NWIzYTczNTE1NDU1NzQwNjAiLCJ1c2VySWQiOiI1OTQxMTgyMjIifQ==</vt:lpwstr>
  </property>
</Properties>
</file>