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陶瓷餐饮具产品</w:t>
      </w:r>
      <w:r>
        <w:rPr>
          <w:rFonts w:hint="default" w:ascii="Times New Roman" w:hAnsi="Times New Roman" w:eastAsia="方正小标宋简体" w:cs="Times New Roman"/>
          <w:color w:val="000000"/>
          <w:sz w:val="32"/>
          <w:szCs w:val="32"/>
        </w:rPr>
        <w:t>质量监督</w:t>
      </w:r>
      <w:r>
        <w:rPr>
          <w:rFonts w:hint="default" w:ascii="Times New Roman" w:hAnsi="Times New Roman" w:eastAsia="方正小标宋简体" w:cs="Times New Roman"/>
          <w:color w:val="000000"/>
          <w:sz w:val="32"/>
          <w:szCs w:val="32"/>
        </w:rPr>
        <w:t>抽查实施细则</w:t>
      </w:r>
    </w:p>
    <w:p>
      <w:pPr>
        <w:snapToGrid w:val="0"/>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w:t>
      </w:r>
      <w:r>
        <w:rPr>
          <w:rFonts w:hint="default" w:ascii="Times New Roman" w:hAnsi="Times New Roman" w:eastAsia="方正小标宋简体" w:cs="Times New Roman"/>
          <w:color w:val="000000"/>
          <w:sz w:val="32"/>
          <w:szCs w:val="32"/>
        </w:rPr>
        <w:t>02</w:t>
      </w:r>
      <w:r>
        <w:rPr>
          <w:rFonts w:hint="default" w:ascii="Times New Roman" w:hAnsi="Times New Roman" w:eastAsia="方正小标宋简体" w:cs="Times New Roman"/>
          <w:color w:val="000000"/>
          <w:sz w:val="32"/>
          <w:szCs w:val="32"/>
          <w:lang w:val="en-US" w:eastAsia="zh-CN"/>
        </w:rPr>
        <w:t>6</w:t>
      </w:r>
      <w:r>
        <w:rPr>
          <w:rFonts w:hint="default" w:ascii="Times New Roman" w:hAnsi="Times New Roman" w:eastAsia="方正小标宋简体" w:cs="Times New Roman"/>
          <w:color w:val="000000"/>
          <w:sz w:val="32"/>
          <w:szCs w:val="32"/>
        </w:rPr>
        <w:t>年版）</w:t>
      </w:r>
    </w:p>
    <w:p>
      <w:pPr>
        <w:snapToGrid w:val="0"/>
        <w:spacing w:line="440" w:lineRule="exact"/>
        <w:ind w:firstLine="359" w:firstLineChars="171"/>
        <w:rPr>
          <w:rFonts w:hint="default" w:ascii="Times New Roman" w:hAnsi="Times New Roman" w:cs="Times New Roman"/>
          <w:color w:val="000000"/>
          <w:szCs w:val="21"/>
        </w:rPr>
      </w:pPr>
    </w:p>
    <w:p>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1 抽样方法</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pPr>
        <w:snapToGrid w:val="0"/>
        <w:spacing w:line="440" w:lineRule="exact"/>
        <w:ind w:firstLine="420" w:firstLineChars="200"/>
        <w:rPr>
          <w:rFonts w:hint="default" w:ascii="Times New Roman" w:hAnsi="Times New Roman" w:eastAsia="宋体" w:cs="Times New Roman"/>
          <w:color w:val="000000"/>
          <w:szCs w:val="21"/>
          <w:lang w:val="en-US" w:eastAsia="zh-CN"/>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每</w:t>
      </w:r>
      <w:r>
        <w:rPr>
          <w:rFonts w:hint="default" w:ascii="Times New Roman" w:hAnsi="Times New Roman" w:cs="Times New Roman"/>
          <w:color w:val="000000"/>
          <w:szCs w:val="21"/>
          <w:lang w:val="en-US" w:eastAsia="zh-CN"/>
        </w:rPr>
        <w:t>批次</w:t>
      </w:r>
      <w:r>
        <w:rPr>
          <w:rFonts w:hint="default" w:ascii="Times New Roman" w:hAnsi="Times New Roman" w:cs="Times New Roman"/>
          <w:color w:val="000000"/>
          <w:szCs w:val="21"/>
        </w:rPr>
        <w:t>产品抽查总数</w:t>
      </w:r>
      <w:r>
        <w:rPr>
          <w:rFonts w:hint="default" w:ascii="Times New Roman" w:hAnsi="Times New Roman" w:cs="Times New Roman"/>
          <w:color w:val="000000"/>
          <w:szCs w:val="21"/>
          <w:lang w:val="en-US" w:eastAsia="zh-CN"/>
        </w:rPr>
        <w:t>26</w:t>
      </w:r>
      <w:r>
        <w:rPr>
          <w:rFonts w:hint="default" w:ascii="Times New Roman" w:hAnsi="Times New Roman" w:cs="Times New Roman"/>
          <w:color w:val="000000"/>
          <w:szCs w:val="21"/>
        </w:rPr>
        <w:t>个，其中1</w:t>
      </w:r>
      <w:r>
        <w:rPr>
          <w:rFonts w:hint="default" w:ascii="Times New Roman" w:hAnsi="Times New Roman" w:cs="Times New Roman"/>
          <w:color w:val="000000"/>
          <w:szCs w:val="21"/>
          <w:lang w:val="en-US" w:eastAsia="zh-CN"/>
        </w:rPr>
        <w:t>6</w:t>
      </w:r>
      <w:r>
        <w:rPr>
          <w:rFonts w:hint="default" w:ascii="Times New Roman" w:hAnsi="Times New Roman" w:cs="Times New Roman"/>
          <w:color w:val="000000"/>
          <w:szCs w:val="21"/>
        </w:rPr>
        <w:t>个作为检验样品。</w:t>
      </w:r>
      <w:r>
        <w:rPr>
          <w:rFonts w:hint="default" w:ascii="Times New Roman" w:hAnsi="Times New Roman" w:cs="Times New Roman"/>
          <w:color w:val="000000"/>
          <w:szCs w:val="21"/>
          <w:lang w:val="en-US" w:eastAsia="zh-CN"/>
        </w:rPr>
        <w:t>10</w:t>
      </w:r>
      <w:r>
        <w:rPr>
          <w:rFonts w:hint="default" w:ascii="Times New Roman" w:hAnsi="Times New Roman" w:cs="Times New Roman"/>
          <w:color w:val="000000"/>
          <w:szCs w:val="21"/>
        </w:rPr>
        <w:t>个作为备用样品。</w:t>
      </w:r>
    </w:p>
    <w:p>
      <w:pPr>
        <w:snapToGrid w:val="0"/>
        <w:spacing w:line="440" w:lineRule="exact"/>
        <w:rPr>
          <w:rFonts w:hint="default" w:ascii="Times New Roman" w:hAnsi="Times New Roman" w:cs="Times New Roman"/>
          <w:color w:val="000000"/>
          <w:szCs w:val="21"/>
        </w:rPr>
      </w:pPr>
    </w:p>
    <w:p>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2 检验依据</w:t>
      </w:r>
    </w:p>
    <w:p>
      <w:pPr>
        <w:snapToGrid w:val="0"/>
        <w:spacing w:line="440" w:lineRule="exact"/>
        <w:jc w:val="center"/>
        <w:rPr>
          <w:rFonts w:hint="default" w:ascii="Times New Roman" w:hAnsi="Times New Roman" w:cs="Times New Roman"/>
          <w:color w:val="000000"/>
        </w:rPr>
      </w:pP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3689"/>
        <w:gridCol w:w="4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pct"/>
          </w:tcPr>
          <w:p>
            <w:pPr>
              <w:snapToGrid w:val="0"/>
              <w:spacing w:line="440" w:lineRule="exact"/>
              <w:jc w:val="center"/>
              <w:rPr>
                <w:rFonts w:hint="default" w:ascii="Times New Roman" w:hAnsi="Times New Roman" w:cs="Times New Roman"/>
                <w:color w:val="000000"/>
              </w:rPr>
            </w:pPr>
            <w:r>
              <w:rPr>
                <w:rFonts w:hint="default" w:ascii="Times New Roman" w:hAnsi="Times New Roman" w:cs="Times New Roman"/>
                <w:color w:val="000000"/>
              </w:rPr>
              <w:t>序号</w:t>
            </w:r>
          </w:p>
        </w:tc>
        <w:tc>
          <w:tcPr>
            <w:tcW w:w="2011" w:type="pct"/>
          </w:tcPr>
          <w:p>
            <w:pPr>
              <w:snapToGrid w:val="0"/>
              <w:spacing w:line="440" w:lineRule="exact"/>
              <w:jc w:val="center"/>
              <w:rPr>
                <w:rFonts w:hint="default" w:ascii="Times New Roman" w:hAnsi="Times New Roman" w:cs="Times New Roman"/>
                <w:color w:val="000000"/>
              </w:rPr>
            </w:pPr>
            <w:r>
              <w:rPr>
                <w:rFonts w:hint="default" w:ascii="Times New Roman" w:hAnsi="Times New Roman" w:cs="Times New Roman"/>
                <w:color w:val="000000"/>
              </w:rPr>
              <w:t>检验项目</w:t>
            </w:r>
          </w:p>
        </w:tc>
        <w:tc>
          <w:tcPr>
            <w:tcW w:w="2393" w:type="pct"/>
          </w:tcPr>
          <w:p>
            <w:pPr>
              <w:snapToGrid w:val="0"/>
              <w:spacing w:line="440" w:lineRule="exact"/>
              <w:jc w:val="center"/>
              <w:rPr>
                <w:rFonts w:hint="default" w:ascii="Times New Roman" w:hAnsi="Times New Roman" w:cs="Times New Roman"/>
                <w:color w:val="000000"/>
              </w:rPr>
            </w:pPr>
            <w:r>
              <w:rPr>
                <w:rFonts w:hint="default" w:ascii="Times New Roman" w:hAnsi="Times New Roman" w:cs="Times New Roman"/>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595" w:type="pct"/>
            <w:vAlign w:val="center"/>
          </w:tcPr>
          <w:p>
            <w:pPr>
              <w:snapToGrid w:val="0"/>
              <w:spacing w:line="320" w:lineRule="exact"/>
              <w:jc w:val="center"/>
              <w:rPr>
                <w:rFonts w:hint="default" w:ascii="Times New Roman" w:hAnsi="Times New Roman" w:cs="Times New Roman"/>
                <w:color w:val="000000"/>
              </w:rPr>
            </w:pPr>
            <w:r>
              <w:rPr>
                <w:rFonts w:hint="default" w:ascii="Times New Roman" w:hAnsi="Times New Roman" w:cs="Times New Roman"/>
                <w:szCs w:val="21"/>
              </w:rPr>
              <w:t>1</w:t>
            </w:r>
          </w:p>
        </w:tc>
        <w:tc>
          <w:tcPr>
            <w:tcW w:w="2011" w:type="pct"/>
            <w:vAlign w:val="center"/>
          </w:tcPr>
          <w:p>
            <w:pPr>
              <w:snapToGrid w:val="0"/>
              <w:spacing w:line="320" w:lineRule="exact"/>
              <w:jc w:val="center"/>
              <w:rPr>
                <w:rFonts w:hint="default" w:ascii="Times New Roman" w:hAnsi="Times New Roman" w:cs="Times New Roman"/>
                <w:color w:val="000000"/>
              </w:rPr>
            </w:pPr>
            <w:r>
              <w:rPr>
                <w:rFonts w:hint="default" w:ascii="Times New Roman" w:hAnsi="Times New Roman" w:cs="Times New Roman"/>
                <w:szCs w:val="21"/>
              </w:rPr>
              <w:t>感官要求</w:t>
            </w:r>
          </w:p>
        </w:tc>
        <w:tc>
          <w:tcPr>
            <w:tcW w:w="2393" w:type="pct"/>
            <w:vAlign w:val="center"/>
          </w:tcPr>
          <w:p>
            <w:pPr>
              <w:snapToGrid w:val="0"/>
              <w:spacing w:line="320" w:lineRule="exact"/>
              <w:jc w:val="center"/>
              <w:rPr>
                <w:rFonts w:hint="default" w:ascii="Times New Roman" w:hAnsi="Times New Roman" w:eastAsia="宋体" w:cs="Times New Roman"/>
                <w:color w:val="000000"/>
                <w:lang w:val="en-US" w:eastAsia="zh-CN"/>
              </w:rPr>
            </w:pPr>
            <w:r>
              <w:rPr>
                <w:rFonts w:hint="default" w:ascii="Times New Roman" w:hAnsi="Times New Roman" w:cs="Times New Roman"/>
                <w:szCs w:val="21"/>
              </w:rPr>
              <w:t>GB 4806.4—2016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595" w:type="pct"/>
            <w:vAlign w:val="center"/>
          </w:tcPr>
          <w:p>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2</w:t>
            </w:r>
          </w:p>
        </w:tc>
        <w:tc>
          <w:tcPr>
            <w:tcW w:w="2011" w:type="pct"/>
            <w:vAlign w:val="center"/>
          </w:tcPr>
          <w:p>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铅迁移量</w:t>
            </w:r>
          </w:p>
        </w:tc>
        <w:tc>
          <w:tcPr>
            <w:tcW w:w="2393" w:type="pct"/>
            <w:vAlign w:val="center"/>
          </w:tcPr>
          <w:p>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 31604.34—2016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95" w:type="pct"/>
            <w:vAlign w:val="center"/>
          </w:tcPr>
          <w:p>
            <w:pPr>
              <w:snapToGrid w:val="0"/>
              <w:spacing w:line="320" w:lineRule="exact"/>
              <w:jc w:val="center"/>
              <w:rPr>
                <w:rFonts w:hint="default" w:ascii="Times New Roman" w:hAnsi="Times New Roman" w:cs="Times New Roman"/>
                <w:color w:val="000000"/>
                <w:szCs w:val="21"/>
              </w:rPr>
            </w:pPr>
            <w:r>
              <w:rPr>
                <w:rFonts w:hint="default" w:ascii="Times New Roman" w:hAnsi="Times New Roman" w:cs="Times New Roman"/>
                <w:szCs w:val="21"/>
              </w:rPr>
              <w:t>3</w:t>
            </w:r>
          </w:p>
        </w:tc>
        <w:tc>
          <w:tcPr>
            <w:tcW w:w="2011" w:type="pct"/>
            <w:vAlign w:val="center"/>
          </w:tcPr>
          <w:p>
            <w:pPr>
              <w:snapToGrid w:val="0"/>
              <w:spacing w:line="320" w:lineRule="exact"/>
              <w:jc w:val="center"/>
              <w:rPr>
                <w:rFonts w:hint="default" w:ascii="Times New Roman" w:hAnsi="Times New Roman" w:cs="Times New Roman"/>
                <w:color w:val="000000"/>
                <w:szCs w:val="21"/>
              </w:rPr>
            </w:pPr>
            <w:r>
              <w:rPr>
                <w:rFonts w:hint="default" w:ascii="Times New Roman" w:hAnsi="Times New Roman" w:cs="Times New Roman"/>
                <w:szCs w:val="21"/>
              </w:rPr>
              <w:t>镉迁移量</w:t>
            </w:r>
          </w:p>
        </w:tc>
        <w:tc>
          <w:tcPr>
            <w:tcW w:w="2393" w:type="pct"/>
            <w:vAlign w:val="center"/>
          </w:tcPr>
          <w:p>
            <w:pPr>
              <w:snapToGrid w:val="0"/>
              <w:spacing w:line="320" w:lineRule="exact"/>
              <w:jc w:val="center"/>
              <w:rPr>
                <w:rFonts w:hint="default" w:ascii="Times New Roman" w:hAnsi="Times New Roman" w:cs="Times New Roman"/>
                <w:color w:val="000000"/>
                <w:szCs w:val="21"/>
              </w:rPr>
            </w:pPr>
            <w:r>
              <w:rPr>
                <w:rFonts w:hint="default" w:ascii="Times New Roman" w:hAnsi="Times New Roman" w:cs="Times New Roman"/>
                <w:szCs w:val="21"/>
              </w:rPr>
              <w:t>GB 31604.24—2016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95" w:type="pct"/>
            <w:vAlign w:val="center"/>
          </w:tcPr>
          <w:p>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4</w:t>
            </w:r>
          </w:p>
        </w:tc>
        <w:tc>
          <w:tcPr>
            <w:tcW w:w="2011" w:type="pct"/>
            <w:vAlign w:val="center"/>
          </w:tcPr>
          <w:p>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抗热震性</w:t>
            </w:r>
          </w:p>
        </w:tc>
        <w:tc>
          <w:tcPr>
            <w:tcW w:w="2393" w:type="pct"/>
            <w:vAlign w:val="center"/>
          </w:tcPr>
          <w:p>
            <w:pPr>
              <w:snapToGrid w:val="0"/>
              <w:spacing w:line="32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GB/T 3298—2022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595" w:type="pct"/>
            <w:vAlign w:val="center"/>
          </w:tcPr>
          <w:p>
            <w:pPr>
              <w:jc w:val="center"/>
              <w:rPr>
                <w:rFonts w:hint="default" w:ascii="Times New Roman" w:hAnsi="Times New Roman" w:cs="Times New Roman"/>
                <w:color w:val="000000"/>
              </w:rPr>
            </w:pPr>
            <w:r>
              <w:rPr>
                <w:rFonts w:hint="default" w:ascii="Times New Roman" w:hAnsi="Times New Roman" w:cs="Times New Roman"/>
                <w:szCs w:val="21"/>
              </w:rPr>
              <w:t>5</w:t>
            </w:r>
          </w:p>
        </w:tc>
        <w:tc>
          <w:tcPr>
            <w:tcW w:w="2011" w:type="pct"/>
            <w:vAlign w:val="center"/>
          </w:tcPr>
          <w:p>
            <w:pPr>
              <w:snapToGrid w:val="0"/>
              <w:spacing w:line="320" w:lineRule="exact"/>
              <w:jc w:val="center"/>
              <w:rPr>
                <w:rFonts w:hint="default" w:ascii="Times New Roman" w:hAnsi="Times New Roman" w:cs="Times New Roman"/>
                <w:color w:val="000000"/>
              </w:rPr>
            </w:pPr>
            <w:r>
              <w:rPr>
                <w:rFonts w:hint="default" w:ascii="Times New Roman" w:hAnsi="Times New Roman" w:cs="Times New Roman"/>
                <w:szCs w:val="21"/>
              </w:rPr>
              <w:t>微波炉适应性</w:t>
            </w:r>
          </w:p>
        </w:tc>
        <w:tc>
          <w:tcPr>
            <w:tcW w:w="2393" w:type="pct"/>
            <w:vAlign w:val="center"/>
          </w:tcPr>
          <w:p>
            <w:pPr>
              <w:snapToGrid w:val="0"/>
              <w:spacing w:line="320" w:lineRule="exact"/>
              <w:ind w:firstLine="210" w:firstLineChars="100"/>
              <w:jc w:val="center"/>
              <w:rPr>
                <w:rFonts w:hint="default" w:ascii="Times New Roman" w:hAnsi="Times New Roman" w:cs="Times New Roman"/>
                <w:szCs w:val="21"/>
              </w:rPr>
            </w:pPr>
            <w:r>
              <w:rPr>
                <w:rFonts w:hint="default" w:ascii="Times New Roman" w:hAnsi="Times New Roman" w:cs="Times New Roman"/>
                <w:szCs w:val="21"/>
              </w:rPr>
              <w:t>GB/T 27587—2011</w:t>
            </w:r>
          </w:p>
          <w:p>
            <w:pPr>
              <w:snapToGrid w:val="0"/>
              <w:spacing w:line="320" w:lineRule="exact"/>
              <w:ind w:firstLine="210" w:firstLineChars="100"/>
              <w:jc w:val="center"/>
              <w:rPr>
                <w:rFonts w:hint="default" w:ascii="Times New Roman" w:hAnsi="Times New Roman" w:cs="Times New Roman"/>
                <w:szCs w:val="21"/>
                <w:lang w:val="en-US" w:eastAsia="zh-CN"/>
              </w:rPr>
            </w:pPr>
            <w:r>
              <w:rPr>
                <w:rFonts w:hint="default" w:ascii="Times New Roman" w:hAnsi="Times New Roman" w:cs="Times New Roman"/>
                <w:szCs w:val="21"/>
              </w:rPr>
              <w:t>GB/T 10814—2009</w:t>
            </w:r>
          </w:p>
          <w:p>
            <w:pPr>
              <w:snapToGrid w:val="0"/>
              <w:spacing w:line="320" w:lineRule="exact"/>
              <w:ind w:firstLine="210" w:firstLineChars="10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GB/T 3532—</w:t>
            </w:r>
            <w:r>
              <w:rPr>
                <w:rFonts w:hint="default" w:ascii="Times New Roman" w:hAnsi="Times New Roman" w:cs="Times New Roman"/>
                <w:szCs w:val="21"/>
                <w:lang w:val="en-US" w:eastAsia="zh-CN"/>
              </w:rPr>
              <w:t>2009</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pct"/>
            <w:vAlign w:val="center"/>
          </w:tcPr>
          <w:p>
            <w:pPr>
              <w:jc w:val="center"/>
              <w:rPr>
                <w:rFonts w:hint="default" w:ascii="Times New Roman" w:hAnsi="Times New Roman" w:cs="Times New Roman"/>
                <w:color w:val="000000"/>
              </w:rPr>
            </w:pPr>
            <w:r>
              <w:rPr>
                <w:rFonts w:hint="default" w:ascii="Times New Roman" w:hAnsi="Times New Roman" w:cs="Times New Roman"/>
                <w:szCs w:val="21"/>
              </w:rPr>
              <w:t>6</w:t>
            </w:r>
          </w:p>
        </w:tc>
        <w:tc>
          <w:tcPr>
            <w:tcW w:w="2011" w:type="pct"/>
            <w:vAlign w:val="center"/>
          </w:tcPr>
          <w:p>
            <w:pPr>
              <w:snapToGrid w:val="0"/>
              <w:spacing w:line="320" w:lineRule="exact"/>
              <w:jc w:val="center"/>
              <w:rPr>
                <w:rFonts w:hint="default" w:ascii="Times New Roman" w:hAnsi="Times New Roman" w:cs="Times New Roman"/>
                <w:color w:val="000000"/>
              </w:rPr>
            </w:pPr>
            <w:r>
              <w:rPr>
                <w:rFonts w:hint="default" w:ascii="Times New Roman" w:hAnsi="Times New Roman" w:cs="Times New Roman"/>
                <w:szCs w:val="21"/>
              </w:rPr>
              <w:t>冰箱到微波炉适应性</w:t>
            </w:r>
          </w:p>
        </w:tc>
        <w:tc>
          <w:tcPr>
            <w:tcW w:w="2393" w:type="pct"/>
            <w:vAlign w:val="center"/>
          </w:tcPr>
          <w:p>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34253—2017</w:t>
            </w:r>
          </w:p>
          <w:p>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10814—2009</w:t>
            </w:r>
          </w:p>
          <w:p>
            <w:pPr>
              <w:snapToGrid w:val="0"/>
              <w:spacing w:line="320" w:lineRule="exact"/>
              <w:jc w:val="center"/>
              <w:rPr>
                <w:rFonts w:hint="default" w:ascii="Times New Roman" w:hAnsi="Times New Roman" w:cs="Times New Roman"/>
                <w:szCs w:val="21"/>
                <w:lang w:val="en-US"/>
              </w:rPr>
            </w:pPr>
            <w:r>
              <w:rPr>
                <w:rFonts w:hint="default" w:ascii="Times New Roman" w:hAnsi="Times New Roman" w:cs="Times New Roman"/>
                <w:szCs w:val="21"/>
              </w:rPr>
              <w:t>GB/T 3532—</w:t>
            </w:r>
            <w:r>
              <w:rPr>
                <w:rFonts w:hint="default" w:ascii="Times New Roman" w:hAnsi="Times New Roman" w:cs="Times New Roman"/>
                <w:szCs w:val="21"/>
                <w:lang w:val="en-US" w:eastAsia="zh-CN"/>
              </w:rPr>
              <w:t>2009</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adjustRightInd w:val="0"/>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adjustRightInd w:val="0"/>
        <w:snapToGrid w:val="0"/>
        <w:spacing w:line="440" w:lineRule="exact"/>
        <w:ind w:firstLine="420" w:firstLineChars="200"/>
        <w:rPr>
          <w:rFonts w:hint="default" w:ascii="Times New Roman" w:hAnsi="Times New Roman" w:cs="Times New Roman"/>
          <w:color w:val="000000"/>
          <w:szCs w:val="21"/>
        </w:rPr>
      </w:pPr>
    </w:p>
    <w:p>
      <w:pPr>
        <w:spacing w:line="360" w:lineRule="auto"/>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w:t>
      </w:r>
      <w:r>
        <w:rPr>
          <w:rFonts w:hint="default" w:ascii="Times New Roman" w:hAnsi="Times New Roman" w:eastAsia="黑体" w:cs="Times New Roman"/>
          <w:color w:val="000000"/>
          <w:szCs w:val="21"/>
        </w:rPr>
        <w:t xml:space="preserve"> 判定规则</w:t>
      </w:r>
    </w:p>
    <w:p>
      <w:pPr>
        <w:snapToGrid w:val="0"/>
        <w:spacing w:line="440" w:lineRule="exact"/>
        <w:rPr>
          <w:rFonts w:hint="default" w:ascii="Times New Roman" w:hAnsi="Times New Roman" w:cs="Times New Roman"/>
          <w:color w:val="000000"/>
          <w:szCs w:val="21"/>
        </w:rPr>
      </w:pPr>
      <w:r>
        <w:rPr>
          <w:rFonts w:hint="default" w:ascii="Times New Roman" w:hAnsi="Times New Roman" w:eastAsia="黑体" w:cs="Times New Roman"/>
          <w:szCs w:val="21"/>
        </w:rPr>
        <w:t>3.1</w:t>
      </w:r>
      <w:r>
        <w:rPr>
          <w:rFonts w:hint="default" w:ascii="Times New Roman" w:hAnsi="Times New Roman" w:cs="Times New Roman"/>
          <w:color w:val="000000"/>
          <w:szCs w:val="21"/>
        </w:rPr>
        <w:t>依据标准</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 4806.4—2016</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食品安全国家标准  陶瓷制品</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3532—2022</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日用瓷器</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10811—2022</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釉下/中彩日用瓷器</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10812—2021</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玲珑日用瓷器</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10813.1—2015</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青瓷器 第1部分：日用青瓷器</w:t>
      </w:r>
    </w:p>
    <w:p>
      <w:pPr>
        <w:snapToGrid w:val="0"/>
        <w:spacing w:line="440" w:lineRule="exact"/>
        <w:ind w:firstLine="359" w:firstLineChars="171"/>
        <w:rPr>
          <w:rFonts w:hint="default" w:ascii="Times New Roman" w:hAnsi="Times New Roman" w:cs="Times New Roman"/>
          <w:color w:val="auto"/>
          <w:szCs w:val="21"/>
        </w:rPr>
      </w:pPr>
      <w:r>
        <w:rPr>
          <w:rFonts w:hint="default" w:ascii="Times New Roman" w:hAnsi="Times New Roman" w:cs="Times New Roman"/>
          <w:color w:val="auto"/>
          <w:szCs w:val="21"/>
        </w:rPr>
        <w:t>GB/T 10814—2009</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建白日用细瓷器</w:t>
      </w:r>
    </w:p>
    <w:p>
      <w:pPr>
        <w:snapToGrid w:val="0"/>
        <w:spacing w:line="440" w:lineRule="exact"/>
        <w:ind w:firstLine="359" w:firstLineChars="171"/>
        <w:rPr>
          <w:rFonts w:hint="default" w:ascii="Times New Roman" w:hAnsi="Times New Roman" w:cs="Times New Roman"/>
          <w:color w:val="auto"/>
          <w:szCs w:val="21"/>
        </w:rPr>
      </w:pPr>
      <w:r>
        <w:rPr>
          <w:rFonts w:hint="default" w:ascii="Times New Roman" w:hAnsi="Times New Roman" w:cs="Times New Roman"/>
          <w:color w:val="auto"/>
          <w:szCs w:val="21"/>
        </w:rPr>
        <w:t>GB/T 10815—2023</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日用精陶器</w:t>
      </w:r>
    </w:p>
    <w:p>
      <w:pPr>
        <w:snapToGrid w:val="0"/>
        <w:spacing w:line="440" w:lineRule="exact"/>
        <w:ind w:firstLine="359" w:firstLineChars="171"/>
        <w:rPr>
          <w:rFonts w:hint="default" w:ascii="Times New Roman" w:hAnsi="Times New Roman" w:cs="Times New Roman"/>
          <w:color w:val="auto"/>
          <w:szCs w:val="21"/>
        </w:rPr>
      </w:pPr>
      <w:r>
        <w:rPr>
          <w:rFonts w:hint="default" w:ascii="Times New Roman" w:hAnsi="Times New Roman" w:cs="Times New Roman"/>
          <w:color w:val="auto"/>
          <w:szCs w:val="21"/>
        </w:rPr>
        <w:t>GB/T 10816—20</w:t>
      </w:r>
      <w:r>
        <w:rPr>
          <w:rFonts w:hint="default" w:ascii="Times New Roman" w:hAnsi="Times New Roman" w:cs="Times New Roman"/>
          <w:color w:val="auto"/>
          <w:szCs w:val="21"/>
          <w:lang w:val="en-US" w:eastAsia="zh-CN"/>
        </w:rPr>
        <w:t xml:space="preserve">24 </w:t>
      </w:r>
      <w:r>
        <w:rPr>
          <w:rFonts w:hint="default" w:ascii="Times New Roman" w:hAnsi="Times New Roman" w:cs="Times New Roman"/>
          <w:color w:val="auto"/>
          <w:szCs w:val="21"/>
        </w:rPr>
        <w:t>紫砂陶器</w:t>
      </w:r>
    </w:p>
    <w:p>
      <w:pPr>
        <w:snapToGrid w:val="0"/>
        <w:spacing w:line="440" w:lineRule="exact"/>
        <w:ind w:firstLine="359" w:firstLineChars="171"/>
        <w:rPr>
          <w:rFonts w:hint="default" w:ascii="Times New Roman" w:hAnsi="Times New Roman" w:cs="Times New Roman"/>
          <w:color w:val="auto"/>
          <w:szCs w:val="21"/>
        </w:rPr>
      </w:pPr>
      <w:r>
        <w:rPr>
          <w:rFonts w:hint="default" w:ascii="Times New Roman" w:hAnsi="Times New Roman" w:cs="Times New Roman"/>
          <w:color w:val="auto"/>
          <w:szCs w:val="21"/>
        </w:rPr>
        <w:t>GB/T 13522—20</w:t>
      </w:r>
      <w:r>
        <w:rPr>
          <w:rFonts w:hint="default" w:ascii="Times New Roman" w:hAnsi="Times New Roman" w:cs="Times New Roman"/>
          <w:color w:val="auto"/>
          <w:szCs w:val="21"/>
          <w:lang w:val="en-US" w:eastAsia="zh-CN"/>
        </w:rPr>
        <w:t xml:space="preserve">24 </w:t>
      </w:r>
      <w:r>
        <w:rPr>
          <w:rFonts w:hint="default" w:ascii="Times New Roman" w:hAnsi="Times New Roman" w:cs="Times New Roman"/>
          <w:color w:val="auto"/>
          <w:szCs w:val="21"/>
        </w:rPr>
        <w:t>骨质瓷器</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28114—2011</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镁质强化瓷器</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28115—2011</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高石英瓷器</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29491—2013</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日用白云陶器</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color w:val="000000"/>
          <w:szCs w:val="21"/>
        </w:rPr>
      </w:pPr>
      <w:r>
        <w:rPr>
          <w:rFonts w:hint="default" w:ascii="Times New Roman" w:hAnsi="Times New Roman" w:eastAsia="黑体" w:cs="Times New Roman"/>
          <w:szCs w:val="21"/>
        </w:rPr>
        <w:t>3.2</w:t>
      </w:r>
      <w:r>
        <w:rPr>
          <w:rFonts w:hint="default" w:ascii="Times New Roman" w:hAnsi="Times New Roman" w:cs="Times New Roman"/>
          <w:color w:val="000000"/>
          <w:szCs w:val="21"/>
        </w:rPr>
        <w:t>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w:t>
      </w:r>
      <w:r>
        <w:rPr>
          <w:rFonts w:hint="default" w:ascii="Times New Roman" w:hAnsi="Times New Roman" w:cs="Times New Roman"/>
          <w:color w:val="000000"/>
          <w:szCs w:val="21"/>
        </w:rPr>
        <w:t>所检项目未发现不</w:t>
      </w:r>
      <w:r>
        <w:rPr>
          <w:rFonts w:hint="default" w:ascii="Times New Roman" w:hAnsi="Times New Roman" w:cs="Times New Roman"/>
          <w:color w:val="000000"/>
          <w:szCs w:val="21"/>
        </w:rPr>
        <w:t>合格</w:t>
      </w:r>
      <w:r>
        <w:rPr>
          <w:rFonts w:hint="default" w:ascii="Times New Roman" w:hAnsi="Times New Roman" w:cs="Times New Roman"/>
          <w:color w:val="000000"/>
          <w:szCs w:val="21"/>
        </w:rPr>
        <w:t>；检验项目中任一项或一项以上不合格，判定为被抽查产品不合格。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adjustRightInd w:val="0"/>
        <w:snapToGrid w:val="0"/>
        <w:spacing w:line="440" w:lineRule="exact"/>
        <w:ind w:firstLine="420" w:firstLineChars="200"/>
        <w:rPr>
          <w:rFonts w:hint="default" w:ascii="Times New Roman" w:hAnsi="Times New Roman" w:cs="Times New Roman"/>
          <w:color w:val="000000"/>
          <w:szCs w:val="21"/>
        </w:rPr>
      </w:pPr>
    </w:p>
    <w:p>
      <w:pPr>
        <w:spacing w:line="360" w:lineRule="auto"/>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4 附则</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本细则代替《市场监管总局关于发布服务器等147种产品质量监督抽查实施细则的公告》（202</w:t>
      </w:r>
      <w:r>
        <w:rPr>
          <w:rFonts w:hint="default" w:ascii="Times New Roman" w:hAnsi="Times New Roman" w:cs="Times New Roman"/>
          <w:color w:val="000000"/>
          <w:szCs w:val="21"/>
          <w:lang w:val="en-US" w:eastAsia="zh-CN"/>
        </w:rPr>
        <w:t>4</w:t>
      </w:r>
      <w:r>
        <w:rPr>
          <w:rFonts w:hint="default" w:ascii="Times New Roman" w:hAnsi="Times New Roman" w:cs="Times New Roman"/>
          <w:color w:val="000000"/>
          <w:szCs w:val="21"/>
        </w:rPr>
        <w:t>年第</w:t>
      </w:r>
      <w:r>
        <w:rPr>
          <w:rFonts w:hint="default" w:ascii="Times New Roman" w:hAnsi="Times New Roman" w:cs="Times New Roman"/>
          <w:color w:val="000000"/>
          <w:szCs w:val="21"/>
          <w:lang w:val="en-US" w:eastAsia="zh-CN"/>
        </w:rPr>
        <w:t>20</w:t>
      </w:r>
      <w:r>
        <w:rPr>
          <w:rFonts w:hint="default" w:ascii="Times New Roman" w:hAnsi="Times New Roman" w:cs="Times New Roman"/>
          <w:color w:val="000000"/>
          <w:szCs w:val="21"/>
        </w:rPr>
        <w:t>号）中的《日用陶瓷餐饮具产品质量监督抽查实施细则</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lang w:val="en-US" w:eastAsia="zh-CN"/>
        </w:rPr>
        <w:t>2024年版</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w:t>
      </w:r>
    </w:p>
    <w:p>
      <w:pPr>
        <w:snapToGrid w:val="0"/>
        <w:spacing w:line="440" w:lineRule="exact"/>
        <w:rPr>
          <w:rFonts w:hint="default" w:ascii="Times New Roman" w:hAnsi="Times New Roman" w:cs="Times New Roman"/>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仿宋简体">
    <w:altName w:val="仿宋"/>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sz w:val="21"/>
        <w:szCs w:val="24"/>
      </w:rPr>
    </w:pPr>
    <w:r>
      <w:fldChar w:fldCharType="begin"/>
    </w:r>
    <w:r>
      <w:rPr>
        <w:rStyle w:val="10"/>
      </w:rPr>
      <w:instrText xml:space="preserve">PAGE  </w:instrText>
    </w:r>
    <w:r>
      <w:fldChar w:fldCharType="separate"/>
    </w:r>
    <w:r>
      <w:rPr>
        <w:rStyle w:val="10"/>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5ZjZiMGFmNzJkMTc3YTk5MTBjOGNjMzBmNTg4MTgifQ=="/>
  </w:docVars>
  <w:rsids>
    <w:rsidRoot w:val="00172A27"/>
    <w:rsid w:val="00040DC0"/>
    <w:rsid w:val="0004443B"/>
    <w:rsid w:val="00051A44"/>
    <w:rsid w:val="00064A3C"/>
    <w:rsid w:val="000730E6"/>
    <w:rsid w:val="00074B6A"/>
    <w:rsid w:val="00081CBD"/>
    <w:rsid w:val="000976DE"/>
    <w:rsid w:val="000B5ABF"/>
    <w:rsid w:val="00123D1C"/>
    <w:rsid w:val="00172A27"/>
    <w:rsid w:val="001809DD"/>
    <w:rsid w:val="00193652"/>
    <w:rsid w:val="001950A8"/>
    <w:rsid w:val="001A3E0B"/>
    <w:rsid w:val="001A7FB8"/>
    <w:rsid w:val="001D678F"/>
    <w:rsid w:val="00207BDC"/>
    <w:rsid w:val="00212945"/>
    <w:rsid w:val="00232530"/>
    <w:rsid w:val="00253624"/>
    <w:rsid w:val="002A5836"/>
    <w:rsid w:val="002D7F8A"/>
    <w:rsid w:val="002E0D1D"/>
    <w:rsid w:val="003048C1"/>
    <w:rsid w:val="003203A3"/>
    <w:rsid w:val="0035192B"/>
    <w:rsid w:val="00365449"/>
    <w:rsid w:val="00365CBE"/>
    <w:rsid w:val="003A7D30"/>
    <w:rsid w:val="003C388C"/>
    <w:rsid w:val="003D09A1"/>
    <w:rsid w:val="003E61BF"/>
    <w:rsid w:val="004104AC"/>
    <w:rsid w:val="00445E86"/>
    <w:rsid w:val="0045434D"/>
    <w:rsid w:val="00474E04"/>
    <w:rsid w:val="00482B3F"/>
    <w:rsid w:val="004872CB"/>
    <w:rsid w:val="0049337A"/>
    <w:rsid w:val="004B4FBE"/>
    <w:rsid w:val="004B7547"/>
    <w:rsid w:val="004D0C5A"/>
    <w:rsid w:val="004D184C"/>
    <w:rsid w:val="004E1396"/>
    <w:rsid w:val="004E6C21"/>
    <w:rsid w:val="00555CB7"/>
    <w:rsid w:val="00563EBC"/>
    <w:rsid w:val="005B61EA"/>
    <w:rsid w:val="006D3B38"/>
    <w:rsid w:val="006E1171"/>
    <w:rsid w:val="006F0971"/>
    <w:rsid w:val="006F715F"/>
    <w:rsid w:val="0072334C"/>
    <w:rsid w:val="007410EE"/>
    <w:rsid w:val="00777B55"/>
    <w:rsid w:val="007A6AF1"/>
    <w:rsid w:val="00811F32"/>
    <w:rsid w:val="00895BEA"/>
    <w:rsid w:val="008A3497"/>
    <w:rsid w:val="008C0F90"/>
    <w:rsid w:val="008C5C28"/>
    <w:rsid w:val="00903564"/>
    <w:rsid w:val="00905D89"/>
    <w:rsid w:val="00917A54"/>
    <w:rsid w:val="00923463"/>
    <w:rsid w:val="00985A27"/>
    <w:rsid w:val="00997E2B"/>
    <w:rsid w:val="009C292B"/>
    <w:rsid w:val="00A23D98"/>
    <w:rsid w:val="00A30B04"/>
    <w:rsid w:val="00A43553"/>
    <w:rsid w:val="00A575F7"/>
    <w:rsid w:val="00A64D40"/>
    <w:rsid w:val="00A967B8"/>
    <w:rsid w:val="00AC5391"/>
    <w:rsid w:val="00AF21AE"/>
    <w:rsid w:val="00B10D81"/>
    <w:rsid w:val="00B65F23"/>
    <w:rsid w:val="00BA18AD"/>
    <w:rsid w:val="00BA4112"/>
    <w:rsid w:val="00BD0FD7"/>
    <w:rsid w:val="00BD724E"/>
    <w:rsid w:val="00BF2B8C"/>
    <w:rsid w:val="00C26074"/>
    <w:rsid w:val="00C26209"/>
    <w:rsid w:val="00C411FE"/>
    <w:rsid w:val="00C83B0A"/>
    <w:rsid w:val="00CC7987"/>
    <w:rsid w:val="00CD0B37"/>
    <w:rsid w:val="00CE1E0C"/>
    <w:rsid w:val="00CE277E"/>
    <w:rsid w:val="00CF76CE"/>
    <w:rsid w:val="00D14F61"/>
    <w:rsid w:val="00D56867"/>
    <w:rsid w:val="00D57E79"/>
    <w:rsid w:val="00D61501"/>
    <w:rsid w:val="00D93C08"/>
    <w:rsid w:val="00DD1886"/>
    <w:rsid w:val="00E01AA3"/>
    <w:rsid w:val="00E02A7F"/>
    <w:rsid w:val="00E07880"/>
    <w:rsid w:val="00E14E9A"/>
    <w:rsid w:val="00E32E0F"/>
    <w:rsid w:val="00E50E7E"/>
    <w:rsid w:val="00E82621"/>
    <w:rsid w:val="00E90475"/>
    <w:rsid w:val="00EA2E5A"/>
    <w:rsid w:val="00EC292A"/>
    <w:rsid w:val="00F279FA"/>
    <w:rsid w:val="00F52A55"/>
    <w:rsid w:val="00F77C9A"/>
    <w:rsid w:val="00FB576C"/>
    <w:rsid w:val="00FC1A14"/>
    <w:rsid w:val="00FC2E9E"/>
    <w:rsid w:val="00FD2AA6"/>
    <w:rsid w:val="00FE7E8A"/>
    <w:rsid w:val="0374413D"/>
    <w:rsid w:val="04212517"/>
    <w:rsid w:val="0D605732"/>
    <w:rsid w:val="0DE26548"/>
    <w:rsid w:val="181B1EE9"/>
    <w:rsid w:val="18A710D3"/>
    <w:rsid w:val="1A2521DD"/>
    <w:rsid w:val="23EB5DDD"/>
    <w:rsid w:val="25CC175F"/>
    <w:rsid w:val="2B656E08"/>
    <w:rsid w:val="31B859B9"/>
    <w:rsid w:val="34C6246B"/>
    <w:rsid w:val="37016482"/>
    <w:rsid w:val="3CF653F9"/>
    <w:rsid w:val="3F7E8ECE"/>
    <w:rsid w:val="40FE4A6B"/>
    <w:rsid w:val="49557320"/>
    <w:rsid w:val="4E5263F6"/>
    <w:rsid w:val="4FC76963"/>
    <w:rsid w:val="556F0D8A"/>
    <w:rsid w:val="568B24D8"/>
    <w:rsid w:val="5C974299"/>
    <w:rsid w:val="5F2B5CBD"/>
    <w:rsid w:val="61795C61"/>
    <w:rsid w:val="62644844"/>
    <w:rsid w:val="6272057A"/>
    <w:rsid w:val="64562385"/>
    <w:rsid w:val="64FC7722"/>
    <w:rsid w:val="6979104B"/>
    <w:rsid w:val="69B83AA1"/>
    <w:rsid w:val="6A1A3E14"/>
    <w:rsid w:val="6C975005"/>
    <w:rsid w:val="6ED71EF3"/>
    <w:rsid w:val="7A1D0398"/>
    <w:rsid w:val="7A543209"/>
    <w:rsid w:val="7D641B1E"/>
    <w:rsid w:val="7FFD7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ody Text"/>
    <w:basedOn w:val="1"/>
    <w:link w:val="24"/>
    <w:qFormat/>
    <w:uiPriority w:val="1"/>
    <w:pPr>
      <w:spacing w:before="166"/>
      <w:ind w:left="101"/>
    </w:pPr>
    <w:rPr>
      <w:rFonts w:ascii="宋体" w:hAnsi="宋体"/>
      <w:szCs w:val="21"/>
      <w:lang w:val="zh-CN"/>
    </w:rPr>
  </w:style>
  <w:style w:type="paragraph" w:styleId="4">
    <w:name w:val="Balloon Text"/>
    <w:basedOn w:val="1"/>
    <w:link w:val="13"/>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unhideWhenUsed/>
    <w:qFormat/>
    <w:uiPriority w:val="99"/>
    <w:rPr>
      <w:b/>
      <w:bCs/>
    </w:rPr>
  </w:style>
  <w:style w:type="character" w:styleId="10">
    <w:name w:val="page number"/>
    <w:qFormat/>
    <w:uiPriority w:val="0"/>
  </w:style>
  <w:style w:type="character" w:styleId="11">
    <w:name w:val="annotation reference"/>
    <w:unhideWhenUsed/>
    <w:qFormat/>
    <w:uiPriority w:val="99"/>
    <w:rPr>
      <w:sz w:val="21"/>
      <w:szCs w:val="21"/>
    </w:rPr>
  </w:style>
  <w:style w:type="character" w:customStyle="1" w:styleId="12">
    <w:name w:val="批注文字 字符"/>
    <w:link w:val="2"/>
    <w:semiHidden/>
    <w:qFormat/>
    <w:uiPriority w:val="99"/>
    <w:rPr>
      <w:kern w:val="2"/>
      <w:sz w:val="21"/>
      <w:szCs w:val="24"/>
    </w:rPr>
  </w:style>
  <w:style w:type="character" w:customStyle="1" w:styleId="13">
    <w:name w:val="批注框文本 字符"/>
    <w:link w:val="4"/>
    <w:qFormat/>
    <w:uiPriority w:val="99"/>
    <w:rPr>
      <w:kern w:val="2"/>
      <w:sz w:val="18"/>
      <w:szCs w:val="18"/>
    </w:rPr>
  </w:style>
  <w:style w:type="character" w:customStyle="1" w:styleId="14">
    <w:name w:val="页脚 字符"/>
    <w:link w:val="5"/>
    <w:qFormat/>
    <w:uiPriority w:val="99"/>
    <w:rPr>
      <w:kern w:val="2"/>
      <w:sz w:val="18"/>
      <w:szCs w:val="18"/>
    </w:rPr>
  </w:style>
  <w:style w:type="character" w:customStyle="1" w:styleId="15">
    <w:name w:val="页眉 字符"/>
    <w:link w:val="6"/>
    <w:semiHidden/>
    <w:qFormat/>
    <w:uiPriority w:val="99"/>
    <w:rPr>
      <w:kern w:val="2"/>
      <w:sz w:val="18"/>
      <w:szCs w:val="18"/>
    </w:rPr>
  </w:style>
  <w:style w:type="character" w:customStyle="1" w:styleId="16">
    <w:name w:val="批注主题 字符"/>
    <w:link w:val="7"/>
    <w:semiHidden/>
    <w:qFormat/>
    <w:uiPriority w:val="99"/>
    <w:rPr>
      <w:b/>
      <w:bCs/>
      <w:kern w:val="2"/>
      <w:sz w:val="21"/>
      <w:szCs w:val="24"/>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19">
    <w:name w:val="页脚 Char"/>
    <w:qFormat/>
    <w:uiPriority w:val="99"/>
    <w:rPr>
      <w:kern w:val="2"/>
      <w:sz w:val="18"/>
      <w:szCs w:val="18"/>
    </w:rPr>
  </w:style>
  <w:style w:type="character" w:customStyle="1" w:styleId="20">
    <w:name w:val="页眉 Char"/>
    <w:semiHidden/>
    <w:qFormat/>
    <w:uiPriority w:val="99"/>
    <w:rPr>
      <w:kern w:val="2"/>
      <w:sz w:val="18"/>
      <w:szCs w:val="18"/>
    </w:rPr>
  </w:style>
  <w:style w:type="character" w:customStyle="1" w:styleId="21">
    <w:name w:val="批注框文本 Char"/>
    <w:semiHidden/>
    <w:qFormat/>
    <w:uiPriority w:val="99"/>
    <w:rPr>
      <w:kern w:val="2"/>
      <w:sz w:val="18"/>
      <w:szCs w:val="18"/>
    </w:rPr>
  </w:style>
  <w:style w:type="paragraph" w:customStyle="1" w:styleId="22">
    <w:name w:val="列出段落2"/>
    <w:basedOn w:val="1"/>
    <w:qFormat/>
    <w:uiPriority w:val="0"/>
    <w:pPr>
      <w:ind w:firstLine="420" w:firstLineChars="200"/>
    </w:pPr>
    <w:rPr>
      <w:rFonts w:ascii="Calibri" w:hAnsi="Calibri"/>
      <w:szCs w:val="22"/>
    </w:rPr>
  </w:style>
  <w:style w:type="character" w:customStyle="1" w:styleId="23">
    <w:name w:val="正文文本 字符"/>
    <w:basedOn w:val="9"/>
    <w:semiHidden/>
    <w:qFormat/>
    <w:uiPriority w:val="99"/>
    <w:rPr>
      <w:kern w:val="2"/>
      <w:sz w:val="21"/>
      <w:szCs w:val="24"/>
    </w:rPr>
  </w:style>
  <w:style w:type="character" w:customStyle="1" w:styleId="24">
    <w:name w:val="正文文本 字符1"/>
    <w:link w:val="3"/>
    <w:qFormat/>
    <w:uiPriority w:val="1"/>
    <w:rPr>
      <w:rFonts w:ascii="宋体" w:hAnsi="宋体"/>
      <w:kern w:val="2"/>
      <w:sz w:val="21"/>
      <w:szCs w:val="21"/>
      <w:lang w:val="zh-CN" w:eastAsia="zh-CN"/>
    </w:rPr>
  </w:style>
  <w:style w:type="character" w:customStyle="1" w:styleId="25">
    <w:name w:val="批注文字 Char"/>
    <w:basedOn w:val="9"/>
    <w:qFormat/>
    <w:uiPriority w:val="99"/>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865</Words>
  <Characters>1542</Characters>
  <Lines>8</Lines>
  <Paragraphs>2</Paragraphs>
  <TotalTime>10</TotalTime>
  <ScaleCrop>false</ScaleCrop>
  <LinksUpToDate>false</LinksUpToDate>
  <CharactersWithSpaces>1618</CharactersWithSpaces>
  <Application>WPS Office_11.8.0.12357_F1E327BC-269C-435d-A152-05C5408002CA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2004-08-06T11:45:00Z</dcterms:created>
  <dc:creator>Administrator</dc:creator>
  <cp:lastModifiedBy>oa</cp:lastModifiedBy>
  <cp:lastPrinted>2024-03-04T15:46:00Z</cp:lastPrinted>
  <dcterms:modified xsi:type="dcterms:W3CDTF">2026-04-23T16:55:44Z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2052-11.8.0.12357</vt:lpwstr>
  </property>
  <property fmtid="{D5CDD505-2E9C-101B-9397-08002B2CF9AE}" pid="3" name="commondata">
    <vt:lpwstr>eyJoZGlkIjoiNDRmZDlmMjdkNDI1NjEzMmI2Y2M4ZTAxODQ5YmJlMTYifQ==</vt:lpwstr>
  </property>
  <property fmtid="{D5CDD505-2E9C-101B-9397-08002B2CF9AE}" pid="4" name="ICV">
    <vt:lpwstr>292A8A97020A40AABE24DDC27FB82D62_13</vt:lpwstr>
  </property>
  <property fmtid="{D5CDD505-2E9C-101B-9397-08002B2CF9AE}" pid="5" name="KSOTemplateDocerSaveRecord">
    <vt:lpwstr>eyJoZGlkIjoiYzZjYjUwZmZmNzY1ZDZlNGUzMmIwZTJmODExMWZkNWYiLCJ1c2VySWQiOiIyNjY2MjkwNzMifQ==</vt:lpwstr>
  </property>
</Properties>
</file>