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429979">
      <w:pPr>
        <w:spacing w:line="440" w:lineRule="exact"/>
        <w:jc w:val="center"/>
        <w:rPr>
          <w:rFonts w:eastAsia="方正小标宋简体"/>
          <w:color w:val="000000"/>
          <w:sz w:val="32"/>
          <w:szCs w:val="32"/>
        </w:rPr>
      </w:pPr>
      <w:r>
        <w:rPr>
          <w:rFonts w:hint="eastAsia" w:eastAsia="方正小标宋简体"/>
          <w:color w:val="000000"/>
          <w:sz w:val="32"/>
          <w:szCs w:val="32"/>
        </w:rPr>
        <w:t>拖拉机</w:t>
      </w:r>
      <w:r>
        <w:rPr>
          <w:rFonts w:eastAsia="方正小标宋简体"/>
          <w:color w:val="000000"/>
          <w:sz w:val="32"/>
          <w:szCs w:val="32"/>
        </w:rPr>
        <w:t>产品质量监督抽查实施细则</w:t>
      </w:r>
    </w:p>
    <w:p w14:paraId="7A069524">
      <w:pPr>
        <w:spacing w:line="440" w:lineRule="exact"/>
        <w:jc w:val="center"/>
        <w:rPr>
          <w:rFonts w:eastAsia="方正小标宋简体"/>
          <w:color w:val="000000"/>
          <w:sz w:val="32"/>
          <w:szCs w:val="32"/>
        </w:rPr>
      </w:pPr>
      <w:r>
        <w:rPr>
          <w:rFonts w:hint="eastAsia" w:eastAsia="方正小标宋简体"/>
          <w:color w:val="000000"/>
          <w:sz w:val="32"/>
          <w:szCs w:val="32"/>
        </w:rPr>
        <w:t>（2026年版）</w:t>
      </w:r>
    </w:p>
    <w:p w14:paraId="69946C47">
      <w:pPr>
        <w:spacing w:line="440" w:lineRule="exact"/>
        <w:ind w:firstLine="359" w:firstLineChars="171"/>
        <w:rPr>
          <w:color w:val="000000"/>
          <w:szCs w:val="21"/>
        </w:rPr>
      </w:pPr>
    </w:p>
    <w:p w14:paraId="7E0AD6B3">
      <w:pPr>
        <w:spacing w:line="440" w:lineRule="exact"/>
        <w:rPr>
          <w:rFonts w:eastAsia="黑体"/>
          <w:color w:val="000000"/>
          <w:szCs w:val="21"/>
        </w:rPr>
      </w:pPr>
      <w:r>
        <w:rPr>
          <w:rFonts w:eastAsia="黑体"/>
          <w:color w:val="000000"/>
          <w:szCs w:val="21"/>
        </w:rPr>
        <w:t>1 抽样方法</w:t>
      </w:r>
    </w:p>
    <w:p w14:paraId="00DB9B59">
      <w:pPr>
        <w:spacing w:line="440" w:lineRule="exact"/>
        <w:ind w:firstLine="420" w:firstLineChars="200"/>
        <w:rPr>
          <w:color w:val="000000"/>
          <w:szCs w:val="21"/>
        </w:rPr>
      </w:pPr>
      <w:r>
        <w:rPr>
          <w:color w:val="000000"/>
          <w:szCs w:val="21"/>
        </w:rPr>
        <w:t>以随机抽样的方式在被抽样生产者</w:t>
      </w:r>
      <w:r>
        <w:rPr>
          <w:rFonts w:hint="eastAsia"/>
          <w:color w:val="000000"/>
          <w:szCs w:val="21"/>
        </w:rPr>
        <w:t>、销售者</w:t>
      </w:r>
      <w:r>
        <w:rPr>
          <w:color w:val="000000"/>
          <w:szCs w:val="21"/>
        </w:rPr>
        <w:t>的待销产品中抽取。</w:t>
      </w:r>
    </w:p>
    <w:p w14:paraId="03E364CD">
      <w:pPr>
        <w:spacing w:line="440" w:lineRule="exact"/>
        <w:ind w:firstLine="420" w:firstLineChars="200"/>
        <w:rPr>
          <w:color w:val="000000"/>
          <w:szCs w:val="21"/>
        </w:rPr>
      </w:pPr>
      <w:r>
        <w:rPr>
          <w:color w:val="000000"/>
          <w:szCs w:val="21"/>
        </w:rPr>
        <w:t>随机数一般可使用随机数表等方法产生。</w:t>
      </w:r>
    </w:p>
    <w:p w14:paraId="459EBA2E">
      <w:pPr>
        <w:spacing w:line="440" w:lineRule="exact"/>
        <w:ind w:firstLine="420" w:firstLineChars="200"/>
        <w:rPr>
          <w:color w:val="000000"/>
          <w:szCs w:val="21"/>
        </w:rPr>
      </w:pPr>
      <w:r>
        <w:rPr>
          <w:szCs w:val="21"/>
        </w:rPr>
        <w:t>每批次产品抽取样品</w:t>
      </w:r>
      <w:r>
        <w:rPr>
          <w:rFonts w:hint="eastAsia"/>
          <w:szCs w:val="21"/>
        </w:rPr>
        <w:t>1</w:t>
      </w:r>
      <w:r>
        <w:rPr>
          <w:szCs w:val="21"/>
        </w:rPr>
        <w:t>台，作为检验样品，无需备用样品。</w:t>
      </w:r>
    </w:p>
    <w:p w14:paraId="75595467">
      <w:pPr>
        <w:spacing w:line="440" w:lineRule="exact"/>
        <w:rPr>
          <w:color w:val="000000"/>
          <w:szCs w:val="21"/>
        </w:rPr>
      </w:pPr>
    </w:p>
    <w:p w14:paraId="7F07DE43">
      <w:pPr>
        <w:spacing w:line="440" w:lineRule="exact"/>
        <w:rPr>
          <w:rFonts w:eastAsia="黑体"/>
          <w:color w:val="000000"/>
          <w:szCs w:val="21"/>
        </w:rPr>
      </w:pPr>
      <w:r>
        <w:rPr>
          <w:rFonts w:eastAsia="黑体"/>
          <w:color w:val="000000"/>
          <w:szCs w:val="21"/>
        </w:rPr>
        <w:t>2 检验依据</w:t>
      </w:r>
    </w:p>
    <w:p w14:paraId="6BE6B170">
      <w:pPr>
        <w:spacing w:line="440" w:lineRule="exact"/>
        <w:jc w:val="center"/>
        <w:rPr>
          <w:color w:val="000000"/>
          <w:szCs w:val="21"/>
        </w:rPr>
      </w:pPr>
      <w:r>
        <w:rPr>
          <w:color w:val="000000"/>
          <w:szCs w:val="21"/>
        </w:rPr>
        <w:t xml:space="preserve">表1 </w:t>
      </w:r>
      <w:r>
        <w:rPr>
          <w:rFonts w:hint="eastAsia"/>
          <w:color w:val="000000"/>
          <w:szCs w:val="21"/>
        </w:rPr>
        <w:t>直联传动轮式</w:t>
      </w:r>
      <w:r>
        <w:rPr>
          <w:color w:val="000000"/>
          <w:szCs w:val="21"/>
        </w:rPr>
        <w:t>拖拉机（</w:t>
      </w:r>
      <w:r>
        <w:rPr>
          <w:color w:val="000000"/>
          <w:szCs w:val="21"/>
          <w:lang w:val="fr-FR"/>
        </w:rPr>
        <w:t>GB 18447—2025</w:t>
      </w:r>
      <w:r>
        <w:rPr>
          <w:color w:val="000000"/>
          <w:szCs w:val="21"/>
        </w:rPr>
        <w:t>）</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2"/>
        <w:gridCol w:w="3754"/>
        <w:gridCol w:w="4600"/>
      </w:tblGrid>
      <w:tr w14:paraId="63CB83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blHeader/>
        </w:trPr>
        <w:tc>
          <w:tcPr>
            <w:tcW w:w="752" w:type="dxa"/>
            <w:vAlign w:val="center"/>
          </w:tcPr>
          <w:p w14:paraId="0C3214B2">
            <w:pPr>
              <w:spacing w:line="440" w:lineRule="exact"/>
              <w:jc w:val="center"/>
              <w:rPr>
                <w:color w:val="000000"/>
                <w:szCs w:val="21"/>
              </w:rPr>
            </w:pPr>
            <w:r>
              <w:rPr>
                <w:color w:val="000000"/>
                <w:szCs w:val="21"/>
              </w:rPr>
              <w:t>序号</w:t>
            </w:r>
          </w:p>
        </w:tc>
        <w:tc>
          <w:tcPr>
            <w:tcW w:w="3754" w:type="dxa"/>
            <w:vAlign w:val="center"/>
          </w:tcPr>
          <w:p w14:paraId="78509FA4">
            <w:pPr>
              <w:spacing w:line="440" w:lineRule="exact"/>
              <w:jc w:val="center"/>
              <w:rPr>
                <w:color w:val="000000"/>
                <w:szCs w:val="21"/>
              </w:rPr>
            </w:pPr>
            <w:r>
              <w:rPr>
                <w:color w:val="000000"/>
                <w:szCs w:val="21"/>
              </w:rPr>
              <w:t>检验项目</w:t>
            </w:r>
          </w:p>
        </w:tc>
        <w:tc>
          <w:tcPr>
            <w:tcW w:w="4600" w:type="dxa"/>
            <w:vAlign w:val="center"/>
          </w:tcPr>
          <w:p w14:paraId="28AF2FDA">
            <w:pPr>
              <w:spacing w:line="440" w:lineRule="exact"/>
              <w:jc w:val="center"/>
              <w:rPr>
                <w:color w:val="000000"/>
                <w:szCs w:val="21"/>
              </w:rPr>
            </w:pPr>
            <w:r>
              <w:rPr>
                <w:color w:val="000000"/>
                <w:szCs w:val="21"/>
              </w:rPr>
              <w:t>检验方法</w:t>
            </w:r>
          </w:p>
        </w:tc>
      </w:tr>
      <w:tr w14:paraId="2CFA0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118F25BC">
            <w:pPr>
              <w:spacing w:line="440" w:lineRule="exact"/>
              <w:jc w:val="center"/>
              <w:rPr>
                <w:color w:val="000000"/>
                <w:szCs w:val="21"/>
              </w:rPr>
            </w:pPr>
            <w:r>
              <w:rPr>
                <w:color w:val="000000"/>
                <w:szCs w:val="21"/>
              </w:rPr>
              <w:t>1</w:t>
            </w:r>
          </w:p>
        </w:tc>
        <w:tc>
          <w:tcPr>
            <w:tcW w:w="3754" w:type="dxa"/>
            <w:vAlign w:val="center"/>
          </w:tcPr>
          <w:p w14:paraId="1C28F53C">
            <w:pPr>
              <w:jc w:val="center"/>
              <w:rPr>
                <w:color w:val="000000"/>
                <w:szCs w:val="21"/>
                <w:lang w:val="fr-FR"/>
              </w:rPr>
            </w:pPr>
            <w:r>
              <w:rPr>
                <w:color w:val="000000"/>
                <w:szCs w:val="21"/>
                <w:lang w:val="fr-FR"/>
              </w:rPr>
              <w:t>操纵装置</w:t>
            </w:r>
          </w:p>
        </w:tc>
        <w:tc>
          <w:tcPr>
            <w:tcW w:w="4600" w:type="dxa"/>
            <w:vAlign w:val="center"/>
          </w:tcPr>
          <w:p w14:paraId="50280381">
            <w:pPr>
              <w:jc w:val="center"/>
              <w:rPr>
                <w:color w:val="000000"/>
                <w:szCs w:val="21"/>
                <w:lang w:val="fr-FR"/>
              </w:rPr>
            </w:pPr>
            <w:r>
              <w:rPr>
                <w:color w:val="000000"/>
                <w:szCs w:val="21"/>
                <w:lang w:val="fr-FR"/>
              </w:rPr>
              <w:t>GB 18447—2025</w:t>
            </w:r>
          </w:p>
          <w:p w14:paraId="2A1B4794">
            <w:pPr>
              <w:jc w:val="center"/>
              <w:rPr>
                <w:color w:val="000000"/>
                <w:szCs w:val="21"/>
                <w:lang w:val="fr-FR"/>
              </w:rPr>
            </w:pPr>
            <w:r>
              <w:rPr>
                <w:color w:val="000000"/>
                <w:szCs w:val="21"/>
                <w:lang w:val="fr-FR"/>
              </w:rPr>
              <w:t>GB/T 20341—2016</w:t>
            </w:r>
          </w:p>
          <w:p w14:paraId="7395B8D4">
            <w:pPr>
              <w:jc w:val="center"/>
              <w:rPr>
                <w:color w:val="000000"/>
                <w:szCs w:val="21"/>
                <w:lang w:val="fr-FR"/>
              </w:rPr>
            </w:pPr>
            <w:r>
              <w:rPr>
                <w:color w:val="000000"/>
                <w:szCs w:val="21"/>
                <w:lang w:val="fr-FR"/>
              </w:rPr>
              <w:t>GB/T 4269.1—2000</w:t>
            </w:r>
          </w:p>
          <w:p w14:paraId="51E08278">
            <w:pPr>
              <w:jc w:val="center"/>
              <w:rPr>
                <w:color w:val="000000"/>
                <w:szCs w:val="21"/>
                <w:lang w:val="fr-FR"/>
              </w:rPr>
            </w:pPr>
            <w:r>
              <w:rPr>
                <w:color w:val="000000"/>
                <w:szCs w:val="21"/>
                <w:lang w:val="fr-FR"/>
              </w:rPr>
              <w:t>GB/T 4269.2—2016</w:t>
            </w:r>
          </w:p>
        </w:tc>
      </w:tr>
      <w:tr w14:paraId="657471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FDE6A9F">
            <w:pPr>
              <w:spacing w:line="440" w:lineRule="exact"/>
              <w:jc w:val="center"/>
              <w:rPr>
                <w:color w:val="000000"/>
                <w:szCs w:val="21"/>
              </w:rPr>
            </w:pPr>
            <w:r>
              <w:rPr>
                <w:color w:val="000000"/>
                <w:szCs w:val="21"/>
              </w:rPr>
              <w:t>2</w:t>
            </w:r>
          </w:p>
        </w:tc>
        <w:tc>
          <w:tcPr>
            <w:tcW w:w="3754" w:type="dxa"/>
            <w:vAlign w:val="center"/>
          </w:tcPr>
          <w:p w14:paraId="62AD0916">
            <w:pPr>
              <w:spacing w:line="300" w:lineRule="exact"/>
              <w:jc w:val="center"/>
              <w:rPr>
                <w:color w:val="000000"/>
                <w:szCs w:val="21"/>
              </w:rPr>
            </w:pPr>
            <w:r>
              <w:rPr>
                <w:color w:val="000000"/>
                <w:szCs w:val="21"/>
              </w:rPr>
              <w:t>操作者工作位置—进入操作者工作位置的梯子</w:t>
            </w:r>
          </w:p>
        </w:tc>
        <w:tc>
          <w:tcPr>
            <w:tcW w:w="4600" w:type="dxa"/>
            <w:vAlign w:val="center"/>
          </w:tcPr>
          <w:p w14:paraId="487902FD">
            <w:pPr>
              <w:spacing w:line="300" w:lineRule="exact"/>
              <w:jc w:val="center"/>
              <w:rPr>
                <w:szCs w:val="21"/>
              </w:rPr>
            </w:pPr>
            <w:r>
              <w:rPr>
                <w:color w:val="000000"/>
                <w:szCs w:val="21"/>
              </w:rPr>
              <w:t>GB 18447—2025</w:t>
            </w:r>
          </w:p>
        </w:tc>
      </w:tr>
      <w:tr w14:paraId="652720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3F2EB5C3">
            <w:pPr>
              <w:spacing w:line="440" w:lineRule="exact"/>
              <w:jc w:val="center"/>
              <w:rPr>
                <w:color w:val="000000"/>
                <w:szCs w:val="21"/>
              </w:rPr>
            </w:pPr>
            <w:r>
              <w:rPr>
                <w:color w:val="000000"/>
                <w:szCs w:val="21"/>
              </w:rPr>
              <w:t>3</w:t>
            </w:r>
          </w:p>
        </w:tc>
        <w:tc>
          <w:tcPr>
            <w:tcW w:w="3754" w:type="dxa"/>
            <w:vAlign w:val="center"/>
          </w:tcPr>
          <w:p w14:paraId="7DFFC8A9">
            <w:pPr>
              <w:spacing w:line="300" w:lineRule="exact"/>
              <w:jc w:val="center"/>
              <w:rPr>
                <w:color w:val="000000"/>
                <w:szCs w:val="21"/>
              </w:rPr>
            </w:pPr>
            <w:r>
              <w:rPr>
                <w:color w:val="000000"/>
                <w:szCs w:val="21"/>
              </w:rPr>
              <w:t>操作者工作位置—操作者座椅</w:t>
            </w:r>
          </w:p>
        </w:tc>
        <w:tc>
          <w:tcPr>
            <w:tcW w:w="4600" w:type="dxa"/>
            <w:vAlign w:val="center"/>
          </w:tcPr>
          <w:p w14:paraId="255C68A4">
            <w:pPr>
              <w:spacing w:line="300" w:lineRule="exact"/>
              <w:jc w:val="center"/>
              <w:rPr>
                <w:szCs w:val="21"/>
              </w:rPr>
            </w:pPr>
            <w:r>
              <w:rPr>
                <w:color w:val="000000"/>
                <w:szCs w:val="21"/>
              </w:rPr>
              <w:t>GB 18447—2025</w:t>
            </w:r>
          </w:p>
        </w:tc>
      </w:tr>
      <w:tr w14:paraId="2DC480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905E067">
            <w:pPr>
              <w:spacing w:line="440" w:lineRule="exact"/>
              <w:jc w:val="center"/>
              <w:rPr>
                <w:color w:val="000000"/>
                <w:szCs w:val="21"/>
              </w:rPr>
            </w:pPr>
            <w:r>
              <w:rPr>
                <w:color w:val="000000"/>
                <w:szCs w:val="21"/>
              </w:rPr>
              <w:t>4</w:t>
            </w:r>
          </w:p>
        </w:tc>
        <w:tc>
          <w:tcPr>
            <w:tcW w:w="3754" w:type="dxa"/>
            <w:vAlign w:val="center"/>
          </w:tcPr>
          <w:p w14:paraId="617E9A0B">
            <w:pPr>
              <w:spacing w:line="300" w:lineRule="exact"/>
              <w:jc w:val="center"/>
              <w:rPr>
                <w:color w:val="000000"/>
                <w:szCs w:val="21"/>
              </w:rPr>
            </w:pPr>
            <w:r>
              <w:rPr>
                <w:color w:val="000000"/>
                <w:szCs w:val="21"/>
              </w:rPr>
              <w:t>操作者工作位置—乘员座椅</w:t>
            </w:r>
          </w:p>
        </w:tc>
        <w:tc>
          <w:tcPr>
            <w:tcW w:w="4600" w:type="dxa"/>
            <w:vAlign w:val="center"/>
          </w:tcPr>
          <w:p w14:paraId="05A533E5">
            <w:pPr>
              <w:spacing w:line="300" w:lineRule="exact"/>
              <w:jc w:val="center"/>
              <w:rPr>
                <w:szCs w:val="21"/>
              </w:rPr>
            </w:pPr>
            <w:r>
              <w:rPr>
                <w:color w:val="000000"/>
                <w:szCs w:val="21"/>
              </w:rPr>
              <w:t>GB 18447—2025</w:t>
            </w:r>
          </w:p>
        </w:tc>
      </w:tr>
      <w:tr w14:paraId="778105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668B43AC">
            <w:pPr>
              <w:spacing w:line="440" w:lineRule="exact"/>
              <w:jc w:val="center"/>
              <w:rPr>
                <w:color w:val="000000"/>
                <w:szCs w:val="21"/>
              </w:rPr>
            </w:pPr>
            <w:r>
              <w:rPr>
                <w:color w:val="000000"/>
                <w:szCs w:val="21"/>
              </w:rPr>
              <w:t>5</w:t>
            </w:r>
          </w:p>
        </w:tc>
        <w:tc>
          <w:tcPr>
            <w:tcW w:w="3754" w:type="dxa"/>
            <w:vAlign w:val="center"/>
          </w:tcPr>
          <w:p w14:paraId="07B0111A">
            <w:pPr>
              <w:spacing w:line="300" w:lineRule="exact"/>
              <w:jc w:val="center"/>
              <w:rPr>
                <w:color w:val="000000"/>
                <w:szCs w:val="21"/>
              </w:rPr>
            </w:pPr>
            <w:r>
              <w:rPr>
                <w:color w:val="000000"/>
                <w:szCs w:val="21"/>
              </w:rPr>
              <w:t>操作者工作位置—后视镜</w:t>
            </w:r>
          </w:p>
        </w:tc>
        <w:tc>
          <w:tcPr>
            <w:tcW w:w="4600" w:type="dxa"/>
            <w:vAlign w:val="center"/>
          </w:tcPr>
          <w:p w14:paraId="1D214E6F">
            <w:pPr>
              <w:spacing w:line="300" w:lineRule="exact"/>
              <w:jc w:val="center"/>
              <w:rPr>
                <w:color w:val="000000"/>
                <w:szCs w:val="21"/>
              </w:rPr>
            </w:pPr>
            <w:r>
              <w:rPr>
                <w:color w:val="000000"/>
                <w:szCs w:val="21"/>
              </w:rPr>
              <w:t>GB 18447—2025</w:t>
            </w:r>
          </w:p>
          <w:p w14:paraId="21CAADFA">
            <w:pPr>
              <w:spacing w:line="300" w:lineRule="exact"/>
              <w:jc w:val="center"/>
              <w:rPr>
                <w:szCs w:val="21"/>
              </w:rPr>
            </w:pPr>
            <w:r>
              <w:rPr>
                <w:szCs w:val="21"/>
              </w:rPr>
              <w:t>GB/T 20948—2025</w:t>
            </w:r>
          </w:p>
        </w:tc>
      </w:tr>
      <w:tr w14:paraId="77F64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BB8C8A9">
            <w:pPr>
              <w:spacing w:line="440" w:lineRule="exact"/>
              <w:jc w:val="center"/>
              <w:rPr>
                <w:color w:val="000000"/>
                <w:szCs w:val="21"/>
              </w:rPr>
            </w:pPr>
            <w:r>
              <w:rPr>
                <w:color w:val="000000"/>
                <w:szCs w:val="21"/>
              </w:rPr>
              <w:t>6</w:t>
            </w:r>
          </w:p>
        </w:tc>
        <w:tc>
          <w:tcPr>
            <w:tcW w:w="3754" w:type="dxa"/>
            <w:vAlign w:val="center"/>
          </w:tcPr>
          <w:p w14:paraId="6AF6D4A2">
            <w:pPr>
              <w:spacing w:line="300" w:lineRule="exact"/>
              <w:jc w:val="center"/>
              <w:rPr>
                <w:color w:val="000000"/>
                <w:szCs w:val="21"/>
              </w:rPr>
            </w:pPr>
            <w:r>
              <w:rPr>
                <w:color w:val="000000"/>
                <w:szCs w:val="21"/>
              </w:rPr>
              <w:t>动力输出轴</w:t>
            </w:r>
          </w:p>
        </w:tc>
        <w:tc>
          <w:tcPr>
            <w:tcW w:w="4600" w:type="dxa"/>
            <w:vAlign w:val="center"/>
          </w:tcPr>
          <w:p w14:paraId="5E9FF602">
            <w:pPr>
              <w:spacing w:line="300" w:lineRule="exact"/>
              <w:jc w:val="center"/>
              <w:rPr>
                <w:color w:val="000000"/>
                <w:szCs w:val="21"/>
                <w:lang w:val="fr-FR"/>
              </w:rPr>
            </w:pPr>
            <w:r>
              <w:rPr>
                <w:color w:val="000000"/>
                <w:szCs w:val="21"/>
                <w:lang w:val="fr-FR"/>
              </w:rPr>
              <w:t>GB 18447—2025</w:t>
            </w:r>
          </w:p>
          <w:p w14:paraId="39AD83E4">
            <w:pPr>
              <w:spacing w:line="300" w:lineRule="exact"/>
              <w:jc w:val="center"/>
              <w:rPr>
                <w:szCs w:val="21"/>
                <w:lang w:val="fr-FR"/>
              </w:rPr>
            </w:pPr>
            <w:r>
              <w:rPr>
                <w:szCs w:val="21"/>
                <w:lang w:val="fr-FR"/>
              </w:rPr>
              <w:t>GB/T 1592.1—2016</w:t>
            </w:r>
          </w:p>
          <w:p w14:paraId="50A9A183">
            <w:pPr>
              <w:spacing w:line="300" w:lineRule="exact"/>
              <w:jc w:val="center"/>
              <w:rPr>
                <w:szCs w:val="21"/>
                <w:lang w:val="fr-FR"/>
              </w:rPr>
            </w:pPr>
            <w:r>
              <w:rPr>
                <w:szCs w:val="21"/>
                <w:lang w:val="fr-FR"/>
              </w:rPr>
              <w:t>GB/T 1592.2—2016</w:t>
            </w:r>
          </w:p>
          <w:p w14:paraId="16A5F6B5">
            <w:pPr>
              <w:spacing w:line="300" w:lineRule="exact"/>
              <w:jc w:val="center"/>
              <w:rPr>
                <w:szCs w:val="21"/>
              </w:rPr>
            </w:pPr>
            <w:r>
              <w:rPr>
                <w:szCs w:val="21"/>
                <w:lang w:val="fr-FR"/>
              </w:rPr>
              <w:t>GB/T 10916.1—2025</w:t>
            </w:r>
          </w:p>
        </w:tc>
      </w:tr>
      <w:tr w14:paraId="6CC30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3E4C4DC2">
            <w:pPr>
              <w:spacing w:line="440" w:lineRule="exact"/>
              <w:jc w:val="center"/>
              <w:rPr>
                <w:color w:val="000000"/>
                <w:szCs w:val="21"/>
              </w:rPr>
            </w:pPr>
            <w:r>
              <w:rPr>
                <w:color w:val="000000"/>
                <w:szCs w:val="21"/>
              </w:rPr>
              <w:t>7</w:t>
            </w:r>
          </w:p>
        </w:tc>
        <w:tc>
          <w:tcPr>
            <w:tcW w:w="3754" w:type="dxa"/>
            <w:vAlign w:val="center"/>
          </w:tcPr>
          <w:p w14:paraId="104FD13D">
            <w:pPr>
              <w:spacing w:line="300" w:lineRule="exact"/>
              <w:jc w:val="center"/>
              <w:rPr>
                <w:color w:val="000000"/>
                <w:szCs w:val="21"/>
              </w:rPr>
            </w:pPr>
            <w:r>
              <w:rPr>
                <w:color w:val="000000"/>
                <w:szCs w:val="21"/>
              </w:rPr>
              <w:t>电气设备</w:t>
            </w:r>
          </w:p>
        </w:tc>
        <w:tc>
          <w:tcPr>
            <w:tcW w:w="4600" w:type="dxa"/>
            <w:vAlign w:val="center"/>
          </w:tcPr>
          <w:p w14:paraId="5B948BC6">
            <w:pPr>
              <w:spacing w:line="300" w:lineRule="exact"/>
              <w:jc w:val="center"/>
              <w:rPr>
                <w:szCs w:val="21"/>
              </w:rPr>
            </w:pPr>
            <w:r>
              <w:rPr>
                <w:color w:val="000000"/>
                <w:szCs w:val="21"/>
              </w:rPr>
              <w:t>GB 18447—2025</w:t>
            </w:r>
          </w:p>
        </w:tc>
      </w:tr>
      <w:tr w14:paraId="720B4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1110A5F0">
            <w:pPr>
              <w:spacing w:line="440" w:lineRule="exact"/>
              <w:jc w:val="center"/>
              <w:rPr>
                <w:color w:val="000000"/>
                <w:szCs w:val="21"/>
              </w:rPr>
            </w:pPr>
            <w:r>
              <w:rPr>
                <w:color w:val="000000"/>
                <w:szCs w:val="21"/>
              </w:rPr>
              <w:t>8</w:t>
            </w:r>
          </w:p>
        </w:tc>
        <w:tc>
          <w:tcPr>
            <w:tcW w:w="3754" w:type="dxa"/>
            <w:vAlign w:val="center"/>
          </w:tcPr>
          <w:p w14:paraId="46BAB224">
            <w:pPr>
              <w:spacing w:line="300" w:lineRule="exact"/>
              <w:jc w:val="center"/>
              <w:rPr>
                <w:color w:val="000000"/>
                <w:szCs w:val="21"/>
              </w:rPr>
            </w:pPr>
            <w:r>
              <w:rPr>
                <w:color w:val="000000"/>
                <w:szCs w:val="21"/>
              </w:rPr>
              <w:t>照明和信号装置</w:t>
            </w:r>
          </w:p>
        </w:tc>
        <w:tc>
          <w:tcPr>
            <w:tcW w:w="4600" w:type="dxa"/>
            <w:vAlign w:val="center"/>
          </w:tcPr>
          <w:p w14:paraId="539F5E8C">
            <w:pPr>
              <w:spacing w:line="300" w:lineRule="exact"/>
              <w:jc w:val="center"/>
              <w:rPr>
                <w:color w:val="000000"/>
                <w:szCs w:val="21"/>
              </w:rPr>
            </w:pPr>
            <w:r>
              <w:rPr>
                <w:color w:val="000000"/>
                <w:szCs w:val="21"/>
              </w:rPr>
              <w:t>GB 18447—2025</w:t>
            </w:r>
          </w:p>
          <w:p w14:paraId="23FB12C1">
            <w:pPr>
              <w:spacing w:line="300" w:lineRule="exact"/>
              <w:jc w:val="center"/>
              <w:rPr>
                <w:szCs w:val="21"/>
              </w:rPr>
            </w:pPr>
            <w:r>
              <w:rPr>
                <w:szCs w:val="21"/>
              </w:rPr>
              <w:t>GB/T 30464—2013</w:t>
            </w:r>
          </w:p>
        </w:tc>
      </w:tr>
      <w:tr w14:paraId="28F971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3543C99E">
            <w:pPr>
              <w:spacing w:line="440" w:lineRule="exact"/>
              <w:jc w:val="center"/>
              <w:rPr>
                <w:color w:val="000000"/>
                <w:szCs w:val="21"/>
              </w:rPr>
            </w:pPr>
            <w:r>
              <w:rPr>
                <w:color w:val="000000"/>
                <w:szCs w:val="21"/>
              </w:rPr>
              <w:t>9</w:t>
            </w:r>
          </w:p>
        </w:tc>
        <w:tc>
          <w:tcPr>
            <w:tcW w:w="3754" w:type="dxa"/>
            <w:vAlign w:val="center"/>
          </w:tcPr>
          <w:p w14:paraId="049A86B2">
            <w:pPr>
              <w:spacing w:line="300" w:lineRule="exact"/>
              <w:jc w:val="center"/>
              <w:rPr>
                <w:color w:val="000000"/>
                <w:szCs w:val="21"/>
              </w:rPr>
            </w:pPr>
            <w:r>
              <w:rPr>
                <w:color w:val="000000"/>
                <w:szCs w:val="21"/>
              </w:rPr>
              <w:t>液压系统</w:t>
            </w:r>
          </w:p>
        </w:tc>
        <w:tc>
          <w:tcPr>
            <w:tcW w:w="4600" w:type="dxa"/>
            <w:vAlign w:val="center"/>
          </w:tcPr>
          <w:p w14:paraId="7EDE15DB">
            <w:pPr>
              <w:spacing w:line="300" w:lineRule="exact"/>
              <w:jc w:val="center"/>
              <w:rPr>
                <w:color w:val="000000"/>
                <w:szCs w:val="21"/>
              </w:rPr>
            </w:pPr>
            <w:r>
              <w:rPr>
                <w:color w:val="000000"/>
                <w:szCs w:val="21"/>
              </w:rPr>
              <w:t>GB 18447—2025</w:t>
            </w:r>
          </w:p>
        </w:tc>
      </w:tr>
      <w:tr w14:paraId="2FA358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48F1659">
            <w:pPr>
              <w:spacing w:line="440" w:lineRule="exact"/>
              <w:jc w:val="center"/>
              <w:rPr>
                <w:color w:val="000000"/>
                <w:szCs w:val="21"/>
              </w:rPr>
            </w:pPr>
            <w:r>
              <w:rPr>
                <w:color w:val="000000"/>
                <w:szCs w:val="21"/>
              </w:rPr>
              <w:t>10</w:t>
            </w:r>
          </w:p>
        </w:tc>
        <w:tc>
          <w:tcPr>
            <w:tcW w:w="3754" w:type="dxa"/>
            <w:vAlign w:val="center"/>
          </w:tcPr>
          <w:p w14:paraId="0058FE25">
            <w:pPr>
              <w:spacing w:line="300" w:lineRule="exact"/>
              <w:jc w:val="center"/>
              <w:rPr>
                <w:color w:val="000000"/>
                <w:szCs w:val="21"/>
              </w:rPr>
            </w:pPr>
            <w:r>
              <w:rPr>
                <w:color w:val="000000"/>
                <w:szCs w:val="21"/>
              </w:rPr>
              <w:t>运动部件的防护</w:t>
            </w:r>
          </w:p>
        </w:tc>
        <w:tc>
          <w:tcPr>
            <w:tcW w:w="4600" w:type="dxa"/>
            <w:vAlign w:val="center"/>
          </w:tcPr>
          <w:p w14:paraId="23752582">
            <w:pPr>
              <w:spacing w:line="300" w:lineRule="exact"/>
              <w:jc w:val="center"/>
              <w:rPr>
                <w:color w:val="000000"/>
                <w:szCs w:val="21"/>
              </w:rPr>
            </w:pPr>
            <w:r>
              <w:rPr>
                <w:color w:val="000000"/>
                <w:szCs w:val="21"/>
              </w:rPr>
              <w:t>GB 18447—2025</w:t>
            </w:r>
          </w:p>
          <w:p w14:paraId="602CBEDF">
            <w:pPr>
              <w:spacing w:line="300" w:lineRule="exact"/>
              <w:jc w:val="center"/>
              <w:rPr>
                <w:color w:val="000000"/>
                <w:szCs w:val="21"/>
              </w:rPr>
            </w:pPr>
            <w:r>
              <w:rPr>
                <w:szCs w:val="21"/>
              </w:rPr>
              <w:t>GB/T 23821—2022</w:t>
            </w:r>
          </w:p>
        </w:tc>
      </w:tr>
      <w:tr w14:paraId="3C2D2C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87DE7B8">
            <w:pPr>
              <w:spacing w:line="440" w:lineRule="exact"/>
              <w:jc w:val="center"/>
              <w:rPr>
                <w:color w:val="000000"/>
                <w:szCs w:val="21"/>
              </w:rPr>
            </w:pPr>
            <w:r>
              <w:rPr>
                <w:color w:val="000000"/>
                <w:szCs w:val="21"/>
              </w:rPr>
              <w:t>11</w:t>
            </w:r>
          </w:p>
        </w:tc>
        <w:tc>
          <w:tcPr>
            <w:tcW w:w="3754" w:type="dxa"/>
            <w:vAlign w:val="center"/>
          </w:tcPr>
          <w:p w14:paraId="012F4E79">
            <w:pPr>
              <w:spacing w:line="300" w:lineRule="exact"/>
              <w:jc w:val="center"/>
              <w:rPr>
                <w:color w:val="000000"/>
                <w:szCs w:val="21"/>
              </w:rPr>
            </w:pPr>
            <w:r>
              <w:rPr>
                <w:color w:val="000000"/>
                <w:szCs w:val="21"/>
              </w:rPr>
              <w:t>燃油系统</w:t>
            </w:r>
          </w:p>
        </w:tc>
        <w:tc>
          <w:tcPr>
            <w:tcW w:w="4600" w:type="dxa"/>
            <w:vAlign w:val="center"/>
          </w:tcPr>
          <w:p w14:paraId="1278B7BB">
            <w:pPr>
              <w:spacing w:line="300" w:lineRule="exact"/>
              <w:jc w:val="center"/>
              <w:rPr>
                <w:color w:val="000000"/>
                <w:szCs w:val="21"/>
              </w:rPr>
            </w:pPr>
            <w:r>
              <w:rPr>
                <w:color w:val="000000"/>
                <w:szCs w:val="21"/>
              </w:rPr>
              <w:t>GB 18447—2025</w:t>
            </w:r>
          </w:p>
        </w:tc>
      </w:tr>
      <w:tr w14:paraId="3EAC1E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C140F55">
            <w:pPr>
              <w:spacing w:line="440" w:lineRule="exact"/>
              <w:jc w:val="center"/>
              <w:rPr>
                <w:color w:val="000000"/>
                <w:szCs w:val="21"/>
              </w:rPr>
            </w:pPr>
            <w:r>
              <w:rPr>
                <w:color w:val="000000"/>
                <w:szCs w:val="21"/>
              </w:rPr>
              <w:t>12</w:t>
            </w:r>
          </w:p>
        </w:tc>
        <w:tc>
          <w:tcPr>
            <w:tcW w:w="3754" w:type="dxa"/>
            <w:vAlign w:val="center"/>
          </w:tcPr>
          <w:p w14:paraId="189CFEB5">
            <w:pPr>
              <w:spacing w:line="300" w:lineRule="exact"/>
              <w:jc w:val="center"/>
              <w:rPr>
                <w:color w:val="000000"/>
                <w:szCs w:val="21"/>
              </w:rPr>
            </w:pPr>
            <w:r>
              <w:rPr>
                <w:color w:val="000000"/>
                <w:szCs w:val="21"/>
              </w:rPr>
              <w:t>翻滚防护装置</w:t>
            </w:r>
          </w:p>
        </w:tc>
        <w:tc>
          <w:tcPr>
            <w:tcW w:w="4600" w:type="dxa"/>
            <w:vAlign w:val="center"/>
          </w:tcPr>
          <w:p w14:paraId="1F27386B">
            <w:pPr>
              <w:spacing w:line="300" w:lineRule="exact"/>
              <w:jc w:val="center"/>
              <w:rPr>
                <w:color w:val="000000"/>
                <w:szCs w:val="21"/>
              </w:rPr>
            </w:pPr>
            <w:r>
              <w:rPr>
                <w:color w:val="000000"/>
                <w:szCs w:val="21"/>
              </w:rPr>
              <w:t>GB 18447—2025</w:t>
            </w:r>
          </w:p>
        </w:tc>
      </w:tr>
      <w:tr w14:paraId="02E79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6C169AAC">
            <w:pPr>
              <w:spacing w:line="440" w:lineRule="exact"/>
              <w:jc w:val="center"/>
              <w:rPr>
                <w:color w:val="000000"/>
                <w:szCs w:val="21"/>
              </w:rPr>
            </w:pPr>
            <w:r>
              <w:rPr>
                <w:color w:val="000000"/>
                <w:szCs w:val="21"/>
              </w:rPr>
              <w:t>13</w:t>
            </w:r>
          </w:p>
        </w:tc>
        <w:tc>
          <w:tcPr>
            <w:tcW w:w="3754" w:type="dxa"/>
            <w:vAlign w:val="center"/>
          </w:tcPr>
          <w:p w14:paraId="3A38A91A">
            <w:pPr>
              <w:spacing w:line="300" w:lineRule="exact"/>
              <w:jc w:val="center"/>
              <w:rPr>
                <w:color w:val="000000"/>
                <w:szCs w:val="21"/>
              </w:rPr>
            </w:pPr>
            <w:r>
              <w:rPr>
                <w:color w:val="000000"/>
                <w:szCs w:val="21"/>
              </w:rPr>
              <w:t>热表面</w:t>
            </w:r>
          </w:p>
        </w:tc>
        <w:tc>
          <w:tcPr>
            <w:tcW w:w="4600" w:type="dxa"/>
            <w:vAlign w:val="center"/>
          </w:tcPr>
          <w:p w14:paraId="0ED455AD">
            <w:pPr>
              <w:spacing w:line="300" w:lineRule="exact"/>
              <w:jc w:val="center"/>
              <w:rPr>
                <w:color w:val="000000"/>
                <w:szCs w:val="21"/>
              </w:rPr>
            </w:pPr>
            <w:r>
              <w:rPr>
                <w:color w:val="000000"/>
                <w:szCs w:val="21"/>
              </w:rPr>
              <w:t>GB 18447—2025</w:t>
            </w:r>
          </w:p>
        </w:tc>
      </w:tr>
      <w:tr w14:paraId="1CF77D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98F39D7">
            <w:pPr>
              <w:spacing w:line="440" w:lineRule="exact"/>
              <w:jc w:val="center"/>
              <w:rPr>
                <w:color w:val="000000"/>
                <w:szCs w:val="21"/>
              </w:rPr>
            </w:pPr>
            <w:r>
              <w:rPr>
                <w:color w:val="000000"/>
                <w:szCs w:val="21"/>
              </w:rPr>
              <w:t>14</w:t>
            </w:r>
          </w:p>
        </w:tc>
        <w:tc>
          <w:tcPr>
            <w:tcW w:w="3754" w:type="dxa"/>
            <w:vAlign w:val="center"/>
          </w:tcPr>
          <w:p w14:paraId="56AAAAC6">
            <w:pPr>
              <w:spacing w:line="300" w:lineRule="exact"/>
              <w:jc w:val="center"/>
              <w:rPr>
                <w:color w:val="000000"/>
                <w:szCs w:val="21"/>
              </w:rPr>
            </w:pPr>
            <w:r>
              <w:rPr>
                <w:color w:val="000000"/>
                <w:szCs w:val="21"/>
              </w:rPr>
              <w:t>排气系统</w:t>
            </w:r>
          </w:p>
        </w:tc>
        <w:tc>
          <w:tcPr>
            <w:tcW w:w="4600" w:type="dxa"/>
            <w:vAlign w:val="center"/>
          </w:tcPr>
          <w:p w14:paraId="2B600047">
            <w:pPr>
              <w:spacing w:line="300" w:lineRule="exact"/>
              <w:jc w:val="center"/>
              <w:rPr>
                <w:color w:val="000000"/>
                <w:szCs w:val="21"/>
              </w:rPr>
            </w:pPr>
            <w:r>
              <w:rPr>
                <w:color w:val="000000"/>
                <w:szCs w:val="21"/>
              </w:rPr>
              <w:t>GB 18447—2025</w:t>
            </w:r>
          </w:p>
        </w:tc>
      </w:tr>
      <w:tr w14:paraId="06E8E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5D90020A">
            <w:pPr>
              <w:spacing w:line="440" w:lineRule="exact"/>
              <w:jc w:val="center"/>
              <w:rPr>
                <w:color w:val="000000"/>
                <w:szCs w:val="21"/>
              </w:rPr>
            </w:pPr>
            <w:r>
              <w:rPr>
                <w:color w:val="000000"/>
                <w:szCs w:val="21"/>
              </w:rPr>
              <w:t>15</w:t>
            </w:r>
          </w:p>
        </w:tc>
        <w:tc>
          <w:tcPr>
            <w:tcW w:w="3754" w:type="dxa"/>
            <w:vAlign w:val="center"/>
          </w:tcPr>
          <w:p w14:paraId="78AB2381">
            <w:pPr>
              <w:spacing w:line="300" w:lineRule="exact"/>
              <w:jc w:val="center"/>
              <w:rPr>
                <w:color w:val="000000"/>
                <w:szCs w:val="21"/>
              </w:rPr>
            </w:pPr>
            <w:r>
              <w:rPr>
                <w:color w:val="000000"/>
                <w:szCs w:val="21"/>
              </w:rPr>
              <w:t>安全标志</w:t>
            </w:r>
          </w:p>
        </w:tc>
        <w:tc>
          <w:tcPr>
            <w:tcW w:w="4600" w:type="dxa"/>
            <w:vAlign w:val="center"/>
          </w:tcPr>
          <w:p w14:paraId="74AAB07A">
            <w:pPr>
              <w:spacing w:line="300" w:lineRule="exact"/>
              <w:jc w:val="center"/>
              <w:rPr>
                <w:color w:val="000000"/>
                <w:szCs w:val="21"/>
              </w:rPr>
            </w:pPr>
            <w:r>
              <w:rPr>
                <w:color w:val="000000"/>
                <w:szCs w:val="21"/>
              </w:rPr>
              <w:t>GB 18447—2025</w:t>
            </w:r>
          </w:p>
          <w:p w14:paraId="5341305B">
            <w:pPr>
              <w:spacing w:line="300" w:lineRule="exact"/>
              <w:jc w:val="center"/>
              <w:rPr>
                <w:color w:val="000000"/>
                <w:szCs w:val="21"/>
              </w:rPr>
            </w:pPr>
            <w:r>
              <w:rPr>
                <w:color w:val="000000"/>
                <w:szCs w:val="21"/>
              </w:rPr>
              <w:t>GB 10396—2006</w:t>
            </w:r>
          </w:p>
        </w:tc>
      </w:tr>
    </w:tbl>
    <w:p w14:paraId="30C985BF">
      <w:pPr>
        <w:spacing w:line="440" w:lineRule="exact"/>
        <w:ind w:firstLine="420" w:firstLineChars="200"/>
        <w:rPr>
          <w:color w:val="000000"/>
          <w:szCs w:val="21"/>
        </w:rPr>
      </w:pPr>
    </w:p>
    <w:p w14:paraId="44C3CE86">
      <w:pPr>
        <w:spacing w:line="440" w:lineRule="exact"/>
        <w:jc w:val="center"/>
        <w:rPr>
          <w:color w:val="000000"/>
          <w:szCs w:val="21"/>
        </w:rPr>
      </w:pPr>
      <w:r>
        <w:rPr>
          <w:color w:val="000000"/>
          <w:szCs w:val="21"/>
        </w:rPr>
        <w:t>表</w:t>
      </w:r>
      <w:r>
        <w:rPr>
          <w:rFonts w:hint="eastAsia"/>
          <w:color w:val="000000"/>
          <w:szCs w:val="21"/>
        </w:rPr>
        <w:t>2</w:t>
      </w:r>
      <w:r>
        <w:rPr>
          <w:color w:val="000000"/>
          <w:szCs w:val="21"/>
        </w:rPr>
        <w:t xml:space="preserve"> </w:t>
      </w:r>
      <w:r>
        <w:rPr>
          <w:rFonts w:hint="eastAsia"/>
          <w:color w:val="000000"/>
          <w:szCs w:val="21"/>
        </w:rPr>
        <w:t>直联传动轮式</w:t>
      </w:r>
      <w:r>
        <w:rPr>
          <w:color w:val="000000"/>
          <w:szCs w:val="21"/>
        </w:rPr>
        <w:t>拖拉机（GB 18447.1</w:t>
      </w:r>
      <w:r>
        <w:rPr>
          <w:color w:val="000000"/>
          <w:szCs w:val="21"/>
          <w:lang w:val="fr-FR"/>
        </w:rPr>
        <w:t>—</w:t>
      </w:r>
      <w:r>
        <w:rPr>
          <w:color w:val="000000"/>
          <w:szCs w:val="21"/>
        </w:rPr>
        <w:t>2008）</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2"/>
        <w:gridCol w:w="3754"/>
        <w:gridCol w:w="4588"/>
      </w:tblGrid>
      <w:tr w14:paraId="572E57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6E2E4B47">
            <w:pPr>
              <w:spacing w:line="440" w:lineRule="exact"/>
              <w:jc w:val="center"/>
              <w:rPr>
                <w:color w:val="000000"/>
                <w:szCs w:val="21"/>
              </w:rPr>
            </w:pPr>
            <w:r>
              <w:rPr>
                <w:color w:val="000000"/>
                <w:szCs w:val="21"/>
              </w:rPr>
              <w:t>序号</w:t>
            </w:r>
          </w:p>
        </w:tc>
        <w:tc>
          <w:tcPr>
            <w:tcW w:w="3754" w:type="dxa"/>
            <w:vAlign w:val="center"/>
          </w:tcPr>
          <w:p w14:paraId="010AE300">
            <w:pPr>
              <w:spacing w:line="440" w:lineRule="exact"/>
              <w:jc w:val="center"/>
              <w:rPr>
                <w:color w:val="000000"/>
                <w:szCs w:val="21"/>
              </w:rPr>
            </w:pPr>
            <w:r>
              <w:rPr>
                <w:color w:val="000000"/>
                <w:szCs w:val="21"/>
              </w:rPr>
              <w:t>检验项目</w:t>
            </w:r>
          </w:p>
        </w:tc>
        <w:tc>
          <w:tcPr>
            <w:tcW w:w="4588" w:type="dxa"/>
            <w:vAlign w:val="center"/>
          </w:tcPr>
          <w:p w14:paraId="083AE9F7">
            <w:pPr>
              <w:spacing w:line="440" w:lineRule="exact"/>
              <w:jc w:val="center"/>
              <w:rPr>
                <w:color w:val="000000"/>
                <w:szCs w:val="21"/>
              </w:rPr>
            </w:pPr>
            <w:r>
              <w:rPr>
                <w:color w:val="000000"/>
                <w:szCs w:val="21"/>
              </w:rPr>
              <w:t>检验方法</w:t>
            </w:r>
          </w:p>
        </w:tc>
      </w:tr>
      <w:tr w14:paraId="52211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7F1C63C">
            <w:pPr>
              <w:spacing w:line="440" w:lineRule="exact"/>
              <w:jc w:val="center"/>
              <w:rPr>
                <w:color w:val="000000"/>
                <w:szCs w:val="21"/>
              </w:rPr>
            </w:pPr>
            <w:r>
              <w:rPr>
                <w:color w:val="000000"/>
                <w:szCs w:val="21"/>
              </w:rPr>
              <w:t>1</w:t>
            </w:r>
          </w:p>
        </w:tc>
        <w:tc>
          <w:tcPr>
            <w:tcW w:w="3754" w:type="dxa"/>
            <w:vAlign w:val="center"/>
          </w:tcPr>
          <w:p w14:paraId="014EB4A2">
            <w:pPr>
              <w:jc w:val="center"/>
              <w:rPr>
                <w:color w:val="000000"/>
                <w:szCs w:val="21"/>
                <w:lang w:val="fr-FR"/>
              </w:rPr>
            </w:pPr>
            <w:r>
              <w:rPr>
                <w:szCs w:val="21"/>
              </w:rPr>
              <w:t>安全操作标识</w:t>
            </w:r>
          </w:p>
        </w:tc>
        <w:tc>
          <w:tcPr>
            <w:tcW w:w="4588" w:type="dxa"/>
            <w:vAlign w:val="center"/>
          </w:tcPr>
          <w:p w14:paraId="5FC42BAC">
            <w:pPr>
              <w:jc w:val="center"/>
              <w:rPr>
                <w:color w:val="000000"/>
                <w:szCs w:val="21"/>
                <w:lang w:val="fr-FR"/>
              </w:rPr>
            </w:pPr>
            <w:r>
              <w:rPr>
                <w:color w:val="000000"/>
                <w:szCs w:val="21"/>
                <w:lang w:val="fr-FR"/>
              </w:rPr>
              <w:t>GB 18447.1</w:t>
            </w:r>
            <w:r>
              <w:rPr>
                <w:color w:val="000000"/>
                <w:szCs w:val="21"/>
              </w:rPr>
              <w:t>—</w:t>
            </w:r>
            <w:r>
              <w:rPr>
                <w:color w:val="000000"/>
                <w:szCs w:val="21"/>
                <w:lang w:val="fr-FR"/>
              </w:rPr>
              <w:t>2008</w:t>
            </w:r>
          </w:p>
          <w:p w14:paraId="03CC5D39">
            <w:pPr>
              <w:jc w:val="center"/>
              <w:rPr>
                <w:color w:val="000000"/>
                <w:szCs w:val="21"/>
                <w:lang w:val="fr-FR"/>
              </w:rPr>
            </w:pPr>
            <w:r>
              <w:rPr>
                <w:color w:val="000000"/>
                <w:szCs w:val="21"/>
                <w:lang w:val="fr-FR"/>
              </w:rPr>
              <w:t>GB/T 4269.1</w:t>
            </w:r>
            <w:r>
              <w:rPr>
                <w:color w:val="000000"/>
                <w:szCs w:val="21"/>
              </w:rPr>
              <w:t>—</w:t>
            </w:r>
            <w:r>
              <w:rPr>
                <w:color w:val="000000"/>
                <w:szCs w:val="21"/>
                <w:lang w:val="fr-FR"/>
              </w:rPr>
              <w:t>2000</w:t>
            </w:r>
          </w:p>
        </w:tc>
      </w:tr>
      <w:tr w14:paraId="5DAF2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599E966A">
            <w:pPr>
              <w:spacing w:line="440" w:lineRule="exact"/>
              <w:jc w:val="center"/>
              <w:rPr>
                <w:color w:val="000000"/>
                <w:szCs w:val="21"/>
              </w:rPr>
            </w:pPr>
            <w:r>
              <w:rPr>
                <w:color w:val="000000"/>
                <w:szCs w:val="21"/>
              </w:rPr>
              <w:t>2</w:t>
            </w:r>
          </w:p>
        </w:tc>
        <w:tc>
          <w:tcPr>
            <w:tcW w:w="3754" w:type="dxa"/>
            <w:vAlign w:val="center"/>
          </w:tcPr>
          <w:p w14:paraId="33FD5120">
            <w:pPr>
              <w:spacing w:line="300" w:lineRule="exact"/>
              <w:jc w:val="center"/>
              <w:rPr>
                <w:color w:val="000000"/>
                <w:szCs w:val="21"/>
              </w:rPr>
            </w:pPr>
            <w:r>
              <w:rPr>
                <w:color w:val="000000"/>
                <w:szCs w:val="21"/>
              </w:rPr>
              <w:t>阶梯</w:t>
            </w:r>
          </w:p>
        </w:tc>
        <w:tc>
          <w:tcPr>
            <w:tcW w:w="4588" w:type="dxa"/>
            <w:vAlign w:val="center"/>
          </w:tcPr>
          <w:p w14:paraId="54BFD083">
            <w:pPr>
              <w:spacing w:line="300" w:lineRule="exact"/>
              <w:jc w:val="center"/>
              <w:rPr>
                <w:szCs w:val="21"/>
              </w:rPr>
            </w:pPr>
            <w:r>
              <w:rPr>
                <w:color w:val="000000"/>
                <w:kern w:val="0"/>
                <w:szCs w:val="21"/>
              </w:rPr>
              <w:t>GB 18447.1—2008</w:t>
            </w:r>
          </w:p>
        </w:tc>
      </w:tr>
      <w:tr w14:paraId="47C970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232A8089">
            <w:pPr>
              <w:spacing w:line="440" w:lineRule="exact"/>
              <w:jc w:val="center"/>
              <w:rPr>
                <w:color w:val="000000"/>
                <w:szCs w:val="21"/>
              </w:rPr>
            </w:pPr>
            <w:r>
              <w:rPr>
                <w:color w:val="000000"/>
                <w:szCs w:val="21"/>
              </w:rPr>
              <w:t>3</w:t>
            </w:r>
          </w:p>
        </w:tc>
        <w:tc>
          <w:tcPr>
            <w:tcW w:w="3754" w:type="dxa"/>
            <w:vAlign w:val="center"/>
          </w:tcPr>
          <w:p w14:paraId="3091C8F5">
            <w:pPr>
              <w:spacing w:line="300" w:lineRule="exact"/>
              <w:jc w:val="center"/>
              <w:rPr>
                <w:color w:val="000000"/>
                <w:szCs w:val="21"/>
              </w:rPr>
            </w:pPr>
            <w:r>
              <w:rPr>
                <w:color w:val="000000"/>
                <w:szCs w:val="21"/>
              </w:rPr>
              <w:t>安全带配置</w:t>
            </w:r>
          </w:p>
        </w:tc>
        <w:tc>
          <w:tcPr>
            <w:tcW w:w="4588" w:type="dxa"/>
            <w:vAlign w:val="center"/>
          </w:tcPr>
          <w:p w14:paraId="52D4C654">
            <w:pPr>
              <w:spacing w:line="300" w:lineRule="exact"/>
              <w:jc w:val="center"/>
              <w:rPr>
                <w:szCs w:val="21"/>
              </w:rPr>
            </w:pPr>
            <w:r>
              <w:rPr>
                <w:color w:val="000000"/>
                <w:szCs w:val="21"/>
              </w:rPr>
              <w:t>GB 18447.1—2008</w:t>
            </w:r>
          </w:p>
        </w:tc>
      </w:tr>
      <w:tr w14:paraId="13FDF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15FE7AA9">
            <w:pPr>
              <w:spacing w:line="440" w:lineRule="exact"/>
              <w:jc w:val="center"/>
              <w:rPr>
                <w:color w:val="000000"/>
                <w:szCs w:val="21"/>
              </w:rPr>
            </w:pPr>
            <w:r>
              <w:rPr>
                <w:color w:val="000000"/>
                <w:szCs w:val="21"/>
              </w:rPr>
              <w:t>4</w:t>
            </w:r>
          </w:p>
        </w:tc>
        <w:tc>
          <w:tcPr>
            <w:tcW w:w="3754" w:type="dxa"/>
            <w:vAlign w:val="center"/>
          </w:tcPr>
          <w:p w14:paraId="5EB46635">
            <w:pPr>
              <w:spacing w:line="300" w:lineRule="exact"/>
              <w:jc w:val="center"/>
              <w:rPr>
                <w:color w:val="000000"/>
                <w:szCs w:val="21"/>
              </w:rPr>
            </w:pPr>
            <w:r>
              <w:rPr>
                <w:color w:val="000000"/>
                <w:szCs w:val="21"/>
              </w:rPr>
              <w:t>乘员</w:t>
            </w:r>
            <w:r>
              <w:rPr>
                <w:rFonts w:hint="eastAsia"/>
                <w:color w:val="000000"/>
                <w:szCs w:val="21"/>
              </w:rPr>
              <w:t>座椅</w:t>
            </w:r>
            <w:r>
              <w:rPr>
                <w:color w:val="000000"/>
                <w:szCs w:val="21"/>
              </w:rPr>
              <w:t>设置</w:t>
            </w:r>
          </w:p>
        </w:tc>
        <w:tc>
          <w:tcPr>
            <w:tcW w:w="4588" w:type="dxa"/>
            <w:vAlign w:val="center"/>
          </w:tcPr>
          <w:p w14:paraId="2D619781">
            <w:pPr>
              <w:spacing w:line="300" w:lineRule="exact"/>
              <w:jc w:val="center"/>
              <w:rPr>
                <w:szCs w:val="21"/>
              </w:rPr>
            </w:pPr>
            <w:r>
              <w:rPr>
                <w:color w:val="000000"/>
                <w:szCs w:val="21"/>
              </w:rPr>
              <w:t>GB 18447.1—2008</w:t>
            </w:r>
          </w:p>
        </w:tc>
      </w:tr>
      <w:tr w14:paraId="7F9198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10885571">
            <w:pPr>
              <w:spacing w:line="440" w:lineRule="exact"/>
              <w:jc w:val="center"/>
              <w:rPr>
                <w:color w:val="000000"/>
                <w:szCs w:val="21"/>
              </w:rPr>
            </w:pPr>
            <w:r>
              <w:rPr>
                <w:color w:val="000000"/>
                <w:szCs w:val="21"/>
              </w:rPr>
              <w:t>5</w:t>
            </w:r>
          </w:p>
        </w:tc>
        <w:tc>
          <w:tcPr>
            <w:tcW w:w="3754" w:type="dxa"/>
            <w:vAlign w:val="center"/>
          </w:tcPr>
          <w:p w14:paraId="594284CD">
            <w:pPr>
              <w:spacing w:line="300" w:lineRule="exact"/>
              <w:jc w:val="center"/>
              <w:rPr>
                <w:color w:val="000000"/>
                <w:szCs w:val="21"/>
              </w:rPr>
            </w:pPr>
            <w:r>
              <w:rPr>
                <w:color w:val="000000"/>
                <w:szCs w:val="21"/>
              </w:rPr>
              <w:t>后视镜配置</w:t>
            </w:r>
          </w:p>
        </w:tc>
        <w:tc>
          <w:tcPr>
            <w:tcW w:w="4588" w:type="dxa"/>
            <w:vAlign w:val="center"/>
          </w:tcPr>
          <w:p w14:paraId="1D8E8503">
            <w:pPr>
              <w:spacing w:line="300" w:lineRule="exact"/>
              <w:jc w:val="center"/>
              <w:rPr>
                <w:szCs w:val="21"/>
              </w:rPr>
            </w:pPr>
            <w:r>
              <w:rPr>
                <w:color w:val="000000"/>
                <w:szCs w:val="21"/>
              </w:rPr>
              <w:t>GB 18447.1—2008</w:t>
            </w:r>
          </w:p>
        </w:tc>
      </w:tr>
      <w:tr w14:paraId="60F3A6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F9B4E30">
            <w:pPr>
              <w:spacing w:line="440" w:lineRule="exact"/>
              <w:jc w:val="center"/>
              <w:rPr>
                <w:color w:val="000000"/>
                <w:szCs w:val="21"/>
              </w:rPr>
            </w:pPr>
            <w:r>
              <w:rPr>
                <w:color w:val="000000"/>
                <w:szCs w:val="21"/>
              </w:rPr>
              <w:t>6</w:t>
            </w:r>
          </w:p>
        </w:tc>
        <w:tc>
          <w:tcPr>
            <w:tcW w:w="3754" w:type="dxa"/>
            <w:vAlign w:val="center"/>
          </w:tcPr>
          <w:p w14:paraId="54134E65">
            <w:pPr>
              <w:spacing w:line="300" w:lineRule="exact"/>
              <w:jc w:val="center"/>
              <w:rPr>
                <w:color w:val="000000"/>
                <w:szCs w:val="21"/>
              </w:rPr>
            </w:pPr>
            <w:r>
              <w:rPr>
                <w:color w:val="000000"/>
                <w:szCs w:val="21"/>
              </w:rPr>
              <w:t>动力输出轴</w:t>
            </w:r>
            <w:r>
              <w:rPr>
                <w:rFonts w:hint="eastAsia"/>
                <w:color w:val="000000"/>
                <w:szCs w:val="21"/>
              </w:rPr>
              <w:t>防护</w:t>
            </w:r>
          </w:p>
        </w:tc>
        <w:tc>
          <w:tcPr>
            <w:tcW w:w="4588" w:type="dxa"/>
            <w:vAlign w:val="center"/>
          </w:tcPr>
          <w:p w14:paraId="11861C2D">
            <w:pPr>
              <w:spacing w:line="300" w:lineRule="exact"/>
              <w:jc w:val="center"/>
              <w:rPr>
                <w:szCs w:val="21"/>
              </w:rPr>
            </w:pPr>
            <w:r>
              <w:rPr>
                <w:szCs w:val="21"/>
              </w:rPr>
              <w:t>GB 18447.1—2008</w:t>
            </w:r>
          </w:p>
        </w:tc>
      </w:tr>
      <w:tr w14:paraId="74187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7E5649AC">
            <w:pPr>
              <w:spacing w:line="440" w:lineRule="exact"/>
              <w:jc w:val="center"/>
              <w:rPr>
                <w:color w:val="000000"/>
                <w:szCs w:val="21"/>
              </w:rPr>
            </w:pPr>
            <w:r>
              <w:rPr>
                <w:color w:val="000000"/>
                <w:szCs w:val="21"/>
              </w:rPr>
              <w:t>7</w:t>
            </w:r>
          </w:p>
        </w:tc>
        <w:tc>
          <w:tcPr>
            <w:tcW w:w="3754" w:type="dxa"/>
            <w:vAlign w:val="center"/>
          </w:tcPr>
          <w:p w14:paraId="4F554B50">
            <w:pPr>
              <w:spacing w:line="300" w:lineRule="exact"/>
              <w:jc w:val="center"/>
              <w:rPr>
                <w:color w:val="000000"/>
                <w:szCs w:val="21"/>
              </w:rPr>
            </w:pPr>
            <w:r>
              <w:rPr>
                <w:color w:val="000000"/>
                <w:szCs w:val="21"/>
              </w:rPr>
              <w:t>电器线路的布置</w:t>
            </w:r>
            <w:r>
              <w:rPr>
                <w:rFonts w:hint="eastAsia"/>
                <w:color w:val="000000"/>
                <w:szCs w:val="21"/>
              </w:rPr>
              <w:t>、</w:t>
            </w:r>
            <w:r>
              <w:rPr>
                <w:color w:val="000000"/>
                <w:szCs w:val="21"/>
              </w:rPr>
              <w:t>蓄电池布置</w:t>
            </w:r>
          </w:p>
        </w:tc>
        <w:tc>
          <w:tcPr>
            <w:tcW w:w="4588" w:type="dxa"/>
            <w:vAlign w:val="center"/>
          </w:tcPr>
          <w:p w14:paraId="59A39859">
            <w:pPr>
              <w:spacing w:line="300" w:lineRule="exact"/>
              <w:jc w:val="center"/>
              <w:rPr>
                <w:szCs w:val="21"/>
              </w:rPr>
            </w:pPr>
            <w:r>
              <w:rPr>
                <w:szCs w:val="21"/>
              </w:rPr>
              <w:t>GB 18447.1—2008</w:t>
            </w:r>
          </w:p>
        </w:tc>
      </w:tr>
      <w:tr w14:paraId="070AB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69DF54F2">
            <w:pPr>
              <w:spacing w:line="440" w:lineRule="exact"/>
              <w:jc w:val="center"/>
              <w:rPr>
                <w:color w:val="000000"/>
                <w:szCs w:val="21"/>
              </w:rPr>
            </w:pPr>
            <w:r>
              <w:rPr>
                <w:color w:val="000000"/>
                <w:szCs w:val="21"/>
              </w:rPr>
              <w:t>8</w:t>
            </w:r>
          </w:p>
        </w:tc>
        <w:tc>
          <w:tcPr>
            <w:tcW w:w="3754" w:type="dxa"/>
            <w:vAlign w:val="center"/>
          </w:tcPr>
          <w:p w14:paraId="37CAA726">
            <w:pPr>
              <w:spacing w:line="300" w:lineRule="exact"/>
              <w:jc w:val="center"/>
              <w:rPr>
                <w:color w:val="000000"/>
                <w:szCs w:val="21"/>
              </w:rPr>
            </w:pPr>
            <w:r>
              <w:rPr>
                <w:color w:val="000000"/>
                <w:szCs w:val="21"/>
              </w:rPr>
              <w:t>灯光信号装置配置及光色</w:t>
            </w:r>
            <w:r>
              <w:rPr>
                <w:rFonts w:hint="eastAsia"/>
                <w:color w:val="000000"/>
                <w:szCs w:val="21"/>
              </w:rPr>
              <w:t>、前照灯发光强度</w:t>
            </w:r>
          </w:p>
        </w:tc>
        <w:tc>
          <w:tcPr>
            <w:tcW w:w="4588" w:type="dxa"/>
            <w:vAlign w:val="center"/>
          </w:tcPr>
          <w:p w14:paraId="3525D28A">
            <w:pPr>
              <w:spacing w:line="300" w:lineRule="exact"/>
              <w:jc w:val="center"/>
              <w:rPr>
                <w:szCs w:val="21"/>
              </w:rPr>
            </w:pPr>
            <w:r>
              <w:rPr>
                <w:color w:val="000000"/>
                <w:szCs w:val="21"/>
              </w:rPr>
              <w:t>GB 18447.1—2008</w:t>
            </w:r>
          </w:p>
        </w:tc>
      </w:tr>
      <w:tr w14:paraId="3A953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41B676B4">
            <w:pPr>
              <w:spacing w:line="440" w:lineRule="exact"/>
              <w:jc w:val="center"/>
              <w:rPr>
                <w:color w:val="000000"/>
                <w:szCs w:val="21"/>
              </w:rPr>
            </w:pPr>
            <w:r>
              <w:rPr>
                <w:color w:val="000000"/>
                <w:szCs w:val="21"/>
              </w:rPr>
              <w:t>9</w:t>
            </w:r>
          </w:p>
        </w:tc>
        <w:tc>
          <w:tcPr>
            <w:tcW w:w="3754" w:type="dxa"/>
            <w:vAlign w:val="center"/>
          </w:tcPr>
          <w:p w14:paraId="0FF4ABD7">
            <w:pPr>
              <w:spacing w:line="300" w:lineRule="exact"/>
              <w:jc w:val="center"/>
              <w:rPr>
                <w:color w:val="000000"/>
                <w:szCs w:val="21"/>
              </w:rPr>
            </w:pPr>
            <w:r>
              <w:rPr>
                <w:color w:val="000000"/>
                <w:szCs w:val="21"/>
              </w:rPr>
              <w:t>液压系统过载安全保护装置</w:t>
            </w:r>
            <w:r>
              <w:rPr>
                <w:rFonts w:hint="eastAsia"/>
                <w:color w:val="000000"/>
                <w:szCs w:val="21"/>
              </w:rPr>
              <w:t>、</w:t>
            </w:r>
            <w:r>
              <w:rPr>
                <w:color w:val="000000"/>
                <w:szCs w:val="21"/>
              </w:rPr>
              <w:t>液压管路</w:t>
            </w:r>
            <w:r>
              <w:rPr>
                <w:rFonts w:hint="eastAsia"/>
                <w:color w:val="000000"/>
                <w:szCs w:val="21"/>
              </w:rPr>
              <w:t>的布置</w:t>
            </w:r>
          </w:p>
        </w:tc>
        <w:tc>
          <w:tcPr>
            <w:tcW w:w="4588" w:type="dxa"/>
            <w:vAlign w:val="center"/>
          </w:tcPr>
          <w:p w14:paraId="62037B12">
            <w:pPr>
              <w:spacing w:line="300" w:lineRule="exact"/>
              <w:jc w:val="center"/>
              <w:rPr>
                <w:color w:val="000000"/>
                <w:szCs w:val="21"/>
              </w:rPr>
            </w:pPr>
            <w:r>
              <w:rPr>
                <w:color w:val="000000"/>
                <w:szCs w:val="21"/>
              </w:rPr>
              <w:t>GB 18447.1—2008</w:t>
            </w:r>
          </w:p>
        </w:tc>
      </w:tr>
      <w:tr w14:paraId="54DA6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rPr>
        <w:tc>
          <w:tcPr>
            <w:tcW w:w="752" w:type="dxa"/>
            <w:vAlign w:val="center"/>
          </w:tcPr>
          <w:p w14:paraId="0A0B2A4D">
            <w:pPr>
              <w:spacing w:line="440" w:lineRule="exact"/>
              <w:jc w:val="center"/>
              <w:rPr>
                <w:color w:val="000000"/>
                <w:szCs w:val="21"/>
              </w:rPr>
            </w:pPr>
            <w:r>
              <w:rPr>
                <w:color w:val="000000"/>
                <w:szCs w:val="21"/>
              </w:rPr>
              <w:t>10</w:t>
            </w:r>
          </w:p>
        </w:tc>
        <w:tc>
          <w:tcPr>
            <w:tcW w:w="3754" w:type="dxa"/>
            <w:vAlign w:val="center"/>
          </w:tcPr>
          <w:p w14:paraId="69628B5C">
            <w:pPr>
              <w:spacing w:line="300" w:lineRule="exact"/>
              <w:jc w:val="center"/>
              <w:rPr>
                <w:color w:val="000000"/>
                <w:szCs w:val="21"/>
              </w:rPr>
            </w:pPr>
            <w:r>
              <w:rPr>
                <w:color w:val="000000"/>
                <w:szCs w:val="21"/>
              </w:rPr>
              <w:t>外露旋转件防护装置</w:t>
            </w:r>
          </w:p>
        </w:tc>
        <w:tc>
          <w:tcPr>
            <w:tcW w:w="4588" w:type="dxa"/>
            <w:vAlign w:val="center"/>
          </w:tcPr>
          <w:p w14:paraId="1FCB49C9">
            <w:pPr>
              <w:spacing w:line="300" w:lineRule="exact"/>
              <w:jc w:val="center"/>
              <w:rPr>
                <w:color w:val="000000"/>
                <w:szCs w:val="21"/>
              </w:rPr>
            </w:pPr>
            <w:r>
              <w:rPr>
                <w:color w:val="000000"/>
                <w:szCs w:val="21"/>
              </w:rPr>
              <w:t>GB 18447.1—2008</w:t>
            </w:r>
          </w:p>
        </w:tc>
      </w:tr>
      <w:tr w14:paraId="2E33AD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58CB6441">
            <w:pPr>
              <w:spacing w:line="440" w:lineRule="exact"/>
              <w:jc w:val="center"/>
              <w:rPr>
                <w:color w:val="000000"/>
                <w:szCs w:val="21"/>
              </w:rPr>
            </w:pPr>
            <w:r>
              <w:rPr>
                <w:color w:val="000000"/>
                <w:szCs w:val="21"/>
              </w:rPr>
              <w:t>11</w:t>
            </w:r>
          </w:p>
        </w:tc>
        <w:tc>
          <w:tcPr>
            <w:tcW w:w="3754" w:type="dxa"/>
            <w:vAlign w:val="center"/>
          </w:tcPr>
          <w:p w14:paraId="0DD1F499">
            <w:pPr>
              <w:spacing w:line="300" w:lineRule="exact"/>
              <w:jc w:val="center"/>
              <w:rPr>
                <w:color w:val="000000"/>
                <w:szCs w:val="21"/>
              </w:rPr>
            </w:pPr>
            <w:r>
              <w:rPr>
                <w:color w:val="000000"/>
                <w:szCs w:val="21"/>
              </w:rPr>
              <w:t>拖拉机燃油箱安装及配置</w:t>
            </w:r>
          </w:p>
        </w:tc>
        <w:tc>
          <w:tcPr>
            <w:tcW w:w="4588" w:type="dxa"/>
            <w:vAlign w:val="center"/>
          </w:tcPr>
          <w:p w14:paraId="2795859D">
            <w:pPr>
              <w:spacing w:line="300" w:lineRule="exact"/>
              <w:jc w:val="center"/>
              <w:rPr>
                <w:color w:val="000000"/>
                <w:szCs w:val="21"/>
              </w:rPr>
            </w:pPr>
            <w:r>
              <w:rPr>
                <w:color w:val="000000"/>
                <w:szCs w:val="21"/>
              </w:rPr>
              <w:t>GB 18447.1—2008</w:t>
            </w:r>
          </w:p>
        </w:tc>
      </w:tr>
      <w:tr w14:paraId="41533B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0F97D76C">
            <w:pPr>
              <w:spacing w:line="440" w:lineRule="exact"/>
              <w:jc w:val="center"/>
              <w:rPr>
                <w:color w:val="000000"/>
                <w:szCs w:val="21"/>
              </w:rPr>
            </w:pPr>
            <w:r>
              <w:rPr>
                <w:color w:val="000000"/>
                <w:szCs w:val="21"/>
              </w:rPr>
              <w:t>12</w:t>
            </w:r>
          </w:p>
        </w:tc>
        <w:tc>
          <w:tcPr>
            <w:tcW w:w="3754" w:type="dxa"/>
            <w:vAlign w:val="center"/>
          </w:tcPr>
          <w:p w14:paraId="4F3001FB">
            <w:pPr>
              <w:spacing w:line="300" w:lineRule="exact"/>
              <w:jc w:val="center"/>
              <w:rPr>
                <w:color w:val="000000"/>
                <w:szCs w:val="21"/>
              </w:rPr>
            </w:pPr>
            <w:r>
              <w:rPr>
                <w:color w:val="000000"/>
                <w:szCs w:val="21"/>
              </w:rPr>
              <w:t>拖拉机安全架或驾驶室配置</w:t>
            </w:r>
          </w:p>
        </w:tc>
        <w:tc>
          <w:tcPr>
            <w:tcW w:w="4588" w:type="dxa"/>
            <w:vAlign w:val="center"/>
          </w:tcPr>
          <w:p w14:paraId="5749B28A">
            <w:pPr>
              <w:spacing w:line="300" w:lineRule="exact"/>
              <w:jc w:val="center"/>
              <w:rPr>
                <w:color w:val="000000"/>
                <w:szCs w:val="21"/>
              </w:rPr>
            </w:pPr>
            <w:r>
              <w:rPr>
                <w:color w:val="000000"/>
                <w:szCs w:val="21"/>
              </w:rPr>
              <w:t>GB 18447.1—2008</w:t>
            </w:r>
          </w:p>
        </w:tc>
      </w:tr>
      <w:tr w14:paraId="750C94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312C5E0F">
            <w:pPr>
              <w:spacing w:line="440" w:lineRule="exact"/>
              <w:jc w:val="center"/>
              <w:rPr>
                <w:color w:val="000000"/>
                <w:szCs w:val="21"/>
              </w:rPr>
            </w:pPr>
            <w:r>
              <w:rPr>
                <w:color w:val="000000"/>
                <w:szCs w:val="21"/>
              </w:rPr>
              <w:t>13</w:t>
            </w:r>
          </w:p>
        </w:tc>
        <w:tc>
          <w:tcPr>
            <w:tcW w:w="3754" w:type="dxa"/>
            <w:vAlign w:val="center"/>
          </w:tcPr>
          <w:p w14:paraId="0E2137F3">
            <w:pPr>
              <w:spacing w:line="300" w:lineRule="exact"/>
              <w:jc w:val="center"/>
              <w:rPr>
                <w:color w:val="000000"/>
                <w:szCs w:val="21"/>
              </w:rPr>
            </w:pPr>
            <w:r>
              <w:rPr>
                <w:color w:val="000000"/>
                <w:szCs w:val="21"/>
              </w:rPr>
              <w:t>消声器隔热防护装置</w:t>
            </w:r>
          </w:p>
        </w:tc>
        <w:tc>
          <w:tcPr>
            <w:tcW w:w="4588" w:type="dxa"/>
            <w:vAlign w:val="center"/>
          </w:tcPr>
          <w:p w14:paraId="6CEA56B0">
            <w:pPr>
              <w:spacing w:line="300" w:lineRule="exact"/>
              <w:jc w:val="center"/>
              <w:rPr>
                <w:color w:val="000000"/>
                <w:szCs w:val="21"/>
              </w:rPr>
            </w:pPr>
            <w:r>
              <w:rPr>
                <w:color w:val="000000"/>
                <w:szCs w:val="21"/>
              </w:rPr>
              <w:t>GB 18447.1—2008</w:t>
            </w:r>
          </w:p>
        </w:tc>
      </w:tr>
      <w:tr w14:paraId="005B52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7E9D4E19">
            <w:pPr>
              <w:spacing w:line="440" w:lineRule="exact"/>
              <w:jc w:val="center"/>
              <w:rPr>
                <w:color w:val="000000"/>
                <w:szCs w:val="21"/>
              </w:rPr>
            </w:pPr>
            <w:r>
              <w:rPr>
                <w:color w:val="000000"/>
                <w:szCs w:val="21"/>
              </w:rPr>
              <w:t>14</w:t>
            </w:r>
          </w:p>
        </w:tc>
        <w:tc>
          <w:tcPr>
            <w:tcW w:w="3754" w:type="dxa"/>
            <w:vAlign w:val="center"/>
          </w:tcPr>
          <w:p w14:paraId="73CA077F">
            <w:pPr>
              <w:spacing w:line="300" w:lineRule="exact"/>
              <w:jc w:val="center"/>
              <w:rPr>
                <w:color w:val="000000"/>
                <w:szCs w:val="21"/>
              </w:rPr>
            </w:pPr>
            <w:r>
              <w:rPr>
                <w:color w:val="000000"/>
                <w:szCs w:val="21"/>
              </w:rPr>
              <w:t>排气管出口位置及方向</w:t>
            </w:r>
          </w:p>
        </w:tc>
        <w:tc>
          <w:tcPr>
            <w:tcW w:w="4588" w:type="dxa"/>
            <w:vAlign w:val="center"/>
          </w:tcPr>
          <w:p w14:paraId="7D13EC40">
            <w:pPr>
              <w:spacing w:line="300" w:lineRule="exact"/>
              <w:jc w:val="center"/>
              <w:rPr>
                <w:color w:val="000000"/>
                <w:szCs w:val="21"/>
              </w:rPr>
            </w:pPr>
            <w:r>
              <w:rPr>
                <w:color w:val="000000"/>
                <w:szCs w:val="21"/>
              </w:rPr>
              <w:t>GB 18447.1—2008</w:t>
            </w:r>
          </w:p>
        </w:tc>
      </w:tr>
      <w:tr w14:paraId="6C11C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2" w:type="dxa"/>
            <w:vAlign w:val="center"/>
          </w:tcPr>
          <w:p w14:paraId="4A77FCA5">
            <w:pPr>
              <w:spacing w:line="440" w:lineRule="exact"/>
              <w:jc w:val="center"/>
              <w:rPr>
                <w:color w:val="000000"/>
                <w:szCs w:val="21"/>
              </w:rPr>
            </w:pPr>
            <w:r>
              <w:rPr>
                <w:color w:val="000000"/>
                <w:szCs w:val="21"/>
              </w:rPr>
              <w:t>15</w:t>
            </w:r>
          </w:p>
        </w:tc>
        <w:tc>
          <w:tcPr>
            <w:tcW w:w="3754" w:type="dxa"/>
            <w:vAlign w:val="center"/>
          </w:tcPr>
          <w:p w14:paraId="7824161D">
            <w:pPr>
              <w:spacing w:line="300" w:lineRule="exact"/>
              <w:jc w:val="center"/>
              <w:rPr>
                <w:color w:val="000000"/>
                <w:szCs w:val="21"/>
              </w:rPr>
            </w:pPr>
            <w:r>
              <w:rPr>
                <w:color w:val="000000"/>
                <w:szCs w:val="21"/>
              </w:rPr>
              <w:t>安全标志</w:t>
            </w:r>
          </w:p>
        </w:tc>
        <w:tc>
          <w:tcPr>
            <w:tcW w:w="4588" w:type="dxa"/>
            <w:vAlign w:val="center"/>
          </w:tcPr>
          <w:p w14:paraId="648CB441">
            <w:pPr>
              <w:spacing w:line="300" w:lineRule="exact"/>
              <w:jc w:val="center"/>
              <w:rPr>
                <w:color w:val="000000"/>
                <w:szCs w:val="21"/>
              </w:rPr>
            </w:pPr>
            <w:r>
              <w:rPr>
                <w:color w:val="000000"/>
                <w:szCs w:val="21"/>
              </w:rPr>
              <w:t>GB 18447.1—2008</w:t>
            </w:r>
          </w:p>
          <w:p w14:paraId="04EBFB3B">
            <w:pPr>
              <w:spacing w:line="300" w:lineRule="exact"/>
              <w:jc w:val="center"/>
              <w:rPr>
                <w:color w:val="000000"/>
                <w:szCs w:val="21"/>
              </w:rPr>
            </w:pPr>
            <w:r>
              <w:rPr>
                <w:color w:val="000000"/>
                <w:kern w:val="0"/>
                <w:szCs w:val="21"/>
              </w:rPr>
              <w:t>GB 10396—2006</w:t>
            </w:r>
          </w:p>
        </w:tc>
      </w:tr>
    </w:tbl>
    <w:p w14:paraId="007A6149">
      <w:pPr>
        <w:spacing w:line="440" w:lineRule="exact"/>
        <w:ind w:firstLine="420" w:firstLineChars="200"/>
        <w:rPr>
          <w:color w:val="000000"/>
          <w:szCs w:val="21"/>
        </w:rPr>
      </w:pPr>
      <w:r>
        <w:rPr>
          <w:color w:val="000000"/>
          <w:szCs w:val="21"/>
        </w:rPr>
        <w:t>执行企业标准</w:t>
      </w:r>
      <w:r>
        <w:rPr>
          <w:rFonts w:hint="eastAsia"/>
          <w:color w:val="000000"/>
          <w:szCs w:val="21"/>
        </w:rPr>
        <w:t>、</w:t>
      </w:r>
      <w:r>
        <w:rPr>
          <w:color w:val="000000"/>
          <w:szCs w:val="21"/>
        </w:rPr>
        <w:t>团体标准</w:t>
      </w:r>
      <w:r>
        <w:rPr>
          <w:rFonts w:hint="eastAsia"/>
          <w:color w:val="000000"/>
          <w:szCs w:val="21"/>
        </w:rPr>
        <w:t>、</w:t>
      </w:r>
      <w:r>
        <w:rPr>
          <w:color w:val="000000"/>
          <w:szCs w:val="21"/>
        </w:rPr>
        <w:t>地方标准的产品，检验项目参照上述内容执行。</w:t>
      </w:r>
    </w:p>
    <w:p w14:paraId="71F2D468">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0BCB7E0A">
      <w:pPr>
        <w:spacing w:line="440" w:lineRule="exact"/>
        <w:ind w:firstLine="420" w:firstLineChars="200"/>
        <w:rPr>
          <w:color w:val="000000"/>
          <w:szCs w:val="21"/>
        </w:rPr>
      </w:pPr>
    </w:p>
    <w:p w14:paraId="18AF0600">
      <w:pPr>
        <w:spacing w:line="360" w:lineRule="auto"/>
        <w:rPr>
          <w:rFonts w:eastAsia="黑体"/>
          <w:color w:val="000000"/>
          <w:szCs w:val="21"/>
        </w:rPr>
      </w:pPr>
      <w:r>
        <w:rPr>
          <w:rFonts w:eastAsia="黑体"/>
          <w:color w:val="000000"/>
          <w:szCs w:val="21"/>
        </w:rPr>
        <w:t>3 判定规则</w:t>
      </w:r>
    </w:p>
    <w:p w14:paraId="0D85E29A">
      <w:pPr>
        <w:spacing w:line="440" w:lineRule="exact"/>
        <w:rPr>
          <w:color w:val="000000"/>
          <w:szCs w:val="21"/>
        </w:rPr>
      </w:pPr>
      <w:r>
        <w:rPr>
          <w:color w:val="000000"/>
          <w:szCs w:val="21"/>
        </w:rPr>
        <w:t>3.1依据标准</w:t>
      </w:r>
    </w:p>
    <w:p w14:paraId="6452F50D">
      <w:pPr>
        <w:spacing w:line="440" w:lineRule="exact"/>
        <w:ind w:firstLine="420" w:firstLineChars="200"/>
        <w:rPr>
          <w:color w:val="000000"/>
          <w:szCs w:val="21"/>
        </w:rPr>
      </w:pPr>
      <w:r>
        <w:rPr>
          <w:rFonts w:hint="eastAsia"/>
          <w:color w:val="000000"/>
          <w:szCs w:val="21"/>
        </w:rPr>
        <w:t>GB 18447</w:t>
      </w:r>
      <w:r>
        <w:rPr>
          <w:rFonts w:hint="default" w:ascii="Times New Roman" w:hAnsi="Times New Roman" w:cs="Times New Roman"/>
          <w:color w:val="000000"/>
          <w:szCs w:val="21"/>
        </w:rPr>
        <w:t>—</w:t>
      </w:r>
      <w:r>
        <w:rPr>
          <w:rFonts w:hint="eastAsia"/>
          <w:color w:val="000000"/>
          <w:szCs w:val="21"/>
        </w:rPr>
        <w:t>2025</w:t>
      </w:r>
      <w:r>
        <w:rPr>
          <w:rFonts w:hint="eastAsia"/>
          <w:color w:val="000000"/>
          <w:szCs w:val="21"/>
          <w:lang w:val="en-US" w:eastAsia="zh-CN"/>
        </w:rPr>
        <w:t xml:space="preserve"> </w:t>
      </w:r>
      <w:r>
        <w:t>拖拉机安全技术规范</w:t>
      </w:r>
    </w:p>
    <w:p w14:paraId="5D8FDC05">
      <w:pPr>
        <w:spacing w:line="440" w:lineRule="exact"/>
        <w:ind w:firstLine="420" w:firstLineChars="200"/>
        <w:rPr>
          <w:color w:val="000000"/>
          <w:szCs w:val="21"/>
        </w:rPr>
      </w:pPr>
      <w:r>
        <w:rPr>
          <w:rFonts w:hint="eastAsia"/>
          <w:color w:val="000000"/>
          <w:szCs w:val="21"/>
        </w:rPr>
        <w:t>GB 18447.1</w:t>
      </w:r>
      <w:r>
        <w:rPr>
          <w:rFonts w:hint="default" w:ascii="Times New Roman" w:hAnsi="Times New Roman" w:cs="Times New Roman"/>
          <w:color w:val="000000"/>
          <w:szCs w:val="21"/>
        </w:rPr>
        <w:t>—</w:t>
      </w:r>
      <w:r>
        <w:rPr>
          <w:rFonts w:hint="eastAsia"/>
          <w:color w:val="000000"/>
          <w:szCs w:val="21"/>
        </w:rPr>
        <w:t>2008</w:t>
      </w:r>
      <w:r>
        <w:rPr>
          <w:rFonts w:hint="eastAsia"/>
          <w:color w:val="000000"/>
          <w:szCs w:val="21"/>
          <w:lang w:val="en-US" w:eastAsia="zh-CN"/>
        </w:rPr>
        <w:t xml:space="preserve"> </w:t>
      </w:r>
      <w:r>
        <w:rPr>
          <w:rFonts w:hint="eastAsia"/>
          <w:color w:val="000000"/>
          <w:szCs w:val="21"/>
        </w:rPr>
        <w:t>拖拉机 安全要求 第1部分： 轮式拖拉机</w:t>
      </w:r>
    </w:p>
    <w:p w14:paraId="72F8A606">
      <w:pPr>
        <w:spacing w:line="440" w:lineRule="exact"/>
        <w:ind w:firstLine="420" w:firstLineChars="200"/>
        <w:rPr>
          <w:color w:val="000000"/>
          <w:szCs w:val="21"/>
        </w:rPr>
      </w:pPr>
      <w:r>
        <w:rPr>
          <w:color w:val="000000"/>
          <w:szCs w:val="21"/>
        </w:rPr>
        <w:t>相关的法律、行政法规、部门规章、规范性文件</w:t>
      </w:r>
    </w:p>
    <w:p w14:paraId="480617D6">
      <w:pPr>
        <w:spacing w:line="440" w:lineRule="exact"/>
        <w:ind w:firstLine="464" w:firstLineChars="221"/>
        <w:rPr>
          <w:color w:val="000000"/>
          <w:szCs w:val="21"/>
        </w:rPr>
      </w:pPr>
      <w:r>
        <w:rPr>
          <w:color w:val="000000"/>
          <w:szCs w:val="21"/>
        </w:rPr>
        <w:t>现行有效的企业标准</w:t>
      </w:r>
      <w:r>
        <w:rPr>
          <w:rFonts w:hint="eastAsia"/>
          <w:color w:val="000000"/>
          <w:szCs w:val="21"/>
        </w:rPr>
        <w:t>、</w:t>
      </w:r>
      <w:r>
        <w:rPr>
          <w:color w:val="000000"/>
          <w:szCs w:val="21"/>
        </w:rPr>
        <w:t>团体标准</w:t>
      </w:r>
      <w:r>
        <w:rPr>
          <w:rFonts w:hint="eastAsia"/>
          <w:color w:val="000000"/>
          <w:szCs w:val="21"/>
        </w:rPr>
        <w:t>、</w:t>
      </w:r>
      <w:r>
        <w:rPr>
          <w:color w:val="000000"/>
          <w:szCs w:val="21"/>
        </w:rPr>
        <w:t>地方标准及产品明示质量要求</w:t>
      </w:r>
    </w:p>
    <w:p w14:paraId="2CCD36B3">
      <w:pPr>
        <w:spacing w:line="440" w:lineRule="exact"/>
        <w:rPr>
          <w:color w:val="000000"/>
          <w:szCs w:val="21"/>
        </w:rPr>
      </w:pPr>
      <w:r>
        <w:rPr>
          <w:color w:val="000000"/>
          <w:szCs w:val="21"/>
        </w:rPr>
        <w:t>3.2判定原则</w:t>
      </w:r>
    </w:p>
    <w:p w14:paraId="57B82F37">
      <w:pPr>
        <w:spacing w:line="440" w:lineRule="exact"/>
        <w:ind w:firstLine="417" w:firstLineChars="199"/>
        <w:rPr>
          <w:color w:val="000000"/>
          <w:szCs w:val="21"/>
        </w:rPr>
      </w:pPr>
      <w:r>
        <w:rPr>
          <w:rFonts w:hint="eastAsia"/>
          <w:color w:val="000000"/>
          <w:szCs w:val="21"/>
        </w:rPr>
        <w:t>经检验，本细则检验依据序号1</w:t>
      </w:r>
      <w:r>
        <w:rPr>
          <w:color w:val="000000"/>
          <w:szCs w:val="21"/>
        </w:rPr>
        <w:t>～</w:t>
      </w:r>
      <w:r>
        <w:rPr>
          <w:rFonts w:hint="eastAsia"/>
          <w:color w:val="000000"/>
          <w:szCs w:val="21"/>
        </w:rPr>
        <w:t>15检验项目全部合格，判定为被抽查产品未发现不合格</w:t>
      </w:r>
      <w:r>
        <w:rPr>
          <w:color w:val="000000"/>
          <w:szCs w:val="21"/>
        </w:rPr>
        <w:t>；否则，判定</w:t>
      </w:r>
      <w:r>
        <w:rPr>
          <w:rFonts w:hint="eastAsia"/>
          <w:color w:val="000000"/>
          <w:szCs w:val="21"/>
        </w:rPr>
        <w:t>为</w:t>
      </w:r>
      <w:r>
        <w:rPr>
          <w:color w:val="000000"/>
          <w:szCs w:val="21"/>
        </w:rPr>
        <w:t>被抽查产品不合格。</w:t>
      </w:r>
      <w:bookmarkStart w:id="0" w:name="_GoBack"/>
      <w:bookmarkEnd w:id="0"/>
    </w:p>
    <w:p w14:paraId="4FF8480A">
      <w:pPr>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02F09987">
      <w:pPr>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633E871D">
      <w:pPr>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70D250C8">
      <w:pPr>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4F71F30E">
      <w:pPr>
        <w:spacing w:line="440" w:lineRule="exact"/>
        <w:ind w:firstLine="417" w:firstLineChars="199"/>
        <w:rPr>
          <w:color w:val="000000"/>
          <w:szCs w:val="21"/>
        </w:rPr>
      </w:pPr>
    </w:p>
    <w:p w14:paraId="6186373A">
      <w:pPr>
        <w:spacing w:line="440" w:lineRule="exact"/>
        <w:rPr>
          <w:rFonts w:eastAsia="黑体"/>
          <w:color w:val="000000"/>
          <w:szCs w:val="21"/>
        </w:rPr>
      </w:pPr>
      <w:r>
        <w:rPr>
          <w:rFonts w:eastAsia="黑体"/>
          <w:color w:val="000000"/>
          <w:szCs w:val="21"/>
        </w:rPr>
        <w:t>4 附则</w:t>
      </w:r>
    </w:p>
    <w:p w14:paraId="75018F6C">
      <w:pPr>
        <w:spacing w:line="440" w:lineRule="exact"/>
        <w:ind w:firstLine="420" w:firstLineChars="200"/>
        <w:rPr>
          <w:color w:val="000000"/>
          <w:szCs w:val="21"/>
        </w:rPr>
      </w:pPr>
      <w:r>
        <w:rPr>
          <w:color w:val="000000"/>
          <w:szCs w:val="21"/>
        </w:rPr>
        <w:t>本细则首次发布。</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DC840">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48581019">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67511">
    <w:pPr>
      <w:pStyle w:val="4"/>
      <w:framePr w:wrap="around" w:vAnchor="text" w:hAnchor="margin" w:xAlign="center" w:y="1"/>
    </w:pPr>
    <w:r>
      <w:fldChar w:fldCharType="begin"/>
    </w:r>
    <w:r>
      <w:rPr>
        <w:rStyle w:val="9"/>
      </w:rPr>
      <w:instrText xml:space="preserve">PAGE  </w:instrText>
    </w:r>
    <w:r>
      <w:fldChar w:fldCharType="separate"/>
    </w:r>
    <w:r>
      <w:rPr>
        <w:rStyle w:val="9"/>
      </w:rPr>
      <w:t>2</w:t>
    </w:r>
    <w:r>
      <w:fldChar w:fldCharType="end"/>
    </w:r>
  </w:p>
  <w:p w14:paraId="5475E78A">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D6FFB">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FFEF" w:allStyles="1" w:customStyles="1" w:latentStyles="1" w:stylesInUse="1" w:headingStyles="1" w:numberingStyles="1" w:tableStyles="1" w:directFormattingOnRuns="1" w:directFormattingOnParagraphs="1" w:directFormattingOnNumbering="1" w:directFormattingOnTables="1" w:clearFormatting="1" w:top3HeadingStyles="1" w:visibleStyles="1" w:alternateStyleNames="1"/>
  <w:doNotTrackMoves/>
  <w:documentProtection w:enforcement="0"/>
  <w:defaultTabStop w:val="420"/>
  <w:displayHorizontalDrawingGridEvery w:val="0"/>
  <w:displayVerticalDrawingGridEvery w:val="2"/>
  <w:characterSpacingControl w:val="compressPunctuation"/>
  <w:compat>
    <w:balanceSingleByteDoubleByteWidth/>
    <w:doNotLeaveBackslashAlone/>
    <w:ulTrailSpace/>
    <w:doNotExpandShiftReturn/>
    <w:adjustLineHeightInTable/>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2636A"/>
    <w:rsid w:val="001117E5"/>
    <w:rsid w:val="001320DD"/>
    <w:rsid w:val="001B6E7A"/>
    <w:rsid w:val="001F30E3"/>
    <w:rsid w:val="001F3950"/>
    <w:rsid w:val="00212969"/>
    <w:rsid w:val="002B2EFD"/>
    <w:rsid w:val="002C2271"/>
    <w:rsid w:val="002E37BD"/>
    <w:rsid w:val="002E46EC"/>
    <w:rsid w:val="003676DD"/>
    <w:rsid w:val="003677EB"/>
    <w:rsid w:val="003A1F55"/>
    <w:rsid w:val="0048452E"/>
    <w:rsid w:val="004B1C32"/>
    <w:rsid w:val="004F73B2"/>
    <w:rsid w:val="005266D6"/>
    <w:rsid w:val="00604164"/>
    <w:rsid w:val="0064358E"/>
    <w:rsid w:val="00646F2A"/>
    <w:rsid w:val="006D7EA3"/>
    <w:rsid w:val="00770829"/>
    <w:rsid w:val="0081242A"/>
    <w:rsid w:val="0082636A"/>
    <w:rsid w:val="00920486"/>
    <w:rsid w:val="009B3B5D"/>
    <w:rsid w:val="00A11BE5"/>
    <w:rsid w:val="00A157AF"/>
    <w:rsid w:val="00A333E2"/>
    <w:rsid w:val="00B10689"/>
    <w:rsid w:val="00BA44BA"/>
    <w:rsid w:val="00BB1B1C"/>
    <w:rsid w:val="00BE0311"/>
    <w:rsid w:val="00C46339"/>
    <w:rsid w:val="00C6698F"/>
    <w:rsid w:val="00CD2E0D"/>
    <w:rsid w:val="00D16D83"/>
    <w:rsid w:val="00D3520D"/>
    <w:rsid w:val="00D55D67"/>
    <w:rsid w:val="00DB3F88"/>
    <w:rsid w:val="00E31E16"/>
    <w:rsid w:val="00E564AA"/>
    <w:rsid w:val="00F41455"/>
    <w:rsid w:val="00FB268E"/>
    <w:rsid w:val="0814716B"/>
    <w:rsid w:val="08511BC0"/>
    <w:rsid w:val="234156C5"/>
    <w:rsid w:val="31904442"/>
    <w:rsid w:val="4299135E"/>
    <w:rsid w:val="474D668C"/>
    <w:rsid w:val="560272A6"/>
    <w:rsid w:val="6FA62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iPriority="99" w:name="footnote reference"/>
    <w:lsdException w:qFormat="1"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8"/>
    <w:unhideWhenUsed/>
    <w:qFormat/>
    <w:uiPriority w:val="99"/>
    <w:pPr>
      <w:jc w:val="left"/>
    </w:pPr>
    <w:rPr>
      <w:lang w:eastAsia="en-US"/>
    </w:rPr>
  </w:style>
  <w:style w:type="paragraph" w:styleId="3">
    <w:name w:val="Balloon Text"/>
    <w:basedOn w:val="1"/>
    <w:link w:val="13"/>
    <w:unhideWhenUsed/>
    <w:qFormat/>
    <w:uiPriority w:val="99"/>
    <w:rPr>
      <w:sz w:val="18"/>
      <w:szCs w:val="18"/>
      <w:lang w:eastAsia="en-US"/>
    </w:rPr>
  </w:style>
  <w:style w:type="paragraph" w:styleId="4">
    <w:name w:val="footer"/>
    <w:basedOn w:val="1"/>
    <w:link w:val="11"/>
    <w:unhideWhenUsed/>
    <w:qFormat/>
    <w:uiPriority w:val="99"/>
    <w:pPr>
      <w:tabs>
        <w:tab w:val="center" w:pos="4153"/>
        <w:tab w:val="right" w:pos="8306"/>
      </w:tabs>
      <w:jc w:val="left"/>
    </w:pPr>
    <w:rPr>
      <w:sz w:val="18"/>
      <w:szCs w:val="18"/>
      <w:lang w:eastAsia="en-US"/>
    </w:rPr>
  </w:style>
  <w:style w:type="paragraph" w:styleId="5">
    <w:name w:val="header"/>
    <w:basedOn w:val="1"/>
    <w:link w:val="15"/>
    <w:unhideWhenUsed/>
    <w:qFormat/>
    <w:uiPriority w:val="99"/>
    <w:pPr>
      <w:pBdr>
        <w:bottom w:val="single" w:color="000000" w:sz="6" w:space="1"/>
      </w:pBdr>
      <w:tabs>
        <w:tab w:val="center" w:pos="4153"/>
        <w:tab w:val="right" w:pos="8306"/>
      </w:tabs>
      <w:jc w:val="center"/>
    </w:pPr>
    <w:rPr>
      <w:sz w:val="18"/>
      <w:szCs w:val="18"/>
      <w:lang w:eastAsia="en-US"/>
    </w:rPr>
  </w:style>
  <w:style w:type="paragraph" w:styleId="6">
    <w:name w:val="annotation subject"/>
    <w:basedOn w:val="2"/>
    <w:next w:val="2"/>
    <w:link w:val="14"/>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页脚 字符"/>
    <w:link w:val="4"/>
    <w:qFormat/>
    <w:uiPriority w:val="99"/>
    <w:rPr>
      <w:kern w:val="2"/>
      <w:sz w:val="18"/>
      <w:szCs w:val="18"/>
    </w:rPr>
  </w:style>
  <w:style w:type="paragraph" w:customStyle="1" w:styleId="12">
    <w:name w:val="列出段落"/>
    <w:basedOn w:val="1"/>
    <w:qFormat/>
    <w:uiPriority w:val="34"/>
    <w:pPr>
      <w:spacing w:after="160" w:line="278" w:lineRule="auto"/>
      <w:ind w:left="720"/>
      <w:contextualSpacing/>
      <w:jc w:val="left"/>
    </w:pPr>
    <w:rPr>
      <w:rFonts w:ascii="Calibri" w:hAnsi="Calibri"/>
      <w:sz w:val="22"/>
    </w:rPr>
  </w:style>
  <w:style w:type="character" w:customStyle="1" w:styleId="13">
    <w:name w:val="批注框文本 字符"/>
    <w:link w:val="3"/>
    <w:semiHidden/>
    <w:qFormat/>
    <w:uiPriority w:val="99"/>
    <w:rPr>
      <w:kern w:val="2"/>
      <w:sz w:val="18"/>
      <w:szCs w:val="18"/>
    </w:rPr>
  </w:style>
  <w:style w:type="character" w:customStyle="1" w:styleId="14">
    <w:name w:val="批注主题 字符"/>
    <w:link w:val="6"/>
    <w:semiHidden/>
    <w:qFormat/>
    <w:uiPriority w:val="99"/>
    <w:rPr>
      <w:b/>
      <w:bCs/>
      <w:kern w:val="2"/>
      <w:sz w:val="21"/>
      <w:szCs w:val="24"/>
    </w:rPr>
  </w:style>
  <w:style w:type="character" w:customStyle="1" w:styleId="15">
    <w:name w:val="页眉 字符"/>
    <w:link w:val="5"/>
    <w:semiHidden/>
    <w:qFormat/>
    <w:uiPriority w:val="99"/>
    <w:rPr>
      <w:kern w:val="2"/>
      <w:sz w:val="18"/>
      <w:szCs w:val="18"/>
    </w:rPr>
  </w:style>
  <w:style w:type="paragraph" w:customStyle="1" w:styleId="16">
    <w:name w:val="Revision"/>
    <w:unhideWhenUsed/>
    <w:qFormat/>
    <w:uiPriority w:val="99"/>
    <w:rPr>
      <w:rFonts w:ascii="Times New Roman" w:hAnsi="Times New Roman" w:eastAsia="宋体" w:cs="Times New Roman"/>
      <w:kern w:val="2"/>
      <w:sz w:val="21"/>
      <w:szCs w:val="24"/>
      <w:lang w:val="en-US" w:eastAsia="zh-CN" w:bidi="ar-SA"/>
    </w:rPr>
  </w:style>
  <w:style w:type="paragraph" w:customStyle="1" w:styleId="17">
    <w:name w:val="列出段落1"/>
    <w:basedOn w:val="1"/>
    <w:qFormat/>
    <w:uiPriority w:val="34"/>
    <w:pPr>
      <w:ind w:firstLine="420" w:firstLineChars="200"/>
    </w:pPr>
    <w:rPr>
      <w:rFonts w:ascii="Calibri" w:hAnsi="Calibri"/>
      <w:szCs w:val="22"/>
    </w:rPr>
  </w:style>
  <w:style w:type="character" w:customStyle="1" w:styleId="18">
    <w:name w:val="批注文字 字符"/>
    <w:link w:val="2"/>
    <w:semiHidden/>
    <w:qFormat/>
    <w:uiPriority w:val="99"/>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3</Pages>
  <Words>956</Words>
  <Characters>1497</Characters>
  <Lines>15</Lines>
  <Paragraphs>4</Paragraphs>
  <TotalTime>0</TotalTime>
  <ScaleCrop>false</ScaleCrop>
  <LinksUpToDate>false</LinksUpToDate>
  <CharactersWithSpaces>1554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2026-04-07T10:07:00Z</dcterms:created>
  <dc:creator>zq</dc:creator>
  <cp:lastModifiedBy>Jy</cp:lastModifiedBy>
  <dcterms:modified xsi:type="dcterms:W3CDTF">2026-04-22T09:59:40Z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eyJoZGlkIjoiMzllYzFhOGMyMzUxMWY5N2FkOTZhZjJhOGVhOTUzODMiLCJ1c2VySWQiOiI2ODU5MzkzNDcifQ==</vt:lpwstr>
  </property>
  <property fmtid="{D5CDD505-2E9C-101B-9397-08002B2CF9AE}" pid="3" name="KSOProductBuildVer">
    <vt:lpwstr>2052-12.1.0.25225</vt:lpwstr>
  </property>
  <property fmtid="{D5CDD505-2E9C-101B-9397-08002B2CF9AE}" pid="4" name="ICV">
    <vt:lpwstr>B15F88B7D8BB47B097E817BC1F120893_12</vt:lpwstr>
  </property>
</Properties>
</file>