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213150">
      <w:pPr>
        <w:snapToGrid w:val="0"/>
        <w:spacing w:line="440" w:lineRule="exact"/>
        <w:jc w:val="center"/>
        <w:rPr>
          <w:rFonts w:eastAsia="方正小标宋简体"/>
          <w:color w:val="000000"/>
          <w:sz w:val="32"/>
          <w:szCs w:val="32"/>
        </w:rPr>
      </w:pPr>
      <w:r>
        <w:rPr>
          <w:rFonts w:hint="eastAsia" w:eastAsia="方正小标宋简体"/>
          <w:color w:val="000000"/>
          <w:sz w:val="32"/>
          <w:szCs w:val="32"/>
        </w:rPr>
        <w:t>螺纹密封用聚四氟乙烯未烧结带(生料带)</w:t>
      </w:r>
      <w:r>
        <w:rPr>
          <w:rFonts w:eastAsia="方正小标宋简体"/>
          <w:color w:val="000000"/>
          <w:sz w:val="32"/>
          <w:szCs w:val="32"/>
        </w:rPr>
        <w:t>产品质量监督</w:t>
      </w:r>
    </w:p>
    <w:p w14:paraId="416D77D8">
      <w:pPr>
        <w:snapToGrid w:val="0"/>
        <w:spacing w:line="440" w:lineRule="exact"/>
        <w:jc w:val="center"/>
        <w:rPr>
          <w:rFonts w:eastAsia="方正小标宋简体"/>
          <w:color w:val="000000"/>
          <w:sz w:val="32"/>
          <w:szCs w:val="32"/>
        </w:rPr>
      </w:pPr>
      <w:r>
        <w:rPr>
          <w:rFonts w:eastAsia="方正小标宋简体"/>
          <w:color w:val="000000"/>
          <w:sz w:val="32"/>
          <w:szCs w:val="32"/>
        </w:rPr>
        <w:t>抽查实施细则</w:t>
      </w:r>
    </w:p>
    <w:p w14:paraId="1F9B72A3">
      <w:pPr>
        <w:snapToGrid w:val="0"/>
        <w:spacing w:line="440" w:lineRule="exact"/>
        <w:jc w:val="center"/>
        <w:rPr>
          <w:rFonts w:eastAsia="方正小标宋简体"/>
          <w:color w:val="000000"/>
          <w:sz w:val="32"/>
          <w:szCs w:val="32"/>
        </w:rPr>
      </w:pPr>
      <w:r>
        <w:rPr>
          <w:rFonts w:hint="eastAsia" w:eastAsia="方正小标宋简体"/>
          <w:color w:val="000000"/>
          <w:sz w:val="32"/>
          <w:szCs w:val="32"/>
        </w:rPr>
        <w:t>（2026年版）</w:t>
      </w:r>
    </w:p>
    <w:p w14:paraId="29899089">
      <w:pPr>
        <w:snapToGrid w:val="0"/>
        <w:spacing w:line="440" w:lineRule="exact"/>
        <w:ind w:firstLine="359" w:firstLineChars="171"/>
        <w:rPr>
          <w:color w:val="000000"/>
          <w:szCs w:val="21"/>
        </w:rPr>
      </w:pPr>
    </w:p>
    <w:p w14:paraId="1D7AAFE3">
      <w:pPr>
        <w:snapToGrid w:val="0"/>
        <w:spacing w:line="440" w:lineRule="exact"/>
        <w:rPr>
          <w:rFonts w:eastAsia="黑体"/>
          <w:color w:val="000000"/>
          <w:szCs w:val="21"/>
        </w:rPr>
      </w:pPr>
      <w:r>
        <w:rPr>
          <w:rFonts w:eastAsia="黑体"/>
          <w:color w:val="000000"/>
          <w:szCs w:val="21"/>
        </w:rPr>
        <w:t>1 抽样方法</w:t>
      </w:r>
    </w:p>
    <w:p w14:paraId="06BA6252">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375AA8E0">
      <w:pPr>
        <w:snapToGrid w:val="0"/>
        <w:spacing w:line="440" w:lineRule="exact"/>
        <w:ind w:firstLine="420" w:firstLineChars="200"/>
        <w:rPr>
          <w:color w:val="000000"/>
          <w:szCs w:val="21"/>
        </w:rPr>
      </w:pPr>
      <w:r>
        <w:rPr>
          <w:color w:val="000000"/>
          <w:szCs w:val="21"/>
        </w:rPr>
        <w:t>随机数一般可使用随机数表等方法产生。</w:t>
      </w:r>
    </w:p>
    <w:p w14:paraId="2C0D5EFC">
      <w:pPr>
        <w:snapToGrid w:val="0"/>
        <w:spacing w:line="440" w:lineRule="exact"/>
        <w:ind w:firstLine="420" w:firstLineChars="200"/>
        <w:rPr>
          <w:color w:val="000000"/>
          <w:szCs w:val="21"/>
        </w:rPr>
      </w:pPr>
      <w:r>
        <w:rPr>
          <w:color w:val="000000"/>
          <w:szCs w:val="21"/>
        </w:rPr>
        <w:t>每批次抽样数量</w:t>
      </w:r>
      <w:r>
        <w:rPr>
          <w:rFonts w:hint="eastAsia"/>
          <w:color w:val="000000"/>
          <w:szCs w:val="21"/>
        </w:rPr>
        <w:t>6卷，其中检验样品数量3卷，备用样品数量3卷。</w:t>
      </w:r>
    </w:p>
    <w:p w14:paraId="1801B993">
      <w:pPr>
        <w:snapToGrid w:val="0"/>
        <w:spacing w:line="440" w:lineRule="exact"/>
        <w:ind w:firstLine="420" w:firstLineChars="200"/>
        <w:rPr>
          <w:color w:val="000000"/>
          <w:szCs w:val="21"/>
        </w:rPr>
      </w:pPr>
    </w:p>
    <w:p w14:paraId="1538EF95">
      <w:pPr>
        <w:snapToGrid w:val="0"/>
        <w:spacing w:line="440" w:lineRule="exact"/>
        <w:rPr>
          <w:rFonts w:eastAsia="黑体"/>
          <w:color w:val="000000"/>
          <w:szCs w:val="21"/>
        </w:rPr>
      </w:pPr>
      <w:r>
        <w:rPr>
          <w:rFonts w:eastAsia="黑体"/>
          <w:color w:val="000000"/>
          <w:szCs w:val="21"/>
        </w:rPr>
        <w:t>2 检验依据</w:t>
      </w:r>
    </w:p>
    <w:p w14:paraId="444BDCED">
      <w:pPr>
        <w:snapToGrid w:val="0"/>
        <w:spacing w:line="440" w:lineRule="exact"/>
        <w:rPr>
          <w:rFonts w:eastAsia="黑体"/>
          <w:color w:val="000000"/>
          <w:szCs w:val="21"/>
        </w:rPr>
      </w:pPr>
    </w:p>
    <w:tbl>
      <w:tblPr>
        <w:tblStyle w:val="7"/>
        <w:tblW w:w="498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8"/>
        <w:gridCol w:w="2907"/>
        <w:gridCol w:w="4797"/>
      </w:tblGrid>
      <w:tr w14:paraId="5D903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pct"/>
            <w:vAlign w:val="center"/>
          </w:tcPr>
          <w:p w14:paraId="2D6759F9">
            <w:pPr>
              <w:snapToGrid w:val="0"/>
              <w:spacing w:line="440" w:lineRule="exact"/>
              <w:jc w:val="center"/>
              <w:rPr>
                <w:color w:val="000000"/>
                <w:szCs w:val="21"/>
              </w:rPr>
            </w:pPr>
            <w:r>
              <w:rPr>
                <w:color w:val="000000"/>
                <w:szCs w:val="21"/>
              </w:rPr>
              <w:t>序号</w:t>
            </w:r>
          </w:p>
        </w:tc>
        <w:tc>
          <w:tcPr>
            <w:tcW w:w="1588" w:type="pct"/>
            <w:vAlign w:val="center"/>
          </w:tcPr>
          <w:p w14:paraId="70F3722E">
            <w:pPr>
              <w:snapToGrid w:val="0"/>
              <w:spacing w:line="440" w:lineRule="exact"/>
              <w:jc w:val="center"/>
              <w:rPr>
                <w:color w:val="000000"/>
                <w:szCs w:val="21"/>
              </w:rPr>
            </w:pPr>
            <w:r>
              <w:rPr>
                <w:color w:val="000000"/>
                <w:szCs w:val="21"/>
              </w:rPr>
              <w:t>检验项目</w:t>
            </w:r>
          </w:p>
        </w:tc>
        <w:tc>
          <w:tcPr>
            <w:tcW w:w="2621" w:type="pct"/>
            <w:vAlign w:val="center"/>
          </w:tcPr>
          <w:p w14:paraId="46704EEA">
            <w:pPr>
              <w:snapToGrid w:val="0"/>
              <w:spacing w:line="440" w:lineRule="exact"/>
              <w:jc w:val="center"/>
              <w:rPr>
                <w:color w:val="000000"/>
                <w:szCs w:val="21"/>
              </w:rPr>
            </w:pPr>
            <w:r>
              <w:rPr>
                <w:color w:val="000000"/>
                <w:szCs w:val="21"/>
              </w:rPr>
              <w:t>检验方法</w:t>
            </w:r>
          </w:p>
        </w:tc>
      </w:tr>
      <w:tr w14:paraId="1BAAE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pct"/>
            <w:vAlign w:val="center"/>
          </w:tcPr>
          <w:p w14:paraId="00DE247A">
            <w:pPr>
              <w:snapToGrid w:val="0"/>
              <w:spacing w:line="440" w:lineRule="exact"/>
              <w:jc w:val="center"/>
              <w:rPr>
                <w:color w:val="000000"/>
                <w:szCs w:val="21"/>
              </w:rPr>
            </w:pPr>
            <w:r>
              <w:rPr>
                <w:rFonts w:hint="eastAsia"/>
                <w:color w:val="000000"/>
                <w:szCs w:val="21"/>
              </w:rPr>
              <w:t>1</w:t>
            </w:r>
          </w:p>
        </w:tc>
        <w:tc>
          <w:tcPr>
            <w:tcW w:w="1588" w:type="pct"/>
            <w:vAlign w:val="center"/>
          </w:tcPr>
          <w:p w14:paraId="652A000F">
            <w:pPr>
              <w:spacing w:line="300" w:lineRule="exact"/>
              <w:jc w:val="center"/>
              <w:textAlignment w:val="center"/>
              <w:rPr>
                <w:szCs w:val="21"/>
              </w:rPr>
            </w:pPr>
            <w:r>
              <w:rPr>
                <w:rFonts w:hint="eastAsia"/>
                <w:szCs w:val="21"/>
              </w:rPr>
              <w:t>表观密度</w:t>
            </w:r>
          </w:p>
        </w:tc>
        <w:tc>
          <w:tcPr>
            <w:tcW w:w="2621" w:type="pct"/>
            <w:vAlign w:val="center"/>
          </w:tcPr>
          <w:p w14:paraId="175131F2">
            <w:pPr>
              <w:spacing w:line="300" w:lineRule="exact"/>
              <w:jc w:val="center"/>
              <w:textAlignment w:val="center"/>
              <w:rPr>
                <w:color w:val="000000"/>
                <w:kern w:val="0"/>
                <w:szCs w:val="21"/>
              </w:rPr>
            </w:pPr>
            <w:r>
              <w:rPr>
                <w:color w:val="000000"/>
                <w:kern w:val="0"/>
                <w:szCs w:val="21"/>
              </w:rPr>
              <w:t>QB/T 4008</w:t>
            </w:r>
            <w:r>
              <w:rPr>
                <w:rFonts w:hint="eastAsia"/>
                <w:color w:val="000000"/>
                <w:kern w:val="0"/>
                <w:szCs w:val="21"/>
              </w:rPr>
              <w:t>—</w:t>
            </w:r>
            <w:r>
              <w:rPr>
                <w:color w:val="000000"/>
                <w:kern w:val="0"/>
                <w:szCs w:val="21"/>
              </w:rPr>
              <w:t>2022</w:t>
            </w:r>
          </w:p>
          <w:p w14:paraId="20F5BE79">
            <w:pPr>
              <w:spacing w:line="300" w:lineRule="exact"/>
              <w:jc w:val="center"/>
              <w:textAlignment w:val="center"/>
              <w:rPr>
                <w:color w:val="000000"/>
                <w:kern w:val="0"/>
                <w:szCs w:val="21"/>
              </w:rPr>
            </w:pPr>
            <w:r>
              <w:rPr>
                <w:color w:val="000000"/>
                <w:kern w:val="0"/>
                <w:szCs w:val="21"/>
              </w:rPr>
              <w:t>GB/T 6672-2001</w:t>
            </w:r>
          </w:p>
          <w:p w14:paraId="0E98EC38">
            <w:pPr>
              <w:spacing w:line="300" w:lineRule="exact"/>
              <w:jc w:val="center"/>
              <w:textAlignment w:val="center"/>
              <w:rPr>
                <w:color w:val="000000"/>
                <w:kern w:val="0"/>
                <w:szCs w:val="21"/>
              </w:rPr>
            </w:pPr>
            <w:r>
              <w:rPr>
                <w:rFonts w:hint="eastAsia"/>
                <w:color w:val="000000"/>
                <w:kern w:val="0"/>
                <w:szCs w:val="21"/>
              </w:rPr>
              <w:t>G</w:t>
            </w:r>
            <w:r>
              <w:rPr>
                <w:color w:val="000000"/>
                <w:kern w:val="0"/>
                <w:szCs w:val="21"/>
              </w:rPr>
              <w:t>B/T 6673-2001</w:t>
            </w:r>
          </w:p>
        </w:tc>
      </w:tr>
      <w:tr w14:paraId="71E0A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pct"/>
            <w:vAlign w:val="center"/>
          </w:tcPr>
          <w:p w14:paraId="0647718A">
            <w:pPr>
              <w:snapToGrid w:val="0"/>
              <w:spacing w:line="440" w:lineRule="exact"/>
              <w:jc w:val="center"/>
              <w:rPr>
                <w:color w:val="000000"/>
                <w:szCs w:val="21"/>
              </w:rPr>
            </w:pPr>
            <w:r>
              <w:rPr>
                <w:rFonts w:hint="eastAsia"/>
                <w:color w:val="000000"/>
                <w:szCs w:val="21"/>
              </w:rPr>
              <w:t>2</w:t>
            </w:r>
          </w:p>
        </w:tc>
        <w:tc>
          <w:tcPr>
            <w:tcW w:w="1588" w:type="pct"/>
            <w:vAlign w:val="center"/>
          </w:tcPr>
          <w:p w14:paraId="7DDB6A2F">
            <w:pPr>
              <w:spacing w:line="300" w:lineRule="exact"/>
              <w:jc w:val="center"/>
              <w:textAlignment w:val="center"/>
              <w:rPr>
                <w:szCs w:val="21"/>
              </w:rPr>
            </w:pPr>
            <w:r>
              <w:rPr>
                <w:rFonts w:hint="eastAsia"/>
                <w:szCs w:val="21"/>
              </w:rPr>
              <w:t>拉伸强度</w:t>
            </w:r>
          </w:p>
        </w:tc>
        <w:tc>
          <w:tcPr>
            <w:tcW w:w="2621" w:type="pct"/>
            <w:vAlign w:val="center"/>
          </w:tcPr>
          <w:p w14:paraId="65858FF9">
            <w:pPr>
              <w:spacing w:line="300" w:lineRule="exact"/>
              <w:jc w:val="center"/>
              <w:textAlignment w:val="center"/>
              <w:rPr>
                <w:color w:val="000000"/>
                <w:kern w:val="0"/>
                <w:szCs w:val="21"/>
              </w:rPr>
            </w:pPr>
            <w:r>
              <w:rPr>
                <w:color w:val="000000"/>
                <w:kern w:val="0"/>
                <w:szCs w:val="21"/>
              </w:rPr>
              <w:t>QB/T 4008</w:t>
            </w:r>
            <w:r>
              <w:rPr>
                <w:rFonts w:hint="eastAsia"/>
                <w:color w:val="000000"/>
                <w:kern w:val="0"/>
                <w:szCs w:val="21"/>
              </w:rPr>
              <w:t>—</w:t>
            </w:r>
            <w:r>
              <w:rPr>
                <w:color w:val="000000"/>
                <w:kern w:val="0"/>
                <w:szCs w:val="21"/>
              </w:rPr>
              <w:t>2022</w:t>
            </w:r>
          </w:p>
          <w:p w14:paraId="4FF129E2">
            <w:pPr>
              <w:spacing w:line="300" w:lineRule="exact"/>
              <w:jc w:val="center"/>
              <w:textAlignment w:val="center"/>
              <w:rPr>
                <w:color w:val="000000"/>
                <w:kern w:val="0"/>
                <w:szCs w:val="21"/>
              </w:rPr>
            </w:pPr>
            <w:r>
              <w:rPr>
                <w:color w:val="000000"/>
                <w:kern w:val="0"/>
                <w:szCs w:val="21"/>
              </w:rPr>
              <w:t>GB/T 1040.3</w:t>
            </w:r>
            <w:r>
              <w:rPr>
                <w:rFonts w:hint="eastAsia"/>
                <w:color w:val="000000"/>
                <w:kern w:val="0"/>
                <w:szCs w:val="21"/>
              </w:rPr>
              <w:t>—</w:t>
            </w:r>
            <w:r>
              <w:rPr>
                <w:color w:val="000000"/>
                <w:kern w:val="0"/>
                <w:szCs w:val="21"/>
              </w:rPr>
              <w:t>2006</w:t>
            </w:r>
          </w:p>
        </w:tc>
      </w:tr>
      <w:tr w14:paraId="73930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pct"/>
            <w:vAlign w:val="center"/>
          </w:tcPr>
          <w:p w14:paraId="52AF272D">
            <w:pPr>
              <w:snapToGrid w:val="0"/>
              <w:spacing w:line="440" w:lineRule="exact"/>
              <w:jc w:val="center"/>
              <w:rPr>
                <w:color w:val="000000"/>
                <w:szCs w:val="21"/>
              </w:rPr>
            </w:pPr>
            <w:r>
              <w:rPr>
                <w:rFonts w:hint="eastAsia"/>
                <w:color w:val="000000"/>
                <w:szCs w:val="21"/>
              </w:rPr>
              <w:t>3</w:t>
            </w:r>
          </w:p>
        </w:tc>
        <w:tc>
          <w:tcPr>
            <w:tcW w:w="1588" w:type="pct"/>
            <w:vAlign w:val="center"/>
          </w:tcPr>
          <w:p w14:paraId="247ED03A">
            <w:pPr>
              <w:spacing w:line="300" w:lineRule="exact"/>
              <w:jc w:val="center"/>
              <w:textAlignment w:val="center"/>
              <w:rPr>
                <w:szCs w:val="21"/>
              </w:rPr>
            </w:pPr>
            <w:r>
              <w:rPr>
                <w:rFonts w:hint="eastAsia"/>
                <w:szCs w:val="21"/>
              </w:rPr>
              <w:t>拉伸断裂应变</w:t>
            </w:r>
          </w:p>
        </w:tc>
        <w:tc>
          <w:tcPr>
            <w:tcW w:w="2621" w:type="pct"/>
            <w:vAlign w:val="center"/>
          </w:tcPr>
          <w:p w14:paraId="3007039C">
            <w:pPr>
              <w:spacing w:line="300" w:lineRule="exact"/>
              <w:jc w:val="center"/>
              <w:textAlignment w:val="center"/>
              <w:rPr>
                <w:color w:val="000000"/>
                <w:kern w:val="0"/>
                <w:szCs w:val="21"/>
              </w:rPr>
            </w:pPr>
            <w:r>
              <w:rPr>
                <w:color w:val="000000"/>
                <w:kern w:val="0"/>
                <w:szCs w:val="21"/>
              </w:rPr>
              <w:t>QB/T 4008</w:t>
            </w:r>
            <w:r>
              <w:rPr>
                <w:rFonts w:hint="eastAsia"/>
                <w:color w:val="000000"/>
                <w:kern w:val="0"/>
                <w:szCs w:val="21"/>
              </w:rPr>
              <w:t>—</w:t>
            </w:r>
            <w:r>
              <w:rPr>
                <w:color w:val="000000"/>
                <w:kern w:val="0"/>
                <w:szCs w:val="21"/>
              </w:rPr>
              <w:t>2022</w:t>
            </w:r>
          </w:p>
          <w:p w14:paraId="1822368A">
            <w:pPr>
              <w:spacing w:line="300" w:lineRule="exact"/>
              <w:jc w:val="center"/>
              <w:textAlignment w:val="center"/>
              <w:rPr>
                <w:color w:val="000000"/>
                <w:kern w:val="0"/>
                <w:szCs w:val="21"/>
              </w:rPr>
            </w:pPr>
            <w:r>
              <w:rPr>
                <w:color w:val="000000"/>
                <w:kern w:val="0"/>
                <w:szCs w:val="21"/>
              </w:rPr>
              <w:t>GB/T 1040.3</w:t>
            </w:r>
            <w:r>
              <w:rPr>
                <w:rFonts w:hint="eastAsia"/>
                <w:color w:val="000000"/>
                <w:kern w:val="0"/>
                <w:szCs w:val="21"/>
              </w:rPr>
              <w:t>—</w:t>
            </w:r>
            <w:r>
              <w:rPr>
                <w:color w:val="000000"/>
                <w:kern w:val="0"/>
                <w:szCs w:val="21"/>
              </w:rPr>
              <w:t>2006</w:t>
            </w:r>
          </w:p>
        </w:tc>
      </w:tr>
      <w:tr w14:paraId="3182D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pct"/>
            <w:vAlign w:val="center"/>
          </w:tcPr>
          <w:p w14:paraId="6BAC5B17">
            <w:pPr>
              <w:snapToGrid w:val="0"/>
              <w:spacing w:line="440" w:lineRule="exact"/>
              <w:jc w:val="center"/>
              <w:rPr>
                <w:color w:val="000000"/>
                <w:szCs w:val="21"/>
              </w:rPr>
            </w:pPr>
            <w:r>
              <w:rPr>
                <w:rFonts w:hint="eastAsia"/>
                <w:color w:val="000000"/>
                <w:szCs w:val="21"/>
              </w:rPr>
              <w:t>4</w:t>
            </w:r>
          </w:p>
        </w:tc>
        <w:tc>
          <w:tcPr>
            <w:tcW w:w="1588" w:type="pct"/>
            <w:vAlign w:val="center"/>
          </w:tcPr>
          <w:p w14:paraId="4E2F623D">
            <w:pPr>
              <w:spacing w:line="300" w:lineRule="exact"/>
              <w:jc w:val="center"/>
              <w:textAlignment w:val="center"/>
              <w:rPr>
                <w:szCs w:val="21"/>
              </w:rPr>
            </w:pPr>
            <w:r>
              <w:rPr>
                <w:rFonts w:hint="eastAsia"/>
                <w:szCs w:val="21"/>
              </w:rPr>
              <w:t>挥发减量</w:t>
            </w:r>
          </w:p>
        </w:tc>
        <w:tc>
          <w:tcPr>
            <w:tcW w:w="2621" w:type="pct"/>
            <w:vAlign w:val="center"/>
          </w:tcPr>
          <w:p w14:paraId="0AD892C2">
            <w:pPr>
              <w:spacing w:line="300" w:lineRule="exact"/>
              <w:jc w:val="center"/>
              <w:textAlignment w:val="center"/>
              <w:rPr>
                <w:color w:val="000000"/>
                <w:kern w:val="0"/>
                <w:szCs w:val="21"/>
              </w:rPr>
            </w:pPr>
            <w:r>
              <w:rPr>
                <w:color w:val="000000"/>
                <w:kern w:val="0"/>
                <w:szCs w:val="21"/>
              </w:rPr>
              <w:t>QB/T 4008</w:t>
            </w:r>
            <w:r>
              <w:rPr>
                <w:rFonts w:hint="eastAsia"/>
                <w:color w:val="000000"/>
                <w:kern w:val="0"/>
                <w:szCs w:val="21"/>
              </w:rPr>
              <w:t>—</w:t>
            </w:r>
            <w:r>
              <w:rPr>
                <w:color w:val="000000"/>
                <w:kern w:val="0"/>
                <w:szCs w:val="21"/>
              </w:rPr>
              <w:t>2022</w:t>
            </w:r>
          </w:p>
        </w:tc>
      </w:tr>
    </w:tbl>
    <w:p w14:paraId="02DAF088">
      <w:pPr>
        <w:adjustRightInd w:val="0"/>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244A4569">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505582DF">
      <w:pPr>
        <w:snapToGrid w:val="0"/>
        <w:spacing w:line="440" w:lineRule="exact"/>
        <w:ind w:firstLine="359" w:firstLineChars="171"/>
        <w:rPr>
          <w:color w:val="000000"/>
          <w:szCs w:val="21"/>
        </w:rPr>
      </w:pPr>
    </w:p>
    <w:p w14:paraId="7B8A788E">
      <w:pPr>
        <w:spacing w:line="360" w:lineRule="auto"/>
        <w:rPr>
          <w:rFonts w:eastAsia="黑体"/>
          <w:color w:val="000000"/>
          <w:szCs w:val="21"/>
        </w:rPr>
      </w:pPr>
      <w:r>
        <w:rPr>
          <w:rFonts w:eastAsia="黑体"/>
          <w:color w:val="000000"/>
          <w:szCs w:val="21"/>
        </w:rPr>
        <w:t>3 判定规则</w:t>
      </w:r>
    </w:p>
    <w:p w14:paraId="0A3FCDBC">
      <w:pPr>
        <w:snapToGrid w:val="0"/>
        <w:spacing w:line="440" w:lineRule="exact"/>
        <w:rPr>
          <w:color w:val="000000"/>
          <w:szCs w:val="21"/>
        </w:rPr>
      </w:pPr>
      <w:r>
        <w:rPr>
          <w:color w:val="000000"/>
          <w:szCs w:val="21"/>
        </w:rPr>
        <w:t>3.1依据标准</w:t>
      </w:r>
    </w:p>
    <w:p w14:paraId="4CC4595F">
      <w:pPr>
        <w:snapToGrid w:val="0"/>
        <w:spacing w:line="440" w:lineRule="exact"/>
        <w:ind w:firstLine="420" w:firstLineChars="200"/>
        <w:rPr>
          <w:color w:val="000000"/>
          <w:szCs w:val="21"/>
        </w:rPr>
      </w:pPr>
      <w:r>
        <w:rPr>
          <w:rFonts w:hint="eastAsia"/>
          <w:color w:val="000000"/>
          <w:szCs w:val="21"/>
        </w:rPr>
        <w:t>Q</w:t>
      </w:r>
      <w:r>
        <w:rPr>
          <w:color w:val="000000"/>
          <w:szCs w:val="21"/>
        </w:rPr>
        <w:t>B/T 4008</w:t>
      </w:r>
      <w:r>
        <w:rPr>
          <w:rFonts w:hint="eastAsia"/>
          <w:color w:val="000000"/>
          <w:kern w:val="0"/>
          <w:szCs w:val="21"/>
        </w:rPr>
        <w:t>—</w:t>
      </w:r>
      <w:r>
        <w:rPr>
          <w:color w:val="000000"/>
          <w:szCs w:val="21"/>
        </w:rPr>
        <w:t xml:space="preserve">2022 </w:t>
      </w:r>
      <w:r>
        <w:rPr>
          <w:rFonts w:hint="eastAsia"/>
          <w:color w:val="000000"/>
          <w:szCs w:val="21"/>
        </w:rPr>
        <w:t>螺纹密封用聚四氟乙烯未烧结带（生料带）</w:t>
      </w:r>
    </w:p>
    <w:p w14:paraId="23A57492">
      <w:pPr>
        <w:snapToGrid w:val="0"/>
        <w:spacing w:line="440" w:lineRule="exact"/>
        <w:ind w:firstLine="359" w:firstLineChars="171"/>
        <w:rPr>
          <w:color w:val="000000"/>
          <w:szCs w:val="21"/>
        </w:rPr>
      </w:pPr>
      <w:r>
        <w:rPr>
          <w:color w:val="000000"/>
          <w:szCs w:val="21"/>
        </w:rPr>
        <w:t>现行有效的企业标准、团体标准、地方标准及产品明示质量要求</w:t>
      </w:r>
    </w:p>
    <w:p w14:paraId="1D75BD76">
      <w:pPr>
        <w:snapToGrid w:val="0"/>
        <w:spacing w:line="440" w:lineRule="exact"/>
        <w:rPr>
          <w:color w:val="000000"/>
          <w:szCs w:val="21"/>
        </w:rPr>
      </w:pPr>
      <w:r>
        <w:rPr>
          <w:color w:val="000000"/>
          <w:szCs w:val="21"/>
        </w:rPr>
        <w:t>3.2判定原则</w:t>
      </w:r>
    </w:p>
    <w:p w14:paraId="48F22917">
      <w:pPr>
        <w:snapToGrid w:val="0"/>
        <w:spacing w:line="440" w:lineRule="exact"/>
        <w:ind w:firstLine="420" w:firstLineChars="200"/>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0D1F2D4D">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0019A39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72A494D0">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2EEDF709">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7A2AE51D">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5AA4895D">
      <w:pPr>
        <w:snapToGrid w:val="0"/>
        <w:spacing w:line="440" w:lineRule="exact"/>
        <w:ind w:firstLine="417" w:firstLineChars="199"/>
        <w:rPr>
          <w:color w:val="000000"/>
          <w:szCs w:val="21"/>
        </w:rPr>
      </w:pPr>
    </w:p>
    <w:p w14:paraId="75368A20">
      <w:pPr>
        <w:spacing w:line="440" w:lineRule="exact"/>
        <w:rPr>
          <w:rFonts w:eastAsia="黑体"/>
          <w:color w:val="000000"/>
          <w:szCs w:val="21"/>
        </w:rPr>
      </w:pPr>
      <w:r>
        <w:rPr>
          <w:rFonts w:eastAsia="黑体"/>
          <w:color w:val="000000"/>
          <w:szCs w:val="21"/>
        </w:rPr>
        <w:t>4 附则</w:t>
      </w:r>
    </w:p>
    <w:p w14:paraId="485DE98E">
      <w:pPr>
        <w:spacing w:line="440" w:lineRule="exact"/>
        <w:ind w:firstLine="420" w:firstLineChars="200"/>
        <w:rPr>
          <w:color w:val="000000"/>
          <w:szCs w:val="21"/>
        </w:rPr>
      </w:pPr>
      <w:bookmarkStart w:id="0" w:name="_GoBack"/>
      <w:bookmarkEnd w:id="0"/>
      <w:r>
        <w:rPr>
          <w:color w:val="000000"/>
          <w:szCs w:val="21"/>
        </w:rPr>
        <w:t>本细则首次发布。</w:t>
      </w:r>
    </w:p>
    <w:p w14:paraId="55D5D735">
      <w:pPr>
        <w:snapToGrid w:val="0"/>
        <w:spacing w:line="440" w:lineRule="exact"/>
        <w:rPr>
          <w:color w:val="000000"/>
          <w:szCs w:val="21"/>
        </w:rPr>
      </w:pP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CC040">
    <w:pPr>
      <w:pStyle w:val="4"/>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408840F9">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5B2AF">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14:paraId="1E7494E1">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CEF2E">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RmZDlmMjdkNDI1NjEzMmI2Y2M4ZTAxODQ5YmJlMTYifQ=="/>
  </w:docVars>
  <w:rsids>
    <w:rsidRoot w:val="00172A27"/>
    <w:rsid w:val="00022375"/>
    <w:rsid w:val="00043C5C"/>
    <w:rsid w:val="00051A44"/>
    <w:rsid w:val="0007022B"/>
    <w:rsid w:val="00075CE1"/>
    <w:rsid w:val="00081CBD"/>
    <w:rsid w:val="000976DE"/>
    <w:rsid w:val="000C1A0B"/>
    <w:rsid w:val="000D42AF"/>
    <w:rsid w:val="000E64EC"/>
    <w:rsid w:val="00123D1C"/>
    <w:rsid w:val="00172A27"/>
    <w:rsid w:val="001809DD"/>
    <w:rsid w:val="001A4F83"/>
    <w:rsid w:val="001F6576"/>
    <w:rsid w:val="002248FC"/>
    <w:rsid w:val="00232530"/>
    <w:rsid w:val="00253624"/>
    <w:rsid w:val="00257D6A"/>
    <w:rsid w:val="002605C2"/>
    <w:rsid w:val="002A2307"/>
    <w:rsid w:val="002A4E85"/>
    <w:rsid w:val="002C49BD"/>
    <w:rsid w:val="002D7F8A"/>
    <w:rsid w:val="002E0D1D"/>
    <w:rsid w:val="002E3CBD"/>
    <w:rsid w:val="003203A3"/>
    <w:rsid w:val="00365CBE"/>
    <w:rsid w:val="003836EF"/>
    <w:rsid w:val="003A5F8A"/>
    <w:rsid w:val="003A7D30"/>
    <w:rsid w:val="003B2D81"/>
    <w:rsid w:val="003C388C"/>
    <w:rsid w:val="003D09A1"/>
    <w:rsid w:val="003E3E85"/>
    <w:rsid w:val="003E61BF"/>
    <w:rsid w:val="004104AC"/>
    <w:rsid w:val="00443611"/>
    <w:rsid w:val="00445E86"/>
    <w:rsid w:val="0045434D"/>
    <w:rsid w:val="00474E04"/>
    <w:rsid w:val="00476D85"/>
    <w:rsid w:val="00487086"/>
    <w:rsid w:val="004908CE"/>
    <w:rsid w:val="004B0BA1"/>
    <w:rsid w:val="004D0C5A"/>
    <w:rsid w:val="004D184C"/>
    <w:rsid w:val="004E1396"/>
    <w:rsid w:val="004E6C21"/>
    <w:rsid w:val="004E7E9A"/>
    <w:rsid w:val="00563EBC"/>
    <w:rsid w:val="005C747C"/>
    <w:rsid w:val="005F04C4"/>
    <w:rsid w:val="005F39C3"/>
    <w:rsid w:val="005F7244"/>
    <w:rsid w:val="00616DCE"/>
    <w:rsid w:val="00675411"/>
    <w:rsid w:val="006B62C5"/>
    <w:rsid w:val="006E1171"/>
    <w:rsid w:val="006F0971"/>
    <w:rsid w:val="0072334C"/>
    <w:rsid w:val="007426EE"/>
    <w:rsid w:val="0075049D"/>
    <w:rsid w:val="007A4D3E"/>
    <w:rsid w:val="00895BEA"/>
    <w:rsid w:val="00896DD8"/>
    <w:rsid w:val="008A3497"/>
    <w:rsid w:val="008B3F67"/>
    <w:rsid w:val="00917A54"/>
    <w:rsid w:val="00932975"/>
    <w:rsid w:val="009348FA"/>
    <w:rsid w:val="009F39D0"/>
    <w:rsid w:val="00A05840"/>
    <w:rsid w:val="00A23D98"/>
    <w:rsid w:val="00A43553"/>
    <w:rsid w:val="00AB0E18"/>
    <w:rsid w:val="00AC32FA"/>
    <w:rsid w:val="00AC383E"/>
    <w:rsid w:val="00AC5391"/>
    <w:rsid w:val="00AF6FB4"/>
    <w:rsid w:val="00B5304D"/>
    <w:rsid w:val="00B65F23"/>
    <w:rsid w:val="00B73598"/>
    <w:rsid w:val="00BF2B8C"/>
    <w:rsid w:val="00C26074"/>
    <w:rsid w:val="00C75B21"/>
    <w:rsid w:val="00C83B0A"/>
    <w:rsid w:val="00CE1E0C"/>
    <w:rsid w:val="00CE277E"/>
    <w:rsid w:val="00D02F00"/>
    <w:rsid w:val="00D37EEE"/>
    <w:rsid w:val="00D56867"/>
    <w:rsid w:val="00D643A9"/>
    <w:rsid w:val="00DD7FF2"/>
    <w:rsid w:val="00E02A7F"/>
    <w:rsid w:val="00E07880"/>
    <w:rsid w:val="00E44652"/>
    <w:rsid w:val="00E533E6"/>
    <w:rsid w:val="00E82621"/>
    <w:rsid w:val="00F333BA"/>
    <w:rsid w:val="00F77C9A"/>
    <w:rsid w:val="00F8196D"/>
    <w:rsid w:val="00FA5989"/>
    <w:rsid w:val="00FB576C"/>
    <w:rsid w:val="00FC2598"/>
    <w:rsid w:val="00FC553C"/>
    <w:rsid w:val="00FD2AA6"/>
    <w:rsid w:val="00FE7E8A"/>
    <w:rsid w:val="1A597193"/>
    <w:rsid w:val="20971CA1"/>
    <w:rsid w:val="277A0467"/>
    <w:rsid w:val="385C0296"/>
    <w:rsid w:val="39B15206"/>
    <w:rsid w:val="49557320"/>
    <w:rsid w:val="4FC76963"/>
    <w:rsid w:val="6F141779"/>
    <w:rsid w:val="7A1D0398"/>
    <w:rsid w:val="D6DC533C"/>
    <w:rsid w:val="DDC7275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unhideWhenUsed/>
    <w:qFormat/>
    <w:uiPriority w:val="99"/>
    <w:pPr>
      <w:jc w:val="left"/>
    </w:pPr>
  </w:style>
  <w:style w:type="paragraph" w:styleId="3">
    <w:name w:val="Balloon Text"/>
    <w:basedOn w:val="1"/>
    <w:link w:val="12"/>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99"/>
    <w:rPr>
      <w:b/>
      <w:bCs/>
    </w:rPr>
  </w:style>
  <w:style w:type="character" w:styleId="9">
    <w:name w:val="page number"/>
    <w:qFormat/>
    <w:uiPriority w:val="0"/>
  </w:style>
  <w:style w:type="character" w:styleId="10">
    <w:name w:val="annotation reference"/>
    <w:unhideWhenUsed/>
    <w:qFormat/>
    <w:uiPriority w:val="99"/>
    <w:rPr>
      <w:sz w:val="21"/>
      <w:szCs w:val="21"/>
    </w:rPr>
  </w:style>
  <w:style w:type="character" w:customStyle="1" w:styleId="11">
    <w:name w:val="批注文字 字符"/>
    <w:link w:val="2"/>
    <w:semiHidden/>
    <w:qFormat/>
    <w:uiPriority w:val="99"/>
    <w:rPr>
      <w:kern w:val="2"/>
      <w:sz w:val="21"/>
      <w:szCs w:val="24"/>
    </w:rPr>
  </w:style>
  <w:style w:type="character" w:customStyle="1" w:styleId="12">
    <w:name w:val="批注框文本 字符"/>
    <w:link w:val="3"/>
    <w:semiHidden/>
    <w:qFormat/>
    <w:uiPriority w:val="99"/>
    <w:rPr>
      <w:kern w:val="2"/>
      <w:sz w:val="18"/>
      <w:szCs w:val="18"/>
    </w:rPr>
  </w:style>
  <w:style w:type="character" w:customStyle="1" w:styleId="13">
    <w:name w:val="页脚 字符"/>
    <w:link w:val="4"/>
    <w:qFormat/>
    <w:uiPriority w:val="99"/>
    <w:rPr>
      <w:kern w:val="2"/>
      <w:sz w:val="18"/>
      <w:szCs w:val="18"/>
    </w:rPr>
  </w:style>
  <w:style w:type="character" w:customStyle="1" w:styleId="14">
    <w:name w:val="页眉 字符"/>
    <w:link w:val="5"/>
    <w:semiHidden/>
    <w:qFormat/>
    <w:uiPriority w:val="99"/>
    <w:rPr>
      <w:kern w:val="2"/>
      <w:sz w:val="18"/>
      <w:szCs w:val="18"/>
    </w:rPr>
  </w:style>
  <w:style w:type="character" w:customStyle="1" w:styleId="15">
    <w:name w:val="批注主题 字符"/>
    <w:link w:val="6"/>
    <w:semiHidden/>
    <w:qFormat/>
    <w:uiPriority w:val="99"/>
    <w:rPr>
      <w:b/>
      <w:bCs/>
      <w:kern w:val="2"/>
      <w:sz w:val="21"/>
      <w:szCs w:val="24"/>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修订1"/>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Legend (Beijing) Limited</Company>
  <Pages>2</Pages>
  <Words>652</Words>
  <Characters>748</Characters>
  <Lines>33</Lines>
  <Paragraphs>45</Paragraphs>
  <TotalTime>1</TotalTime>
  <ScaleCrop>false</ScaleCrop>
  <LinksUpToDate>false</LinksUpToDate>
  <CharactersWithSpaces>762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2026-04-08T20:03:00Z</dcterms:created>
  <dc:creator>Legend User</dc:creator>
  <cp:lastModifiedBy>Jy</cp:lastModifiedBy>
  <cp:lastPrinted>2019-12-05T23:53:00Z</cp:lastPrinted>
  <dcterms:modified xsi:type="dcterms:W3CDTF">2026-04-23T01:08:45Z</dcterms:modified>
  <dc:title>××产品质量监督抽查实施细则</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commondata">
    <vt:lpwstr>eyJoZGlkIjoiNDRmZDlmMjdkNDI1NjEzMmI2Y2M4ZTAxODQ5YmJlMTYifQ==</vt:lpwstr>
  </property>
  <property fmtid="{D5CDD505-2E9C-101B-9397-08002B2CF9AE}" pid="4" name="ICV">
    <vt:lpwstr>D3D96C295FD64629A1A4BD47F8A6D055</vt:lpwstr>
  </property>
  <property fmtid="{D5CDD505-2E9C-101B-9397-08002B2CF9AE}" pid="5" name="KSOTemplateDocerSaveRecord">
    <vt:lpwstr>eyJoZGlkIjoiMzllYzFhOGMyMzUxMWY5N2FkOTZhZjJhOGVhOTUzODMiLCJ1c2VySWQiOiI2ODU5MzkzNDcifQ==</vt:lpwstr>
  </property>
</Properties>
</file>