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E54D" w14:textId="77777777" w:rsidR="00AF74B3" w:rsidRDefault="00000000">
      <w:pPr>
        <w:jc w:val="center"/>
        <w:rPr>
          <w:rFonts w:eastAsia="黑体"/>
          <w:sz w:val="36"/>
          <w:szCs w:val="36"/>
        </w:rPr>
      </w:pPr>
      <w:bookmarkStart w:id="0" w:name="_Toc185867924"/>
      <w:r>
        <w:rPr>
          <w:rFonts w:eastAsia="黑体"/>
          <w:sz w:val="36"/>
          <w:szCs w:val="36"/>
        </w:rPr>
        <w:t>经营者集中简易案件公示表</w:t>
      </w:r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703"/>
        <w:gridCol w:w="6093"/>
      </w:tblGrid>
      <w:tr w:rsidR="00AF74B3" w14:paraId="7444C204" w14:textId="77777777">
        <w:trPr>
          <w:trHeight w:val="926"/>
        </w:trPr>
        <w:tc>
          <w:tcPr>
            <w:tcW w:w="1844" w:type="dxa"/>
            <w:shd w:val="clear" w:color="auto" w:fill="D9D9D9"/>
            <w:vAlign w:val="center"/>
          </w:tcPr>
          <w:p w14:paraId="0A416862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96" w:type="dxa"/>
            <w:gridSpan w:val="2"/>
            <w:vAlign w:val="center"/>
          </w:tcPr>
          <w:p w14:paraId="0A4E2DEE" w14:textId="77777777" w:rsidR="00AF74B3" w:rsidRDefault="00000000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proofErr w:type="spellStart"/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Stonepeak</w:t>
            </w:r>
            <w:proofErr w:type="spellEnd"/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 xml:space="preserve"> Partners LP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收购嘉实多集团控股有限公司股权案</w:t>
            </w:r>
          </w:p>
        </w:tc>
      </w:tr>
      <w:tr w:rsidR="00AF74B3" w14:paraId="783FD773" w14:textId="77777777">
        <w:trPr>
          <w:trHeight w:val="694"/>
        </w:trPr>
        <w:tc>
          <w:tcPr>
            <w:tcW w:w="1844" w:type="dxa"/>
            <w:shd w:val="clear" w:color="auto" w:fill="D9D9D9"/>
            <w:vAlign w:val="center"/>
          </w:tcPr>
          <w:p w14:paraId="0CD3F7BD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>
              <w:rPr>
                <w:rFonts w:cs="Times New Roman"/>
                <w:bCs/>
                <w:color w:val="000000"/>
                <w:lang w:eastAsia="zh-CN"/>
              </w:rPr>
              <w:t>200</w:t>
            </w:r>
            <w:r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96" w:type="dxa"/>
            <w:gridSpan w:val="2"/>
            <w:vAlign w:val="center"/>
          </w:tcPr>
          <w:p w14:paraId="3AD3C9FA" w14:textId="7AEF8B9F" w:rsidR="00AF74B3" w:rsidRDefault="00000000">
            <w:pPr>
              <w:pStyle w:val="Default"/>
              <w:jc w:val="both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本次交易涉及</w:t>
            </w:r>
            <w:proofErr w:type="spellStart"/>
            <w:r>
              <w:rPr>
                <w:rFonts w:hint="eastAsia"/>
                <w:bCs/>
                <w:lang w:eastAsia="zh-CN"/>
              </w:rPr>
              <w:t>Stonepeak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Partners LP</w:t>
            </w:r>
            <w:r>
              <w:rPr>
                <w:rFonts w:hint="eastAsia"/>
                <w:bCs/>
                <w:lang w:eastAsia="zh-CN"/>
              </w:rPr>
              <w:t>（“</w:t>
            </w:r>
            <w:proofErr w:type="spellStart"/>
            <w:r>
              <w:rPr>
                <w:rFonts w:hint="eastAsia"/>
                <w:b/>
                <w:lang w:eastAsia="zh-CN"/>
              </w:rPr>
              <w:t>Stonepeak</w:t>
            </w:r>
            <w:proofErr w:type="spellEnd"/>
            <w:r>
              <w:rPr>
                <w:rFonts w:hint="eastAsia"/>
                <w:b/>
                <w:lang w:eastAsia="zh-CN"/>
              </w:rPr>
              <w:t xml:space="preserve"> Partners</w:t>
            </w:r>
            <w:r>
              <w:rPr>
                <w:rFonts w:hint="eastAsia"/>
                <w:bCs/>
                <w:lang w:eastAsia="zh-CN"/>
              </w:rPr>
              <w:t>”，与其关联方合称“</w:t>
            </w:r>
            <w:proofErr w:type="spellStart"/>
            <w:r>
              <w:rPr>
                <w:rFonts w:hint="eastAsia"/>
                <w:b/>
                <w:lang w:eastAsia="zh-CN"/>
              </w:rPr>
              <w:t>Stonepeak</w:t>
            </w:r>
            <w:proofErr w:type="spellEnd"/>
            <w:r>
              <w:rPr>
                <w:rFonts w:hint="eastAsia"/>
                <w:bCs/>
                <w:lang w:eastAsia="zh-CN"/>
              </w:rPr>
              <w:t>”）间接收购嘉实多集团控股有限公司（</w:t>
            </w:r>
            <w:r>
              <w:rPr>
                <w:bCs/>
                <w:lang w:eastAsia="zh-CN"/>
              </w:rPr>
              <w:t>Castrol Group Holdings Limited</w:t>
            </w:r>
            <w:r>
              <w:rPr>
                <w:rFonts w:hint="eastAsia"/>
                <w:bCs/>
                <w:lang w:eastAsia="zh-CN"/>
              </w:rPr>
              <w:t>，“</w:t>
            </w:r>
            <w:r>
              <w:rPr>
                <w:rFonts w:hint="eastAsia"/>
                <w:b/>
                <w:lang w:eastAsia="zh-CN"/>
              </w:rPr>
              <w:t>嘉实多</w:t>
            </w:r>
            <w:r>
              <w:rPr>
                <w:rFonts w:hint="eastAsia"/>
                <w:bCs/>
                <w:lang w:eastAsia="zh-CN"/>
              </w:rPr>
              <w:t>”）股权。</w:t>
            </w:r>
            <w:r w:rsidR="0073079F">
              <w:rPr>
                <w:rFonts w:hint="eastAsia"/>
                <w:bCs/>
                <w:lang w:eastAsia="zh-CN"/>
              </w:rPr>
              <w:t>嘉实多的</w:t>
            </w:r>
            <w:r w:rsidR="0073079F" w:rsidRPr="0073079F">
              <w:rPr>
                <w:rFonts w:hint="eastAsia"/>
                <w:bCs/>
                <w:lang w:eastAsia="zh-CN"/>
              </w:rPr>
              <w:t>主要业务是在全球范围内进行润滑油制造及销售。</w:t>
            </w:r>
            <w:r>
              <w:rPr>
                <w:rFonts w:hint="eastAsia"/>
                <w:bCs/>
                <w:lang w:eastAsia="zh-CN"/>
              </w:rPr>
              <w:t>本次交易之前，嘉实多由英国石油公司间接全资持有。</w:t>
            </w:r>
            <w:proofErr w:type="spellStart"/>
            <w:r w:rsidR="00586047">
              <w:rPr>
                <w:rFonts w:hint="eastAsia"/>
                <w:bCs/>
                <w:lang w:eastAsia="zh-CN"/>
              </w:rPr>
              <w:t>Stonepeak</w:t>
            </w:r>
            <w:proofErr w:type="spellEnd"/>
            <w:r w:rsidR="00586047">
              <w:rPr>
                <w:rFonts w:hint="eastAsia"/>
                <w:bCs/>
                <w:lang w:eastAsia="zh-CN"/>
              </w:rPr>
              <w:t>将和加拿大养老金计划投资委员会共同设立工具公司，收购嘉实多</w:t>
            </w:r>
            <w:r w:rsidR="00586047">
              <w:rPr>
                <w:rFonts w:hint="eastAsia"/>
                <w:bCs/>
                <w:lang w:eastAsia="zh-CN"/>
              </w:rPr>
              <w:t>100%</w:t>
            </w:r>
            <w:r w:rsidR="00586047">
              <w:rPr>
                <w:rFonts w:hint="eastAsia"/>
                <w:bCs/>
                <w:lang w:eastAsia="zh-CN"/>
              </w:rPr>
              <w:t>的股权。</w:t>
            </w:r>
            <w:r w:rsidR="00091800">
              <w:rPr>
                <w:rFonts w:hint="eastAsia"/>
                <w:bCs/>
                <w:lang w:eastAsia="zh-CN"/>
              </w:rPr>
              <w:t>作为交易的部分对价，</w:t>
            </w:r>
            <w:r w:rsidR="00586047">
              <w:rPr>
                <w:rFonts w:hint="eastAsia"/>
                <w:bCs/>
                <w:lang w:eastAsia="zh-CN"/>
              </w:rPr>
              <w:t>英国石油公司将</w:t>
            </w:r>
            <w:r w:rsidR="00091800">
              <w:rPr>
                <w:rFonts w:hint="eastAsia"/>
                <w:bCs/>
                <w:lang w:eastAsia="zh-CN"/>
              </w:rPr>
              <w:t>获得</w:t>
            </w:r>
            <w:r w:rsidR="00586047">
              <w:rPr>
                <w:rFonts w:hint="eastAsia"/>
                <w:bCs/>
                <w:lang w:eastAsia="zh-CN"/>
              </w:rPr>
              <w:t>收购工具公司</w:t>
            </w:r>
            <w:r w:rsidR="00586047">
              <w:rPr>
                <w:rFonts w:hint="eastAsia"/>
                <w:bCs/>
                <w:lang w:eastAsia="zh-CN"/>
              </w:rPr>
              <w:t>35%</w:t>
            </w:r>
            <w:r w:rsidR="00586047">
              <w:rPr>
                <w:rFonts w:hint="eastAsia"/>
                <w:bCs/>
                <w:lang w:eastAsia="zh-CN"/>
              </w:rPr>
              <w:t>的股权，从而保留嘉实多</w:t>
            </w:r>
            <w:r w:rsidR="00586047">
              <w:rPr>
                <w:rFonts w:hint="eastAsia"/>
                <w:bCs/>
                <w:lang w:eastAsia="zh-CN"/>
              </w:rPr>
              <w:t>35%</w:t>
            </w:r>
            <w:r w:rsidR="00586047">
              <w:rPr>
                <w:rFonts w:hint="eastAsia"/>
                <w:bCs/>
                <w:lang w:eastAsia="zh-CN"/>
              </w:rPr>
              <w:t>的股权。</w:t>
            </w:r>
            <w:r w:rsidR="00091800">
              <w:rPr>
                <w:rFonts w:hint="eastAsia"/>
                <w:bCs/>
                <w:lang w:eastAsia="zh-CN"/>
              </w:rPr>
              <w:t>其中</w:t>
            </w:r>
            <w:r w:rsidR="00586047">
              <w:rPr>
                <w:rFonts w:hint="eastAsia"/>
                <w:bCs/>
                <w:lang w:eastAsia="zh-CN"/>
              </w:rPr>
              <w:t>，加拿大养老金计划投资委员会和英国石油公司</w:t>
            </w:r>
            <w:r w:rsidR="00091800">
              <w:rPr>
                <w:rFonts w:hint="eastAsia"/>
                <w:bCs/>
                <w:lang w:eastAsia="zh-CN"/>
              </w:rPr>
              <w:t>均无法决定</w:t>
            </w:r>
            <w:r w:rsidR="00586047">
              <w:rPr>
                <w:rFonts w:hint="eastAsia"/>
                <w:bCs/>
                <w:lang w:eastAsia="zh-CN"/>
              </w:rPr>
              <w:t>嘉实多战略决策事项，</w:t>
            </w:r>
            <w:r w:rsidR="00091800">
              <w:rPr>
                <w:rFonts w:hint="eastAsia"/>
                <w:bCs/>
                <w:lang w:eastAsia="zh-CN"/>
              </w:rPr>
              <w:t>对嘉实多</w:t>
            </w:r>
            <w:r w:rsidR="00586047">
              <w:rPr>
                <w:rFonts w:hint="eastAsia"/>
                <w:bCs/>
                <w:lang w:eastAsia="zh-CN"/>
              </w:rPr>
              <w:t>没有控制权。</w:t>
            </w:r>
          </w:p>
          <w:p w14:paraId="69F85E20" w14:textId="109ADDCE" w:rsidR="00AF74B3" w:rsidRDefault="00000000">
            <w:pPr>
              <w:pStyle w:val="Default"/>
              <w:jc w:val="both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因此，本次交易之前，嘉实多由英国石油公司单独控制；本次交易完成后，嘉实多</w:t>
            </w:r>
            <w:r w:rsidR="00586047">
              <w:rPr>
                <w:rFonts w:hint="eastAsia"/>
                <w:bCs/>
                <w:lang w:eastAsia="zh-CN"/>
              </w:rPr>
              <w:t>将由</w:t>
            </w:r>
            <w:proofErr w:type="spellStart"/>
            <w:r w:rsidR="00586047">
              <w:rPr>
                <w:rFonts w:hint="eastAsia"/>
                <w:bCs/>
                <w:lang w:eastAsia="zh-CN"/>
              </w:rPr>
              <w:t>Stonepeak</w:t>
            </w:r>
            <w:proofErr w:type="spellEnd"/>
            <w:r w:rsidR="00586047">
              <w:rPr>
                <w:rFonts w:hint="eastAsia"/>
                <w:bCs/>
                <w:lang w:eastAsia="zh-CN"/>
              </w:rPr>
              <w:t>单独控制。</w:t>
            </w:r>
          </w:p>
        </w:tc>
      </w:tr>
      <w:tr w:rsidR="00AF74B3" w14:paraId="523B279C" w14:textId="77777777">
        <w:trPr>
          <w:trHeight w:val="942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44395136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03" w:type="dxa"/>
            <w:vAlign w:val="center"/>
          </w:tcPr>
          <w:p w14:paraId="65ED56F6" w14:textId="77777777" w:rsidR="00AF74B3" w:rsidRDefault="00000000">
            <w:pPr>
              <w:pStyle w:val="a3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>
              <w:t xml:space="preserve"> </w:t>
            </w:r>
            <w:proofErr w:type="spellStart"/>
            <w:r>
              <w:rPr>
                <w:rFonts w:cs="Times New Roman"/>
                <w:lang w:eastAsia="zh-CN"/>
              </w:rPr>
              <w:t>Stonepeak</w:t>
            </w:r>
            <w:proofErr w:type="spellEnd"/>
            <w:r>
              <w:rPr>
                <w:rFonts w:cs="Times New Roman"/>
                <w:lang w:eastAsia="zh-CN"/>
              </w:rPr>
              <w:t xml:space="preserve"> Partners</w:t>
            </w:r>
          </w:p>
        </w:tc>
        <w:tc>
          <w:tcPr>
            <w:tcW w:w="6093" w:type="dxa"/>
            <w:vAlign w:val="center"/>
          </w:tcPr>
          <w:p w14:paraId="5D2E0D1B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proofErr w:type="spellStart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>Stonepeak</w:t>
            </w:r>
            <w:proofErr w:type="spellEnd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 xml:space="preserve"> Partners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于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2011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3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月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23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日成立于美国。</w:t>
            </w:r>
            <w:proofErr w:type="spellStart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>Stonepeak</w:t>
            </w:r>
            <w:proofErr w:type="spellEnd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>主要从事基础设施和实物资产的全球另类投资。</w:t>
            </w:r>
          </w:p>
          <w:p w14:paraId="4AB9BAAC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proofErr w:type="spellStart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>Stonepeak</w:t>
            </w:r>
            <w:proofErr w:type="spellEnd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 xml:space="preserve"> Partners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的最终控制人为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Michael Dorrell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先生，为</w:t>
            </w:r>
            <w:proofErr w:type="spellStart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>Stonepeak</w:t>
            </w:r>
            <w:proofErr w:type="spellEnd"/>
            <w:r>
              <w:rPr>
                <w:rFonts w:cs="Times New Roman" w:hint="eastAsia"/>
                <w:bCs/>
                <w:color w:val="000000"/>
                <w:lang w:val="en-US" w:eastAsia="zh-CN"/>
              </w:rPr>
              <w:t xml:space="preserve"> Partners 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的执行总监和共同创始人。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Michael Dorrell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先生主要从事投资业务。</w:t>
            </w:r>
          </w:p>
        </w:tc>
      </w:tr>
      <w:tr w:rsidR="00AF74B3" w14:paraId="55060C43" w14:textId="77777777">
        <w:trPr>
          <w:trHeight w:val="984"/>
        </w:trPr>
        <w:tc>
          <w:tcPr>
            <w:tcW w:w="1844" w:type="dxa"/>
            <w:vMerge/>
            <w:shd w:val="clear" w:color="auto" w:fill="D9D9D9"/>
            <w:vAlign w:val="center"/>
          </w:tcPr>
          <w:p w14:paraId="426B5E51" w14:textId="77777777" w:rsidR="00AF74B3" w:rsidRDefault="00AF74B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2C0E30AE" w14:textId="77777777" w:rsidR="00AF74B3" w:rsidRDefault="00000000">
            <w:pPr>
              <w:pStyle w:val="a3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嘉实多</w:t>
            </w:r>
          </w:p>
          <w:p w14:paraId="376E423A" w14:textId="77777777" w:rsidR="00AF74B3" w:rsidRDefault="00AF74B3">
            <w:pPr>
              <w:jc w:val="left"/>
              <w:rPr>
                <w:lang w:bidi="ar-AE"/>
              </w:rPr>
            </w:pPr>
          </w:p>
        </w:tc>
        <w:tc>
          <w:tcPr>
            <w:tcW w:w="6093" w:type="dxa"/>
            <w:vAlign w:val="center"/>
          </w:tcPr>
          <w:p w14:paraId="1BEF7BB2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嘉实多于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1902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5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月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15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日在英国成立，主要业务是在全球范围内进行润滑油制造及销售。</w:t>
            </w:r>
          </w:p>
          <w:p w14:paraId="4D692039" w14:textId="69F46BCA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嘉实多的最终控制人为英国石油公司。英国石油公司是一家全球性的能源集团</w:t>
            </w:r>
            <w:r w:rsidR="00586047">
              <w:rPr>
                <w:rFonts w:cs="Times New Roman" w:hint="eastAsia"/>
                <w:bCs/>
                <w:color w:val="000000"/>
                <w:lang w:val="en-US" w:eastAsia="zh-CN"/>
              </w:rPr>
              <w:t>，从事能源</w:t>
            </w:r>
            <w:r w:rsidR="00091800">
              <w:rPr>
                <w:rFonts w:cs="Times New Roman" w:hint="eastAsia"/>
                <w:bCs/>
                <w:color w:val="000000"/>
                <w:lang w:val="en-US" w:eastAsia="zh-CN"/>
              </w:rPr>
              <w:t>相关</w:t>
            </w:r>
            <w:r w:rsidR="00586047">
              <w:rPr>
                <w:rFonts w:cs="Times New Roman" w:hint="eastAsia"/>
                <w:bCs/>
                <w:color w:val="000000"/>
                <w:lang w:val="en-US" w:eastAsia="zh-CN"/>
              </w:rPr>
              <w:t>业务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。</w:t>
            </w:r>
          </w:p>
        </w:tc>
      </w:tr>
      <w:tr w:rsidR="00AF74B3" w14:paraId="55F0F738" w14:textId="77777777">
        <w:trPr>
          <w:trHeight w:val="279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64115335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96" w:type="dxa"/>
            <w:gridSpan w:val="2"/>
            <w:vAlign w:val="center"/>
          </w:tcPr>
          <w:p w14:paraId="07B2158A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cs="Times New Roman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>
              <w:rPr>
                <w:rFonts w:cs="Times New Roman"/>
                <w:bCs/>
                <w:color w:val="000000"/>
                <w:lang w:eastAsia="zh-CN"/>
              </w:rPr>
              <w:t>15%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F74B3" w14:paraId="4F3089D3" w14:textId="77777777">
        <w:trPr>
          <w:trHeight w:val="330"/>
        </w:trPr>
        <w:tc>
          <w:tcPr>
            <w:tcW w:w="1844" w:type="dxa"/>
            <w:vMerge/>
            <w:shd w:val="clear" w:color="auto" w:fill="D9D9D9"/>
            <w:vAlign w:val="center"/>
          </w:tcPr>
          <w:p w14:paraId="18490001" w14:textId="77777777" w:rsidR="00AF74B3" w:rsidRDefault="00AF74B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4391E5FA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zh-CN"/>
              </w:rPr>
              <w:t>2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cs="Times New Roman"/>
                <w:bCs/>
                <w:color w:val="000000"/>
                <w:lang w:eastAsia="zh-CN"/>
              </w:rPr>
              <w:t>在上下游市场，参与集中的经营者所占的市场份额均小于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F74B3" w14:paraId="7934F200" w14:textId="77777777">
        <w:trPr>
          <w:trHeight w:val="285"/>
        </w:trPr>
        <w:tc>
          <w:tcPr>
            <w:tcW w:w="1844" w:type="dxa"/>
            <w:vMerge/>
            <w:shd w:val="clear" w:color="auto" w:fill="D9D9D9"/>
            <w:vAlign w:val="center"/>
          </w:tcPr>
          <w:p w14:paraId="142453F9" w14:textId="77777777" w:rsidR="00AF74B3" w:rsidRDefault="00AF74B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0B635A6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cs="Times New Roman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F74B3" w14:paraId="418BD2A9" w14:textId="77777777">
        <w:trPr>
          <w:trHeight w:val="92"/>
        </w:trPr>
        <w:tc>
          <w:tcPr>
            <w:tcW w:w="1844" w:type="dxa"/>
            <w:vMerge/>
            <w:shd w:val="clear" w:color="auto" w:fill="D9D9D9"/>
            <w:vAlign w:val="center"/>
          </w:tcPr>
          <w:p w14:paraId="7F34DBE3" w14:textId="77777777" w:rsidR="00AF74B3" w:rsidRDefault="00AF74B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29E49744" w14:textId="77777777" w:rsidR="00AF74B3" w:rsidRDefault="00000000">
            <w:pPr>
              <w:pStyle w:val="a3"/>
              <w:adjustRightInd w:val="0"/>
              <w:snapToGrid w:val="0"/>
              <w:spacing w:after="0"/>
              <w:contextualSpacing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cs="Times New Roman"/>
                <w:bCs/>
                <w:color w:val="000000"/>
                <w:lang w:eastAsia="zh-CN"/>
              </w:rPr>
              <w:t>参与集中的经营者在中国境外设立合营企业，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合营企业不在中国境内从事经济活动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F74B3" w14:paraId="5FAF5C37" w14:textId="77777777">
        <w:trPr>
          <w:trHeight w:val="264"/>
        </w:trPr>
        <w:tc>
          <w:tcPr>
            <w:tcW w:w="1844" w:type="dxa"/>
            <w:vMerge/>
            <w:shd w:val="clear" w:color="auto" w:fill="D9D9D9"/>
            <w:vAlign w:val="center"/>
          </w:tcPr>
          <w:p w14:paraId="2C1D77C2" w14:textId="77777777" w:rsidR="00AF74B3" w:rsidRDefault="00AF74B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01882991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cs="Times New Roman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F74B3" w14:paraId="1B7F081D" w14:textId="77777777">
        <w:trPr>
          <w:trHeight w:val="62"/>
        </w:trPr>
        <w:tc>
          <w:tcPr>
            <w:tcW w:w="1844" w:type="dxa"/>
            <w:vMerge/>
            <w:shd w:val="clear" w:color="auto" w:fill="D9D9D9"/>
            <w:vAlign w:val="center"/>
          </w:tcPr>
          <w:p w14:paraId="6571A131" w14:textId="77777777" w:rsidR="00AF74B3" w:rsidRDefault="00AF74B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341B9BA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cs="Times New Roman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F74B3" w14:paraId="6001C0FC" w14:textId="77777777">
        <w:trPr>
          <w:trHeight w:val="842"/>
        </w:trPr>
        <w:tc>
          <w:tcPr>
            <w:tcW w:w="1844" w:type="dxa"/>
            <w:shd w:val="clear" w:color="auto" w:fill="D9D9D9"/>
            <w:vAlign w:val="center"/>
          </w:tcPr>
          <w:p w14:paraId="7366F774" w14:textId="77777777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96" w:type="dxa"/>
            <w:gridSpan w:val="2"/>
            <w:vAlign w:val="center"/>
          </w:tcPr>
          <w:p w14:paraId="503022D0" w14:textId="70B90662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2024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年中国境内</w:t>
            </w:r>
            <w:r w:rsidR="001D3622">
              <w:rPr>
                <w:rFonts w:cs="Times New Roman" w:hint="eastAsia"/>
                <w:bCs/>
                <w:color w:val="000000"/>
                <w:lang w:val="en-US" w:eastAsia="zh-CN"/>
              </w:rPr>
              <w:t>车用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润滑油市场：</w:t>
            </w:r>
          </w:p>
          <w:p w14:paraId="344B9028" w14:textId="568A3086" w:rsidR="00AF74B3" w:rsidRDefault="00000000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嘉实多：</w:t>
            </w:r>
            <w:r w:rsidR="001D3622">
              <w:rPr>
                <w:rFonts w:cs="Times New Roman" w:hint="eastAsia"/>
                <w:bCs/>
                <w:color w:val="000000"/>
                <w:lang w:val="en-US" w:eastAsia="zh-CN"/>
              </w:rPr>
              <w:t>5-10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  <w:r w:rsidR="001D3622">
              <w:rPr>
                <w:rFonts w:cs="Times New Roman" w:hint="eastAsia"/>
                <w:bCs/>
                <w:color w:val="000000"/>
                <w:lang w:val="en-US" w:eastAsia="zh-CN"/>
              </w:rPr>
              <w:t>；</w:t>
            </w:r>
          </w:p>
          <w:p w14:paraId="5C4BEDAE" w14:textId="204B46BC" w:rsidR="001D3622" w:rsidRDefault="001D3622" w:rsidP="001D362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2024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年中国境内工业润滑油市场：</w:t>
            </w:r>
          </w:p>
          <w:p w14:paraId="61B46133" w14:textId="67EA1CC0" w:rsidR="001D3622" w:rsidRDefault="001D3622" w:rsidP="001D362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嘉实多：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0-5%</w:t>
            </w:r>
          </w:p>
        </w:tc>
      </w:tr>
    </w:tbl>
    <w:p w14:paraId="3E556D1F" w14:textId="77777777" w:rsidR="00CD115C" w:rsidRDefault="00CD115C">
      <w:pPr>
        <w:pStyle w:val="a3"/>
        <w:adjustRightInd w:val="0"/>
        <w:snapToGrid w:val="0"/>
        <w:spacing w:after="0"/>
        <w:rPr>
          <w:rFonts w:cs="Times New Roman"/>
          <w:b/>
          <w:color w:val="000000"/>
          <w:lang w:eastAsia="zh-CN"/>
        </w:rPr>
      </w:pPr>
    </w:p>
    <w:sectPr w:rsidR="00CD115C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1CCC" w14:textId="77777777" w:rsidR="00E71A87" w:rsidRDefault="00E71A87" w:rsidP="001D3622">
      <w:r>
        <w:separator/>
      </w:r>
    </w:p>
  </w:endnote>
  <w:endnote w:type="continuationSeparator" w:id="0">
    <w:p w14:paraId="031FA6E0" w14:textId="77777777" w:rsidR="00E71A87" w:rsidRDefault="00E71A87" w:rsidP="001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楷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AA18" w14:textId="77777777" w:rsidR="00E71A87" w:rsidRDefault="00E71A87" w:rsidP="001D3622">
      <w:r>
        <w:separator/>
      </w:r>
    </w:p>
  </w:footnote>
  <w:footnote w:type="continuationSeparator" w:id="0">
    <w:p w14:paraId="2531303F" w14:textId="77777777" w:rsidR="00E71A87" w:rsidRDefault="00E71A87" w:rsidP="001D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6FBDD792"/>
    <w:rsid w:val="00005CDE"/>
    <w:rsid w:val="0001353B"/>
    <w:rsid w:val="00060B0A"/>
    <w:rsid w:val="00066143"/>
    <w:rsid w:val="0007706E"/>
    <w:rsid w:val="00080E74"/>
    <w:rsid w:val="00091800"/>
    <w:rsid w:val="000A4BBE"/>
    <w:rsid w:val="000E078F"/>
    <w:rsid w:val="000E491A"/>
    <w:rsid w:val="000F4086"/>
    <w:rsid w:val="00101ED3"/>
    <w:rsid w:val="00133B24"/>
    <w:rsid w:val="00136828"/>
    <w:rsid w:val="001544AD"/>
    <w:rsid w:val="00171E69"/>
    <w:rsid w:val="00196355"/>
    <w:rsid w:val="001B1114"/>
    <w:rsid w:val="001C6DBB"/>
    <w:rsid w:val="001D3622"/>
    <w:rsid w:val="001D4E85"/>
    <w:rsid w:val="002179E3"/>
    <w:rsid w:val="002352C5"/>
    <w:rsid w:val="00254399"/>
    <w:rsid w:val="00283624"/>
    <w:rsid w:val="002870D0"/>
    <w:rsid w:val="002B44A3"/>
    <w:rsid w:val="002D170C"/>
    <w:rsid w:val="002D3338"/>
    <w:rsid w:val="00302296"/>
    <w:rsid w:val="003122BF"/>
    <w:rsid w:val="00313680"/>
    <w:rsid w:val="00313931"/>
    <w:rsid w:val="00343F40"/>
    <w:rsid w:val="003823F2"/>
    <w:rsid w:val="0039003B"/>
    <w:rsid w:val="003D0883"/>
    <w:rsid w:val="0044533C"/>
    <w:rsid w:val="0045230B"/>
    <w:rsid w:val="00465EF0"/>
    <w:rsid w:val="004C2AC1"/>
    <w:rsid w:val="004F0C82"/>
    <w:rsid w:val="004F63AD"/>
    <w:rsid w:val="00502BC9"/>
    <w:rsid w:val="00510B92"/>
    <w:rsid w:val="00511601"/>
    <w:rsid w:val="00517006"/>
    <w:rsid w:val="005425E0"/>
    <w:rsid w:val="00567F6A"/>
    <w:rsid w:val="00573C05"/>
    <w:rsid w:val="00582820"/>
    <w:rsid w:val="00586047"/>
    <w:rsid w:val="0059465E"/>
    <w:rsid w:val="005A2A0C"/>
    <w:rsid w:val="00603A73"/>
    <w:rsid w:val="00604D96"/>
    <w:rsid w:val="00656781"/>
    <w:rsid w:val="0066165C"/>
    <w:rsid w:val="006722C9"/>
    <w:rsid w:val="00693862"/>
    <w:rsid w:val="006A747B"/>
    <w:rsid w:val="006B424D"/>
    <w:rsid w:val="006E644C"/>
    <w:rsid w:val="006F1AF6"/>
    <w:rsid w:val="007104B9"/>
    <w:rsid w:val="0073079F"/>
    <w:rsid w:val="0074798D"/>
    <w:rsid w:val="00794E62"/>
    <w:rsid w:val="007B7750"/>
    <w:rsid w:val="007D7102"/>
    <w:rsid w:val="007E2F5F"/>
    <w:rsid w:val="007F6425"/>
    <w:rsid w:val="00802A27"/>
    <w:rsid w:val="00835947"/>
    <w:rsid w:val="00844D6C"/>
    <w:rsid w:val="008552D1"/>
    <w:rsid w:val="0086342D"/>
    <w:rsid w:val="00867378"/>
    <w:rsid w:val="008720D9"/>
    <w:rsid w:val="008A5DB7"/>
    <w:rsid w:val="008B1DA9"/>
    <w:rsid w:val="008C6055"/>
    <w:rsid w:val="00906644"/>
    <w:rsid w:val="0098352B"/>
    <w:rsid w:val="00995F3E"/>
    <w:rsid w:val="009A138A"/>
    <w:rsid w:val="009D59FE"/>
    <w:rsid w:val="00A14FD9"/>
    <w:rsid w:val="00A524FE"/>
    <w:rsid w:val="00A733D3"/>
    <w:rsid w:val="00A83106"/>
    <w:rsid w:val="00AB2C88"/>
    <w:rsid w:val="00AB4D80"/>
    <w:rsid w:val="00AB7A50"/>
    <w:rsid w:val="00AF20FC"/>
    <w:rsid w:val="00AF74B3"/>
    <w:rsid w:val="00B2244A"/>
    <w:rsid w:val="00B31D52"/>
    <w:rsid w:val="00B45239"/>
    <w:rsid w:val="00B523AD"/>
    <w:rsid w:val="00B632CB"/>
    <w:rsid w:val="00B87409"/>
    <w:rsid w:val="00B927CD"/>
    <w:rsid w:val="00C00CC7"/>
    <w:rsid w:val="00C10694"/>
    <w:rsid w:val="00C53A51"/>
    <w:rsid w:val="00C862F4"/>
    <w:rsid w:val="00CB3EAA"/>
    <w:rsid w:val="00CC4077"/>
    <w:rsid w:val="00CD115C"/>
    <w:rsid w:val="00CF332D"/>
    <w:rsid w:val="00CF6CA0"/>
    <w:rsid w:val="00D5621F"/>
    <w:rsid w:val="00D57A2B"/>
    <w:rsid w:val="00DB4AAA"/>
    <w:rsid w:val="00DC6DF7"/>
    <w:rsid w:val="00DD103F"/>
    <w:rsid w:val="00DE37FF"/>
    <w:rsid w:val="00E0506C"/>
    <w:rsid w:val="00E21520"/>
    <w:rsid w:val="00E233B1"/>
    <w:rsid w:val="00E51004"/>
    <w:rsid w:val="00E61EDD"/>
    <w:rsid w:val="00E66B2E"/>
    <w:rsid w:val="00E71A87"/>
    <w:rsid w:val="00E85A0E"/>
    <w:rsid w:val="00ED5919"/>
    <w:rsid w:val="00EE6064"/>
    <w:rsid w:val="00F1530F"/>
    <w:rsid w:val="00F32F6C"/>
    <w:rsid w:val="00F45769"/>
    <w:rsid w:val="00F50D62"/>
    <w:rsid w:val="00F73A1B"/>
    <w:rsid w:val="00F83ED7"/>
    <w:rsid w:val="00F84A42"/>
    <w:rsid w:val="00FA30E6"/>
    <w:rsid w:val="00FE163D"/>
    <w:rsid w:val="04C66C1A"/>
    <w:rsid w:val="1D6F6EFE"/>
    <w:rsid w:val="1F7C72D8"/>
    <w:rsid w:val="26AB0FBC"/>
    <w:rsid w:val="2D246E2C"/>
    <w:rsid w:val="2F3F4014"/>
    <w:rsid w:val="33A9646D"/>
    <w:rsid w:val="3CC068C1"/>
    <w:rsid w:val="3EFED501"/>
    <w:rsid w:val="3F7F152F"/>
    <w:rsid w:val="3FFB76BA"/>
    <w:rsid w:val="46DFCD99"/>
    <w:rsid w:val="49659447"/>
    <w:rsid w:val="511432B7"/>
    <w:rsid w:val="54C85664"/>
    <w:rsid w:val="5596691C"/>
    <w:rsid w:val="59FAB6B4"/>
    <w:rsid w:val="5C6AC506"/>
    <w:rsid w:val="5DBB2A74"/>
    <w:rsid w:val="5F09CE98"/>
    <w:rsid w:val="61716F5A"/>
    <w:rsid w:val="6AFC31C5"/>
    <w:rsid w:val="6B0F74AB"/>
    <w:rsid w:val="6B8148C3"/>
    <w:rsid w:val="6E9FB973"/>
    <w:rsid w:val="6FBDD792"/>
    <w:rsid w:val="74D42207"/>
    <w:rsid w:val="76D76867"/>
    <w:rsid w:val="76FE3A0F"/>
    <w:rsid w:val="7AFFB2DD"/>
    <w:rsid w:val="7BE9FB5F"/>
    <w:rsid w:val="7D7D4415"/>
    <w:rsid w:val="7F4A2270"/>
    <w:rsid w:val="7F6F728B"/>
    <w:rsid w:val="7FEF3501"/>
    <w:rsid w:val="8EAE45C5"/>
    <w:rsid w:val="9B68F012"/>
    <w:rsid w:val="9B7FA9C1"/>
    <w:rsid w:val="9F9DCBBF"/>
    <w:rsid w:val="BBD36F41"/>
    <w:rsid w:val="BC3517BA"/>
    <w:rsid w:val="D76F6EF4"/>
    <w:rsid w:val="DFBC2832"/>
    <w:rsid w:val="DFFC4C00"/>
    <w:rsid w:val="DFFCC2EC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72947"/>
  <w15:chartTrackingRefBased/>
  <w15:docId w15:val="{5909947D-8592-4EC0-8561-B1B595C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nhideWhenUsed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styleId="a3">
    <w:name w:val="Body Text"/>
    <w:link w:val="a4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character" w:customStyle="1" w:styleId="a4">
    <w:name w:val="正文文本 字符"/>
    <w:link w:val="a3"/>
    <w:rPr>
      <w:rFonts w:ascii="Times New Roman" w:hAnsi="Times New Roman" w:cs="Simplified Arabic"/>
      <w:sz w:val="24"/>
      <w:szCs w:val="24"/>
      <w:lang w:val="en-GB" w:eastAsia="en-GB" w:bidi="ar-AE"/>
    </w:rPr>
  </w:style>
  <w:style w:type="paragraph" w:styleId="a5">
    <w:name w:val="endnote text"/>
    <w:basedOn w:val="a"/>
    <w:link w:val="a6"/>
    <w:unhideWhenUsed/>
    <w:pPr>
      <w:snapToGrid w:val="0"/>
      <w:jc w:val="left"/>
    </w:pPr>
    <w:rPr>
      <w:rFonts w:ascii="Calibri" w:hAnsi="Calibri" w:cs="Arial"/>
      <w:szCs w:val="22"/>
    </w:rPr>
  </w:style>
  <w:style w:type="character" w:customStyle="1" w:styleId="a6">
    <w:name w:val="尾注文本 字符"/>
    <w:link w:val="a5"/>
    <w:rPr>
      <w:rFonts w:cs="Arial"/>
      <w:kern w:val="2"/>
      <w:sz w:val="21"/>
      <w:szCs w:val="2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Pr>
      <w:rFonts w:ascii="Times New Roman" w:hAnsi="Times New Roman"/>
      <w:kern w:val="2"/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Pr>
      <w:rFonts w:ascii="Times New Roman" w:hAnsi="Times New Roman"/>
      <w:kern w:val="2"/>
      <w:sz w:val="18"/>
      <w:szCs w:val="18"/>
    </w:rPr>
  </w:style>
  <w:style w:type="table" w:styleId="ab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标题五"/>
    <w:basedOn w:val="5"/>
    <w:next w:val="a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styleId="ad">
    <w:name w:val="Revision"/>
    <w:uiPriority w:val="99"/>
    <w:unhideWhenUsed/>
    <w:rPr>
      <w:rFonts w:ascii="Times New Roman" w:hAnsi="Times New Roman"/>
      <w:kern w:val="2"/>
      <w:sz w:val="21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Manager/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2026-04-09T09:45:00Z</dcterms:created>
  <dcterms:modified xsi:type="dcterms:W3CDTF">2026-04-09T09:47:00Z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9F4D1C9DC6AE4AC288156A9F63ACD9B0_13</vt:lpwstr>
  </property>
  <property fmtid="{D5CDD505-2E9C-101B-9397-08002B2CF9AE}" pid="4" name="KSOTemplateDocerSaveRecord">
    <vt:lpwstr>eyJoZGlkIjoiNjQ4MzMwNjNlODAzMGVhYTZhYTc1OGZmNTU0ZmY3YmEiLCJ1c2VySWQiOiI1NjE0NzQwODUifQ==</vt:lpwstr>
  </property>
</Properties>
</file>