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黑体" w:cs="Times New Roman"/>
          <w:bCs/>
          <w:color w:val="000000"/>
          <w:kern w:val="2"/>
          <w:sz w:val="52"/>
          <w:szCs w:val="52"/>
        </w:rPr>
      </w:pPr>
      <w:r>
        <w:rPr>
          <w:rFonts w:hint="default" w:ascii="Times New Roman" w:hAnsi="Times New Roman" w:eastAsia="黑体" w:cs="Times New Roman"/>
          <w:bCs/>
          <w:color w:val="000000"/>
          <w:spacing w:val="30"/>
          <w:kern w:val="0"/>
          <w:sz w:val="52"/>
          <w:szCs w:val="52"/>
          <w:fitText w:val="5742" w:id="-470200899"/>
        </w:rPr>
        <w:t>国家市场监督管理总</w:t>
      </w:r>
      <w:r>
        <w:rPr>
          <w:rFonts w:hint="default" w:ascii="Times New Roman" w:hAnsi="Times New Roman" w:eastAsia="黑体" w:cs="Times New Roman"/>
          <w:bCs/>
          <w:color w:val="000000"/>
          <w:spacing w:val="1"/>
          <w:kern w:val="0"/>
          <w:sz w:val="52"/>
          <w:szCs w:val="52"/>
          <w:fitText w:val="5742" w:id="-470200899"/>
        </w:rPr>
        <w:t>局</w:t>
      </w:r>
    </w:p>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2070319234"/>
        </w:rPr>
        <w:t>行政处罚决定</w:t>
      </w:r>
      <w:r>
        <w:rPr>
          <w:rFonts w:hint="default" w:ascii="Times New Roman" w:hAnsi="Times New Roman" w:eastAsia="黑体" w:cs="Times New Roman"/>
          <w:bCs/>
          <w:color w:val="000000"/>
          <w:spacing w:val="1"/>
          <w:kern w:val="0"/>
          <w:sz w:val="52"/>
          <w:szCs w:val="52"/>
          <w:fitText w:val="5742" w:id="2070319234"/>
        </w:rPr>
        <w:t>书</w:t>
      </w:r>
    </w:p>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国市监处</w:t>
      </w:r>
      <w:r>
        <w:rPr>
          <w:rFonts w:hint="default" w:ascii="Times New Roman" w:hAnsi="Times New Roman" w:eastAsia="仿宋_GB2312" w:cs="Times New Roman"/>
          <w:kern w:val="2"/>
          <w:sz w:val="32"/>
          <w:szCs w:val="32"/>
          <w:lang w:eastAsia="zh-CN"/>
        </w:rPr>
        <w:t>罚</w:t>
      </w: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w:t>
      </w:r>
      <w:r>
        <w:rPr>
          <w:rFonts w:hint="eastAsia" w:eastAsia="仿宋_GB2312" w:cs="Times New Roman"/>
          <w:kern w:val="2"/>
          <w:sz w:val="32"/>
          <w:szCs w:val="32"/>
          <w:highlight w:val="none"/>
          <w:lang w:val="en-US" w:eastAsia="zh-CN"/>
        </w:rPr>
        <w:t>26</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仿宋_GB2312" w:cs="Times New Roman"/>
          <w:kern w:val="2"/>
          <w:sz w:val="28"/>
          <w:szCs w:val="28"/>
        </w:rPr>
      </w:pP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kern w:val="2"/>
          <w:sz w:val="32"/>
          <w:szCs w:val="32"/>
          <w:u w:val="none"/>
          <w:lang w:val="en-US" w:eastAsia="zh-CN" w:bidi="ar-SA"/>
        </w:rPr>
      </w:pPr>
      <w:r>
        <w:rPr>
          <w:rFonts w:hint="default" w:ascii="Times New Roman" w:hAnsi="Times New Roman" w:eastAsia="黑体" w:cs="Times New Roman"/>
          <w:color w:val="auto"/>
          <w:kern w:val="2"/>
          <w:sz w:val="32"/>
          <w:szCs w:val="32"/>
        </w:rPr>
        <w:t>当事人：</w:t>
      </w:r>
      <w:r>
        <w:rPr>
          <w:rFonts w:hint="default" w:ascii="Times New Roman" w:hAnsi="Times New Roman" w:eastAsia="仿宋_GB2312" w:cs="Times New Roman"/>
          <w:bCs/>
          <w:color w:val="auto"/>
          <w:sz w:val="32"/>
          <w:szCs w:val="32"/>
        </w:rPr>
        <w:t>立讯精密工业股份有限公司</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主体资格证照名称：</w:t>
      </w:r>
      <w:r>
        <w:rPr>
          <w:rFonts w:hint="default" w:ascii="Times New Roman" w:hAnsi="Times New Roman" w:eastAsia="仿宋_GB2312" w:cs="Times New Roman"/>
          <w:bCs/>
          <w:color w:val="auto"/>
          <w:kern w:val="2"/>
          <w:sz w:val="32"/>
          <w:szCs w:val="32"/>
          <w:lang w:val="en-US" w:eastAsia="zh-CN" w:bidi="ar-SA"/>
        </w:rPr>
        <w:t>营业执照</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黑体" w:cs="Times New Roman"/>
          <w:bCs/>
          <w:color w:val="auto"/>
          <w:kern w:val="2"/>
          <w:sz w:val="32"/>
          <w:szCs w:val="32"/>
          <w:highlight w:val="yellow"/>
          <w:lang w:val="en-US" w:eastAsia="zh-CN" w:bidi="ar-SA"/>
        </w:rPr>
      </w:pPr>
      <w:r>
        <w:rPr>
          <w:rFonts w:hint="default" w:ascii="Times New Roman" w:hAnsi="Times New Roman" w:eastAsia="黑体" w:cs="Times New Roman"/>
          <w:color w:val="auto"/>
          <w:kern w:val="2"/>
          <w:sz w:val="32"/>
          <w:szCs w:val="32"/>
        </w:rPr>
        <w:t>统一社会信用代码：</w:t>
      </w:r>
      <w:r>
        <w:rPr>
          <w:rFonts w:hint="default" w:ascii="Times New Roman" w:hAnsi="Times New Roman" w:eastAsia="黑体" w:cs="Times New Roman"/>
          <w:color w:val="auto"/>
          <w:kern w:val="2"/>
          <w:sz w:val="32"/>
          <w:szCs w:val="32"/>
          <w:lang w:val="en-US" w:eastAsia="zh-CN"/>
        </w:rPr>
        <w:t>91440300760482233Q</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住所：</w:t>
      </w:r>
      <w:r>
        <w:rPr>
          <w:rFonts w:hint="default" w:ascii="Times New Roman" w:hAnsi="Times New Roman" w:eastAsia="仿宋_GB2312" w:cs="Times New Roman"/>
          <w:bCs/>
          <w:color w:val="auto"/>
          <w:kern w:val="2"/>
          <w:sz w:val="32"/>
          <w:szCs w:val="32"/>
          <w:highlight w:val="none"/>
          <w:lang w:val="en-US" w:eastAsia="zh-CN"/>
        </w:rPr>
        <w:t>深圳市宝安区沙井街道蚝一西部三洋新工业区A栋2层</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法定代表人：</w:t>
      </w:r>
      <w:r>
        <w:rPr>
          <w:rFonts w:hint="default" w:ascii="Times New Roman" w:hAnsi="Times New Roman" w:eastAsia="仿宋_GB2312" w:cs="Times New Roman"/>
          <w:bCs/>
          <w:color w:val="auto"/>
          <w:kern w:val="2"/>
          <w:sz w:val="32"/>
          <w:szCs w:val="32"/>
          <w:lang w:val="en-US" w:eastAsia="zh-CN" w:bidi="ar-SA"/>
        </w:rPr>
        <w:t>王来春</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黑体" w:cs="Times New Roman"/>
          <w:bCs/>
          <w:color w:val="auto"/>
          <w:kern w:val="2"/>
          <w:sz w:val="32"/>
          <w:szCs w:val="32"/>
          <w:highlight w:val="yellow"/>
          <w:lang w:val="en-US" w:eastAsia="zh-CN" w:bidi="ar-SA"/>
        </w:rPr>
      </w:pPr>
      <w:r>
        <w:rPr>
          <w:rFonts w:hint="default" w:ascii="Times New Roman" w:hAnsi="Times New Roman" w:eastAsia="黑体" w:cs="Times New Roman"/>
          <w:color w:val="auto"/>
          <w:kern w:val="2"/>
          <w:sz w:val="32"/>
          <w:szCs w:val="32"/>
        </w:rPr>
        <w:t>身份证件号码：</w:t>
      </w:r>
      <w:r>
        <w:rPr>
          <w:rFonts w:hint="eastAsia" w:ascii="Times New Roman" w:hAnsi="Times New Roman" w:eastAsia="仿宋_GB2312"/>
          <w:bCs/>
          <w:sz w:val="32"/>
          <w:szCs w:val="32"/>
        </w:rPr>
        <w:t>（略）</w:t>
      </w:r>
    </w:p>
    <w:p>
      <w:pPr>
        <w:pStyle w:val="12"/>
        <w:keepNext w:val="0"/>
        <w:keepLines w:val="0"/>
        <w:pageBreakBefore w:val="0"/>
        <w:widowControl w:val="0"/>
        <w:kinsoku/>
        <w:wordWrap/>
        <w:topLinePunct w:val="0"/>
        <w:bidi w:val="0"/>
        <w:adjustRightInd w:val="0"/>
        <w:snapToGrid/>
        <w:spacing w:after="0" w:line="594" w:lineRule="exact"/>
        <w:textAlignment w:val="auto"/>
        <w:rPr>
          <w:rFonts w:hint="default" w:ascii="Times New Roman" w:hAnsi="Times New Roman" w:cs="Times New Roman"/>
          <w:color w:val="auto"/>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根据《中华人民共和国反垄断法》（以下简称《反垄断法》）、《经营者集中审查规定》，</w:t>
      </w:r>
      <w:r>
        <w:rPr>
          <w:rStyle w:val="16"/>
          <w:rFonts w:hint="default" w:ascii="Times New Roman" w:hAnsi="Times New Roman" w:eastAsia="仿宋_GB2312" w:cs="Times New Roman"/>
          <w:bCs/>
          <w:color w:val="auto"/>
          <w:sz w:val="32"/>
          <w:szCs w:val="32"/>
          <w:u w:val="none"/>
          <w:lang w:val="en-US" w:eastAsia="zh-CN"/>
        </w:rPr>
        <w:t>本机关</w:t>
      </w:r>
      <w:r>
        <w:rPr>
          <w:rFonts w:hint="default" w:ascii="Times New Roman" w:hAnsi="Times New Roman" w:eastAsia="仿宋_GB2312" w:cs="Times New Roman"/>
          <w:bCs/>
          <w:color w:val="auto"/>
          <w:kern w:val="2"/>
          <w:sz w:val="32"/>
          <w:szCs w:val="32"/>
          <w:lang w:val="en-US" w:eastAsia="zh-CN" w:bidi="ar-SA"/>
        </w:rPr>
        <w:t>于</w:t>
      </w:r>
      <w:r>
        <w:rPr>
          <w:rFonts w:hint="default" w:ascii="Times New Roman" w:hAnsi="Times New Roman" w:eastAsia="仿宋_GB2312" w:cs="Times New Roman"/>
          <w:bCs/>
          <w:color w:val="auto"/>
          <w:kern w:val="2"/>
          <w:sz w:val="32"/>
          <w:szCs w:val="32"/>
          <w:u w:val="none"/>
          <w:lang w:val="en-US" w:eastAsia="zh-CN" w:bidi="ar-SA"/>
        </w:rPr>
        <w:t>2025年9月</w:t>
      </w:r>
      <w:r>
        <w:rPr>
          <w:rFonts w:hint="eastAsia" w:eastAsia="仿宋_GB2312" w:cs="Times New Roman"/>
          <w:bCs/>
          <w:color w:val="auto"/>
          <w:kern w:val="2"/>
          <w:sz w:val="32"/>
          <w:szCs w:val="32"/>
          <w:u w:val="none"/>
          <w:lang w:val="en-US" w:eastAsia="zh-CN" w:bidi="ar-SA"/>
        </w:rPr>
        <w:t>5</w:t>
      </w:r>
      <w:r>
        <w:rPr>
          <w:rFonts w:hint="default" w:ascii="Times New Roman" w:hAnsi="Times New Roman" w:eastAsia="仿宋_GB2312" w:cs="Times New Roman"/>
          <w:bCs/>
          <w:color w:val="auto"/>
          <w:kern w:val="2"/>
          <w:sz w:val="32"/>
          <w:szCs w:val="32"/>
          <w:u w:val="none"/>
          <w:lang w:val="en-US" w:eastAsia="zh-CN" w:bidi="ar-SA"/>
        </w:rPr>
        <w:t>日</w:t>
      </w:r>
      <w:r>
        <w:rPr>
          <w:rFonts w:hint="default" w:ascii="Times New Roman" w:hAnsi="Times New Roman" w:eastAsia="仿宋_GB2312" w:cs="Times New Roman"/>
          <w:bCs/>
          <w:color w:val="auto"/>
          <w:sz w:val="32"/>
          <w:szCs w:val="32"/>
        </w:rPr>
        <w:t>对立讯精密工业股份有限公司（以下简称立讯精密）收购闻泰科技股份有限公司（以下简称闻泰科技）部分业务涉嫌违法实施经营者集中案</w:t>
      </w:r>
      <w:r>
        <w:rPr>
          <w:rFonts w:hint="default" w:ascii="Times New Roman" w:hAnsi="Times New Roman" w:eastAsia="仿宋_GB2312" w:cs="Times New Roman"/>
          <w:bCs/>
          <w:color w:val="auto"/>
          <w:kern w:val="2"/>
          <w:sz w:val="32"/>
          <w:szCs w:val="32"/>
          <w:lang w:val="en-US" w:eastAsia="zh-CN" w:bidi="ar-SA"/>
        </w:rPr>
        <w:t>进行立案调查。</w:t>
      </w:r>
    </w:p>
    <w:p>
      <w:pPr>
        <w:keepNext w:val="0"/>
        <w:keepLines w:val="0"/>
        <w:pageBreakBefore w:val="0"/>
        <w:widowControl w:val="0"/>
        <w:suppressAutoHyphens/>
        <w:kinsoku/>
        <w:wordWrap/>
        <w:overflowPunct/>
        <w:topLinePunct w:val="0"/>
        <w:autoSpaceDE/>
        <w:autoSpaceDN/>
        <w:bidi w:val="0"/>
        <w:adjustRightInd w:val="0"/>
        <w:snapToGrid/>
        <w:spacing w:line="594" w:lineRule="exact"/>
        <w:ind w:firstLine="628" w:firstLineChars="200"/>
        <w:jc w:val="both"/>
        <w:textAlignment w:val="auto"/>
        <w:outlineLvl w:val="0"/>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经查，该案构成违法实施经营者集中，但不具有排除、限制竞争的效果。</w:t>
      </w:r>
      <w:r>
        <w:rPr>
          <w:rStyle w:val="16"/>
          <w:rFonts w:hint="default" w:ascii="Times New Roman" w:hAnsi="Times New Roman" w:eastAsia="仿宋_GB2312" w:cs="Times New Roman"/>
          <w:bCs/>
          <w:color w:val="auto"/>
          <w:sz w:val="32"/>
          <w:szCs w:val="32"/>
          <w:u w:val="none"/>
          <w:lang w:val="en-US" w:eastAsia="zh-CN"/>
        </w:rPr>
        <w:t>本机关</w:t>
      </w:r>
      <w:r>
        <w:rPr>
          <w:rFonts w:hint="default" w:ascii="Times New Roman" w:hAnsi="Times New Roman" w:eastAsia="仿宋_GB2312" w:cs="Times New Roman"/>
          <w:bCs/>
          <w:color w:val="auto"/>
          <w:kern w:val="2"/>
          <w:sz w:val="32"/>
          <w:szCs w:val="32"/>
          <w:lang w:val="en-US" w:eastAsia="zh-CN" w:bidi="ar-SA"/>
        </w:rPr>
        <w:t>按照《中华人民共和国行政处罚法》（以下简称《行政处罚法》）的规定，向立讯精密送达了《行政处罚告知书》，告知当事人拟作出的行政处罚内容及事实、理由、依据，并告知当事人依法享有的陈述、申辩、要求听证的权利。</w:t>
      </w:r>
      <w:r>
        <w:rPr>
          <w:rFonts w:hint="default" w:ascii="Times New Roman" w:hAnsi="Times New Roman" w:eastAsia="仿宋_GB2312" w:cs="Times New Roman"/>
          <w:bCs/>
          <w:color w:val="auto"/>
          <w:kern w:val="2"/>
          <w:sz w:val="32"/>
          <w:szCs w:val="32"/>
          <w:highlight w:val="none"/>
          <w:lang w:val="en-US" w:eastAsia="zh-CN" w:bidi="ar-SA"/>
        </w:rPr>
        <w:t>立讯精密在规定期限内没有提出陈述、申辩意见或要求举行听证，本案现已调查终结。</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rPr>
        <w:t>一、</w:t>
      </w:r>
      <w:r>
        <w:rPr>
          <w:rFonts w:hint="default" w:ascii="Times New Roman" w:hAnsi="Times New Roman" w:eastAsia="黑体" w:cs="Times New Roman"/>
          <w:color w:val="auto"/>
          <w:kern w:val="2"/>
          <w:sz w:val="32"/>
          <w:szCs w:val="32"/>
          <w:lang w:eastAsia="zh-CN"/>
        </w:rPr>
        <w:t>案件来源及调查经过</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left="0" w:leftChars="0" w:firstLine="628" w:firstLineChars="200"/>
        <w:jc w:val="both"/>
        <w:textAlignment w:val="auto"/>
        <w:rPr>
          <w:rFonts w:hint="default" w:ascii="Times New Roman" w:hAnsi="Times New Roman" w:cs="Times New Roman"/>
        </w:rPr>
      </w:pPr>
      <w:r>
        <w:rPr>
          <w:rFonts w:hint="eastAsia" w:ascii="Times New Roman" w:hAnsi="Times New Roman" w:eastAsia="仿宋_GB2312" w:cs="Times New Roman"/>
          <w:bCs/>
          <w:color w:val="auto"/>
          <w:sz w:val="32"/>
          <w:szCs w:val="32"/>
          <w:highlight w:val="none"/>
          <w:lang w:val="en-US" w:eastAsia="zh-CN"/>
        </w:rPr>
        <w:t>2025年2月17日，立讯精密</w:t>
      </w:r>
      <w:r>
        <w:rPr>
          <w:rFonts w:hint="eastAsia" w:ascii="仿宋_GB2312" w:hAnsi="仿宋_GB2312" w:eastAsia="仿宋_GB2312" w:cs="仿宋_GB2312"/>
          <w:bCs w:val="0"/>
          <w:color w:val="auto"/>
          <w:sz w:val="32"/>
          <w:szCs w:val="32"/>
          <w:lang w:val="en-US" w:eastAsia="zh-CN"/>
        </w:rPr>
        <w:t>向本机关提交说明材料，主动告知立讯精密收购嘉兴永瑞电子科技有限公司（以下简称嘉兴永瑞）等三家公司股权的交易涉嫌违法实施经营者集中</w:t>
      </w:r>
      <w:r>
        <w:rPr>
          <w:rFonts w:hint="eastAsia" w:ascii="仿宋_GB2312" w:hAnsi="仿宋_GB2312" w:eastAsia="仿宋_GB2312" w:cs="仿宋_GB2312"/>
          <w:kern w:val="2"/>
          <w:sz w:val="32"/>
          <w:szCs w:val="32"/>
          <w:lang w:val="en-US" w:eastAsia="zh-CN"/>
        </w:rPr>
        <w:t>。</w:t>
      </w:r>
      <w:r>
        <w:rPr>
          <w:rFonts w:hint="eastAsia" w:ascii="Times New Roman" w:hAnsi="Times New Roman" w:eastAsia="仿宋_GB2312" w:cs="Times New Roman"/>
          <w:bCs/>
          <w:color w:val="auto"/>
          <w:sz w:val="32"/>
          <w:szCs w:val="32"/>
          <w:highlight w:val="none"/>
          <w:lang w:val="en-US" w:eastAsia="zh-CN"/>
        </w:rPr>
        <w:t>经核，上述三家公司是闻泰科技全资子公司，本交易实为立讯精密收购闻泰科技的部分电子产品代工业务（以下称目标业务）。</w:t>
      </w:r>
      <w:r>
        <w:rPr>
          <w:rFonts w:hint="eastAsia" w:ascii="Times New Roman" w:hAnsi="Times New Roman" w:eastAsia="仿宋_GB2312" w:cs="仿宋_GB2312"/>
          <w:bCs w:val="0"/>
          <w:color w:val="auto"/>
          <w:sz w:val="32"/>
          <w:szCs w:val="32"/>
          <w:lang w:val="en-US" w:eastAsia="zh-CN"/>
        </w:rPr>
        <w:t>2025</w:t>
      </w:r>
      <w:r>
        <w:rPr>
          <w:rFonts w:hint="eastAsia" w:ascii="仿宋_GB2312" w:hAnsi="仿宋_GB2312" w:eastAsia="仿宋_GB2312" w:cs="仿宋_GB2312"/>
          <w:bCs w:val="0"/>
          <w:color w:val="auto"/>
          <w:sz w:val="32"/>
          <w:szCs w:val="32"/>
          <w:lang w:val="en-US" w:eastAsia="zh-CN"/>
        </w:rPr>
        <w:t>年</w:t>
      </w:r>
      <w:r>
        <w:rPr>
          <w:rFonts w:hint="eastAsia" w:ascii="Times New Roman" w:hAnsi="Times New Roman" w:eastAsia="仿宋_GB2312" w:cs="仿宋_GB2312"/>
          <w:bCs w:val="0"/>
          <w:kern w:val="2"/>
          <w:sz w:val="32"/>
          <w:szCs w:val="32"/>
          <w:u w:val="none"/>
          <w:lang w:val="en-US" w:eastAsia="zh-CN" w:bidi="ar-SA"/>
        </w:rPr>
        <w:t>9</w:t>
      </w:r>
      <w:r>
        <w:rPr>
          <w:rFonts w:hint="eastAsia" w:ascii="仿宋_GB2312" w:hAnsi="仿宋_GB2312" w:eastAsia="仿宋_GB2312" w:cs="仿宋_GB2312"/>
          <w:bCs w:val="0"/>
          <w:kern w:val="2"/>
          <w:sz w:val="32"/>
          <w:szCs w:val="32"/>
          <w:u w:val="none"/>
          <w:lang w:val="en-US" w:eastAsia="zh-CN" w:bidi="ar-SA"/>
        </w:rPr>
        <w:t>月</w:t>
      </w:r>
      <w:r>
        <w:rPr>
          <w:rFonts w:hint="eastAsia" w:ascii="Times New Roman" w:hAnsi="Times New Roman" w:eastAsia="仿宋_GB2312" w:cs="仿宋_GB2312"/>
          <w:bCs w:val="0"/>
          <w:kern w:val="2"/>
          <w:sz w:val="32"/>
          <w:szCs w:val="32"/>
          <w:u w:val="none"/>
          <w:lang w:val="en-US" w:eastAsia="zh-CN" w:bidi="ar-SA"/>
        </w:rPr>
        <w:t>5</w:t>
      </w:r>
      <w:r>
        <w:rPr>
          <w:rFonts w:hint="eastAsia" w:ascii="仿宋_GB2312" w:hAnsi="仿宋_GB2312" w:eastAsia="仿宋_GB2312" w:cs="仿宋_GB2312"/>
          <w:bCs w:val="0"/>
          <w:kern w:val="2"/>
          <w:sz w:val="32"/>
          <w:szCs w:val="32"/>
          <w:u w:val="none"/>
          <w:lang w:val="en-US" w:eastAsia="zh-CN" w:bidi="ar-SA"/>
        </w:rPr>
        <w:t>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对本案立案调查。</w:t>
      </w: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bCs w:val="0"/>
          <w:color w:val="auto"/>
          <w:sz w:val="32"/>
          <w:szCs w:val="32"/>
          <w:lang w:val="en-US" w:eastAsia="zh-CN"/>
        </w:rPr>
        <w:t>月</w:t>
      </w:r>
      <w:r>
        <w:rPr>
          <w:rFonts w:hint="eastAsia" w:ascii="Times New Roman" w:hAnsi="Times New Roman" w:eastAsia="仿宋_GB2312" w:cs="仿宋_GB2312"/>
          <w:bCs w:val="0"/>
          <w:color w:val="auto"/>
          <w:sz w:val="32"/>
          <w:szCs w:val="32"/>
          <w:lang w:val="en-US" w:eastAsia="zh-CN"/>
        </w:rPr>
        <w:t>27</w:t>
      </w:r>
      <w:r>
        <w:rPr>
          <w:rFonts w:hint="eastAsia" w:ascii="仿宋_GB2312" w:hAnsi="仿宋_GB2312" w:eastAsia="仿宋_GB2312" w:cs="仿宋_GB2312"/>
          <w:bCs w:val="0"/>
          <w:color w:val="auto"/>
          <w:sz w:val="32"/>
          <w:szCs w:val="32"/>
          <w:lang w:val="en-US" w:eastAsia="zh-CN"/>
        </w:rPr>
        <w:t>日，实施进一步调查，对本案是否具有排除、限制竞争效果进行了评估。</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lang w:eastAsia="zh-CN"/>
        </w:rPr>
        <w:t>二</w:t>
      </w:r>
      <w:r>
        <w:rPr>
          <w:rFonts w:hint="default" w:ascii="Times New Roman" w:hAnsi="Times New Roman" w:eastAsia="黑体" w:cs="Times New Roman"/>
          <w:color w:val="auto"/>
          <w:kern w:val="2"/>
          <w:sz w:val="32"/>
          <w:szCs w:val="32"/>
        </w:rPr>
        <w:t>、</w:t>
      </w:r>
      <w:r>
        <w:rPr>
          <w:rFonts w:hint="default" w:ascii="Times New Roman" w:hAnsi="Times New Roman" w:eastAsia="黑体" w:cs="Times New Roman"/>
          <w:color w:val="auto"/>
          <w:kern w:val="2"/>
          <w:sz w:val="32"/>
          <w:szCs w:val="32"/>
          <w:lang w:eastAsia="zh-CN"/>
        </w:rPr>
        <w:t>基本情况</w:t>
      </w:r>
    </w:p>
    <w:p>
      <w:pPr>
        <w:pStyle w:val="17"/>
        <w:keepNext w:val="0"/>
        <w:keepLines w:val="0"/>
        <w:pageBreakBefore w:val="0"/>
        <w:widowControl w:val="0"/>
        <w:kinsoku/>
        <w:wordWrap/>
        <w:topLinePunct w:val="0"/>
        <w:bidi w:val="0"/>
        <w:adjustRightInd w:val="0"/>
        <w:snapToGrid/>
        <w:spacing w:line="594" w:lineRule="exact"/>
        <w:ind w:left="0" w:leftChars="0" w:firstLine="643"/>
        <w:jc w:val="both"/>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（一）</w:t>
      </w:r>
      <w:r>
        <w:rPr>
          <w:rFonts w:hint="default" w:ascii="Times New Roman" w:hAnsi="Times New Roman" w:eastAsia="楷体_GB2312" w:cs="Times New Roman"/>
          <w:b w:val="0"/>
          <w:bCs/>
          <w:color w:val="auto"/>
          <w:lang w:eastAsia="zh-CN"/>
        </w:rPr>
        <w:t>交易方</w:t>
      </w:r>
      <w:r>
        <w:rPr>
          <w:rFonts w:hint="default" w:ascii="Times New Roman" w:hAnsi="Times New Roman" w:eastAsia="楷体_GB2312" w:cs="Times New Roman"/>
          <w:b w:val="0"/>
          <w:bCs/>
          <w:color w:val="auto"/>
        </w:rPr>
        <w:t>。</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仿宋_GB2312" w:cs="Times New Roman"/>
          <w:bCs w:val="0"/>
          <w:color w:val="auto"/>
          <w:sz w:val="32"/>
          <w:szCs w:val="32"/>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当事人：</w:t>
      </w:r>
      <w:r>
        <w:rPr>
          <w:rFonts w:hint="eastAsia" w:ascii="Times New Roman" w:hAnsi="Times New Roman" w:eastAsia="仿宋_GB2312" w:cs="Times New Roman"/>
          <w:b/>
          <w:bCs/>
          <w:color w:val="auto"/>
          <w:kern w:val="0"/>
          <w:sz w:val="32"/>
          <w:szCs w:val="32"/>
          <w:highlight w:val="none"/>
          <w:lang w:val="en-US" w:eastAsia="zh-CN"/>
        </w:rPr>
        <w:t>立讯精密（收购方）。</w:t>
      </w:r>
      <w:r>
        <w:rPr>
          <w:rFonts w:hint="eastAsia" w:ascii="Times New Roman" w:hAnsi="Times New Roman" w:eastAsia="仿宋_GB2312" w:cs="Times New Roman"/>
          <w:color w:val="auto"/>
          <w:kern w:val="2"/>
          <w:sz w:val="32"/>
          <w:szCs w:val="32"/>
          <w:lang w:val="en-US" w:eastAsia="zh-CN" w:bidi="ar-SA"/>
        </w:rPr>
        <w:t>2004年在广东省注册成立，主要业务为电子产品代工、汽车互联网产品及精密组件、通讯互联产品及精密组件、其他连接器等产品的生产销售等。最终控</w:t>
      </w:r>
      <w:r>
        <w:rPr>
          <w:rFonts w:hint="eastAsia" w:ascii="Times New Roman" w:hAnsi="Times New Roman" w:eastAsia="仿宋_GB2312" w:cs="Times New Roman"/>
          <w:color w:val="auto"/>
          <w:kern w:val="2"/>
          <w:sz w:val="32"/>
          <w:szCs w:val="32"/>
          <w:highlight w:val="none"/>
          <w:lang w:val="en-US" w:eastAsia="zh-CN" w:bidi="ar-SA"/>
        </w:rPr>
        <w:t>制人为</w:t>
      </w:r>
      <w:r>
        <w:rPr>
          <w:rFonts w:hint="eastAsia" w:eastAsia="仿宋_GB2312"/>
          <w:bCs/>
          <w:sz w:val="32"/>
          <w:szCs w:val="32"/>
        </w:rPr>
        <w:t>（略）</w:t>
      </w:r>
      <w:r>
        <w:rPr>
          <w:rFonts w:hint="eastAsia" w:ascii="Times New Roman" w:hAnsi="Times New Roman" w:eastAsia="仿宋_GB2312" w:cs="Times New Roman"/>
          <w:color w:val="auto"/>
          <w:kern w:val="2"/>
          <w:sz w:val="32"/>
          <w:szCs w:val="32"/>
          <w:lang w:val="en-US" w:eastAsia="zh-CN" w:bidi="ar-SA"/>
        </w:rPr>
        <w:t>。2024年，立讯精密（含关联方）全球和中国境内营业额分别为</w:t>
      </w:r>
      <w:r>
        <w:rPr>
          <w:rFonts w:hint="eastAsia" w:eastAsia="仿宋_GB2312"/>
          <w:bCs/>
          <w:sz w:val="32"/>
          <w:szCs w:val="32"/>
        </w:rPr>
        <w:t>（略）</w:t>
      </w:r>
      <w:r>
        <w:rPr>
          <w:rFonts w:hint="eastAsia" w:ascii="Times New Roman" w:hAnsi="Times New Roman" w:eastAsia="仿宋_GB2312" w:cs="Times New Roman"/>
          <w:color w:val="auto"/>
          <w:kern w:val="2"/>
          <w:sz w:val="32"/>
          <w:szCs w:val="32"/>
          <w:lang w:val="en-US" w:eastAsia="zh-CN" w:bidi="ar-SA"/>
        </w:rPr>
        <w:t>。</w:t>
      </w:r>
    </w:p>
    <w:p>
      <w:pPr>
        <w:pStyle w:val="17"/>
        <w:keepNext w:val="0"/>
        <w:keepLines w:val="0"/>
        <w:pageBreakBefore w:val="0"/>
        <w:widowControl w:val="0"/>
        <w:kinsoku/>
        <w:wordWrap/>
        <w:topLinePunct w:val="0"/>
        <w:bidi w:val="0"/>
        <w:snapToGrid/>
        <w:spacing w:line="594" w:lineRule="exact"/>
        <w:ind w:firstLine="643"/>
        <w:jc w:val="both"/>
        <w:textAlignment w:val="auto"/>
        <w:rPr>
          <w:rFonts w:hint="default" w:ascii="Times New Roman" w:hAnsi="Times New Roman" w:eastAsia="仿宋_GB2312" w:cs="Times New Roman"/>
          <w:bCs w:val="0"/>
          <w:color w:val="auto"/>
          <w:kern w:val="2"/>
          <w:sz w:val="32"/>
          <w:szCs w:val="32"/>
          <w:lang w:val="en-US" w:eastAsia="zh-CN" w:bidi="ar-SA"/>
        </w:rPr>
      </w:pPr>
      <w:r>
        <w:rPr>
          <w:rFonts w:hint="eastAsia" w:ascii="Times New Roman" w:hAnsi="Times New Roman" w:cs="Times New Roman"/>
          <w:b/>
          <w:bCs/>
          <w:color w:val="auto"/>
          <w:szCs w:val="32"/>
          <w:lang w:val="en-US" w:eastAsia="zh-CN"/>
        </w:rPr>
        <w:t>目标业务：</w:t>
      </w:r>
      <w:r>
        <w:rPr>
          <w:rFonts w:hint="eastAsia" w:ascii="Times New Roman" w:hAnsi="Times New Roman" w:eastAsia="仿宋_GB2312" w:cs="Times New Roman"/>
          <w:b/>
          <w:bCs/>
          <w:color w:val="auto"/>
          <w:sz w:val="32"/>
          <w:szCs w:val="32"/>
          <w:highlight w:val="none"/>
          <w:lang w:val="en-US" w:eastAsia="zh-CN"/>
        </w:rPr>
        <w:t>闻泰科技</w:t>
      </w:r>
      <w:r>
        <w:rPr>
          <w:rFonts w:hint="eastAsia" w:ascii="Times New Roman" w:hAnsi="Times New Roman" w:cs="Times New Roman"/>
          <w:b/>
          <w:bCs/>
          <w:color w:val="auto"/>
          <w:sz w:val="32"/>
          <w:szCs w:val="32"/>
          <w:highlight w:val="none"/>
          <w:lang w:val="en-US" w:eastAsia="zh-CN"/>
        </w:rPr>
        <w:t>通过</w:t>
      </w:r>
      <w:r>
        <w:rPr>
          <w:rFonts w:hint="eastAsia" w:ascii="Times New Roman" w:hAnsi="Times New Roman" w:cs="Times New Roman"/>
          <w:b/>
          <w:bCs/>
          <w:color w:val="auto"/>
          <w:szCs w:val="32"/>
          <w:lang w:val="en-US" w:eastAsia="zh-CN"/>
        </w:rPr>
        <w:t>嘉兴永瑞、上海闻泰电子科技有限公司（以下简称闻泰电子）、上海闻泰信息科技有限公司（以下简称闻泰信息）</w:t>
      </w:r>
      <w:r>
        <w:rPr>
          <w:rFonts w:hint="default" w:ascii="Times New Roman" w:hAnsi="Times New Roman" w:cs="Times New Roman"/>
          <w:b/>
          <w:bCs/>
          <w:color w:val="auto"/>
          <w:szCs w:val="32"/>
          <w:lang w:val="en-US" w:eastAsia="zh-CN"/>
        </w:rPr>
        <w:t>等三家公司</w:t>
      </w:r>
      <w:r>
        <w:rPr>
          <w:rFonts w:hint="eastAsia" w:ascii="Times New Roman" w:hAnsi="Times New Roman" w:cs="Times New Roman"/>
          <w:b/>
          <w:bCs/>
          <w:color w:val="auto"/>
          <w:szCs w:val="32"/>
          <w:lang w:val="en-US" w:eastAsia="zh-CN"/>
        </w:rPr>
        <w:t>从事</w:t>
      </w:r>
      <w:r>
        <w:rPr>
          <w:rFonts w:hint="eastAsia" w:ascii="Times New Roman" w:hAnsi="Times New Roman" w:eastAsia="仿宋_GB2312" w:cs="Times New Roman"/>
          <w:b/>
          <w:bCs/>
          <w:color w:val="auto"/>
          <w:sz w:val="32"/>
          <w:szCs w:val="32"/>
          <w:highlight w:val="none"/>
          <w:lang w:val="en-US" w:eastAsia="zh-CN"/>
        </w:rPr>
        <w:t>的部分电子产品代工业务</w:t>
      </w:r>
      <w:r>
        <w:rPr>
          <w:rFonts w:hint="default" w:ascii="Times New Roman" w:hAnsi="Times New Roman" w:cs="Times New Roman"/>
          <w:b/>
          <w:bCs/>
          <w:color w:val="auto"/>
          <w:szCs w:val="32"/>
          <w:lang w:val="en-US" w:eastAsia="zh-CN"/>
        </w:rPr>
        <w:t>。</w:t>
      </w:r>
      <w:r>
        <w:rPr>
          <w:rFonts w:hint="default" w:ascii="Times New Roman" w:hAnsi="Times New Roman" w:cs="Times New Roman"/>
          <w:color w:val="auto"/>
          <w:szCs w:val="32"/>
          <w:lang w:val="en-US" w:eastAsia="zh-CN"/>
        </w:rPr>
        <w:t>目标业务最终控制人为</w:t>
      </w:r>
      <w:r>
        <w:rPr>
          <w:rFonts w:hint="eastAsia" w:eastAsia="仿宋_GB2312"/>
          <w:bCs/>
          <w:sz w:val="32"/>
          <w:szCs w:val="32"/>
        </w:rPr>
        <w:t>（略）</w:t>
      </w:r>
      <w:r>
        <w:rPr>
          <w:rFonts w:hint="default"/>
          <w:b w:val="0"/>
          <w:bCs w:val="0"/>
          <w:kern w:val="2"/>
          <w:lang w:eastAsia="zh-CN"/>
        </w:rPr>
        <w:t>。</w:t>
      </w:r>
      <w:r>
        <w:rPr>
          <w:rFonts w:hint="eastAsia" w:ascii="Times New Roman" w:hAnsi="Times New Roman" w:eastAsia="仿宋_GB2312" w:cs="Times New Roman"/>
          <w:color w:val="auto"/>
          <w:sz w:val="32"/>
          <w:szCs w:val="32"/>
          <w:lang w:val="en-US" w:eastAsia="zh-CN" w:bidi="ar-SA"/>
        </w:rPr>
        <w:t>嘉兴永瑞于2014年在浙江省注册成立，</w:t>
      </w:r>
      <w:r>
        <w:rPr>
          <w:rFonts w:hint="eastAsia" w:ascii="Times New Roman" w:hAnsi="Times New Roman" w:cs="Times New Roman"/>
          <w:color w:val="auto"/>
          <w:sz w:val="32"/>
          <w:szCs w:val="32"/>
          <w:lang w:val="en-US" w:eastAsia="zh-CN" w:bidi="ar-SA"/>
        </w:rPr>
        <w:t>负责闻泰科技电子产品代工服务业务流程中的生产制造环节；</w:t>
      </w:r>
      <w:r>
        <w:rPr>
          <w:rFonts w:hint="default" w:ascii="Times New Roman" w:hAnsi="Times New Roman" w:cs="Times New Roman"/>
          <w:color w:val="auto"/>
          <w:sz w:val="32"/>
          <w:szCs w:val="32"/>
          <w:lang w:val="en-US" w:eastAsia="zh-CN" w:bidi="ar-SA"/>
        </w:rPr>
        <w:t>闻泰</w:t>
      </w:r>
      <w:r>
        <w:rPr>
          <w:rFonts w:hint="eastAsia" w:ascii="Times New Roman" w:hAnsi="Times New Roman" w:eastAsia="仿宋_GB2312" w:cs="Times New Roman"/>
          <w:color w:val="auto"/>
          <w:sz w:val="32"/>
          <w:szCs w:val="32"/>
          <w:lang w:val="en-US" w:eastAsia="zh-CN" w:bidi="ar-SA"/>
        </w:rPr>
        <w:t>电子</w:t>
      </w:r>
      <w:r>
        <w:rPr>
          <w:rFonts w:hint="eastAsia" w:ascii="Times New Roman" w:hAnsi="Times New Roman" w:cs="Times New Roman"/>
          <w:color w:val="auto"/>
          <w:sz w:val="32"/>
          <w:szCs w:val="32"/>
          <w:lang w:val="en-US" w:eastAsia="zh-CN" w:bidi="ar-SA"/>
        </w:rPr>
        <w:t>和闻泰信息分别于2006年、2016年在上海市</w:t>
      </w:r>
      <w:r>
        <w:rPr>
          <w:rFonts w:hint="eastAsia" w:ascii="Times New Roman" w:hAnsi="Times New Roman" w:eastAsia="仿宋_GB2312" w:cs="Times New Roman"/>
          <w:color w:val="auto"/>
          <w:sz w:val="32"/>
          <w:szCs w:val="32"/>
          <w:lang w:val="en-US" w:eastAsia="zh-CN" w:bidi="ar-SA"/>
        </w:rPr>
        <w:t>注册成立，</w:t>
      </w:r>
      <w:r>
        <w:rPr>
          <w:rFonts w:hint="eastAsia" w:ascii="Times New Roman" w:hAnsi="Times New Roman" w:cs="Times New Roman"/>
          <w:color w:val="auto"/>
          <w:sz w:val="32"/>
          <w:szCs w:val="32"/>
          <w:lang w:val="en-US" w:eastAsia="zh-CN" w:bidi="ar-SA"/>
        </w:rPr>
        <w:t>负责闻泰科技电子产品代工服务业务流程中的软件和技术研发环节。2024年，</w:t>
      </w:r>
      <w:r>
        <w:rPr>
          <w:rFonts w:hint="eastAsia" w:ascii="Times New Roman" w:hAnsi="Times New Roman" w:eastAsia="仿宋_GB2312" w:cs="Times New Roman"/>
          <w:color w:val="auto"/>
          <w:sz w:val="32"/>
          <w:szCs w:val="32"/>
          <w:lang w:val="en-US" w:eastAsia="zh-CN" w:bidi="ar-SA"/>
        </w:rPr>
        <w:t>目标业务全球和中国境内营业额分别为</w:t>
      </w:r>
      <w:r>
        <w:rPr>
          <w:rFonts w:hint="eastAsia" w:eastAsia="仿宋_GB2312"/>
          <w:bCs/>
          <w:sz w:val="32"/>
          <w:szCs w:val="32"/>
        </w:rPr>
        <w:t>（略）</w:t>
      </w:r>
      <w:r>
        <w:rPr>
          <w:rFonts w:hint="eastAsia" w:ascii="Times New Roman" w:hAnsi="Times New Roman" w:cs="Times New Roman"/>
          <w:color w:val="auto"/>
          <w:szCs w:val="32"/>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cs="Times New Roman"/>
        </w:rPr>
      </w:pPr>
      <w:r>
        <w:rPr>
          <w:rFonts w:hint="eastAsia" w:ascii="Times New Roman" w:hAnsi="Times New Roman" w:eastAsia="仿宋_GB2312" w:cs="Times New Roman"/>
          <w:b/>
          <w:bCs/>
          <w:color w:val="auto"/>
          <w:kern w:val="0"/>
          <w:sz w:val="32"/>
          <w:szCs w:val="32"/>
          <w:highlight w:val="none"/>
          <w:lang w:val="en-US" w:eastAsia="zh-CN"/>
        </w:rPr>
        <w:t>股权出让方（非参与集中的经营者）</w:t>
      </w:r>
      <w:r>
        <w:rPr>
          <w:rFonts w:hint="default" w:ascii="Times New Roman" w:hAnsi="Times New Roman" w:eastAsia="仿宋_GB2312" w:cs="Times New Roman"/>
          <w:b/>
          <w:bCs/>
          <w:color w:val="auto"/>
          <w:kern w:val="0"/>
          <w:sz w:val="32"/>
          <w:szCs w:val="32"/>
          <w:highlight w:val="none"/>
          <w:lang w:val="en-US" w:eastAsia="zh-CN"/>
        </w:rPr>
        <w:t>：闻泰科技</w:t>
      </w:r>
      <w:r>
        <w:rPr>
          <w:rFonts w:hint="eastAsia"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b w:val="0"/>
          <w:bCs w:val="0"/>
          <w:kern w:val="2"/>
          <w:sz w:val="32"/>
          <w:szCs w:val="32"/>
          <w:lang w:val="en-US" w:eastAsia="zh-CN"/>
        </w:rPr>
        <w:t>9</w:t>
      </w:r>
      <w:r>
        <w:rPr>
          <w:rFonts w:hint="eastAsia" w:ascii="Times New Roman" w:hAnsi="Times New Roman" w:eastAsia="仿宋_GB2312" w:cs="仿宋_GB2312"/>
          <w:kern w:val="2"/>
          <w:sz w:val="32"/>
          <w:szCs w:val="32"/>
          <w:lang w:val="en-US" w:eastAsia="zh-CN"/>
        </w:rPr>
        <w:t>93</w:t>
      </w:r>
      <w:r>
        <w:rPr>
          <w:rFonts w:hint="eastAsia" w:ascii="仿宋_GB2312" w:hAnsi="仿宋_GB2312" w:eastAsia="仿宋_GB2312" w:cs="仿宋_GB2312"/>
          <w:kern w:val="2"/>
          <w:sz w:val="32"/>
          <w:szCs w:val="32"/>
          <w:lang w:val="en-US" w:eastAsia="zh-CN"/>
        </w:rPr>
        <w:t>年在湖北省注册成立，</w:t>
      </w:r>
      <w:r>
        <w:rPr>
          <w:rFonts w:hint="default" w:ascii="仿宋_GB2312" w:hAnsi="仿宋_GB2312" w:eastAsia="仿宋_GB2312" w:cs="仿宋_GB2312"/>
          <w:kern w:val="2"/>
          <w:sz w:val="32"/>
          <w:szCs w:val="32"/>
          <w:lang w:val="en-US" w:eastAsia="zh-CN"/>
        </w:rPr>
        <w:t>主要业务为半导体功率器件、模拟芯片的研发设计、晶圆制造和封装测试；手机、平板电脑、笔记本电脑、汽车电子等终端产品研发制造服务。</w:t>
      </w:r>
    </w:p>
    <w:p>
      <w:pPr>
        <w:pStyle w:val="17"/>
        <w:keepNext w:val="0"/>
        <w:keepLines w:val="0"/>
        <w:pageBreakBefore w:val="0"/>
        <w:widowControl w:val="0"/>
        <w:kinsoku/>
        <w:wordWrap/>
        <w:topLinePunct w:val="0"/>
        <w:bidi w:val="0"/>
        <w:adjustRightInd w:val="0"/>
        <w:snapToGrid/>
        <w:spacing w:line="594" w:lineRule="exact"/>
        <w:ind w:left="0" w:leftChars="0" w:firstLine="643"/>
        <w:jc w:val="both"/>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（二）交易</w:t>
      </w:r>
      <w:r>
        <w:rPr>
          <w:rFonts w:hint="default" w:ascii="Times New Roman" w:hAnsi="Times New Roman" w:eastAsia="楷体_GB2312" w:cs="Times New Roman"/>
          <w:b w:val="0"/>
          <w:bCs/>
          <w:color w:val="auto"/>
          <w:lang w:eastAsia="zh-CN"/>
        </w:rPr>
        <w:t>情况</w:t>
      </w:r>
      <w:r>
        <w:rPr>
          <w:rFonts w:hint="default" w:ascii="Times New Roman" w:hAnsi="Times New Roman" w:eastAsia="楷体_GB2312" w:cs="Times New Roman"/>
          <w:b w:val="0"/>
          <w:bCs/>
          <w:color w:val="auto"/>
        </w:rPr>
        <w:t>。</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月23日，立讯精密通过全资子公司立讯通讯（上海）有限公司（以下简称立讯通讯）与闻泰科技全资子公司闻泰通讯股份有限公司（以下简称闻泰通讯）签署《股权转让协议》，闻泰通讯将其持有的目标业务股权转让给立讯通讯。1月26日，嘉兴永瑞和闻泰电子完成股权变更登记，1月27日，闻泰信息完成股权变更登记，立讯精密间接取得目标业务100%股权，单独控制目标业务。</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lang w:eastAsia="zh-CN"/>
        </w:rPr>
        <w:t>三</w:t>
      </w:r>
      <w:r>
        <w:rPr>
          <w:rFonts w:hint="default" w:ascii="Times New Roman" w:hAnsi="Times New Roman" w:eastAsia="黑体" w:cs="Times New Roman"/>
          <w:color w:val="auto"/>
          <w:kern w:val="2"/>
          <w:sz w:val="32"/>
          <w:szCs w:val="32"/>
        </w:rPr>
        <w:t>、</w:t>
      </w:r>
      <w:r>
        <w:rPr>
          <w:rFonts w:hint="default" w:ascii="Times New Roman" w:hAnsi="Times New Roman" w:eastAsia="黑体" w:cs="Times New Roman"/>
          <w:color w:val="auto"/>
          <w:kern w:val="2"/>
          <w:sz w:val="32"/>
          <w:szCs w:val="32"/>
          <w:lang w:eastAsia="zh-CN"/>
        </w:rPr>
        <w:t>违法事实及相关证据</w:t>
      </w:r>
    </w:p>
    <w:p>
      <w:pPr>
        <w:keepNext w:val="0"/>
        <w:keepLines w:val="0"/>
        <w:pageBreakBefore w:val="0"/>
        <w:widowControl w:val="0"/>
        <w:kinsoku/>
        <w:wordWrap/>
        <w:topLinePunct w:val="0"/>
        <w:bidi w:val="0"/>
        <w:adjustRightInd w:val="0"/>
        <w:snapToGrid/>
        <w:spacing w:line="594" w:lineRule="exact"/>
        <w:ind w:left="0" w:firstLine="628" w:firstLineChars="200"/>
        <w:jc w:val="both"/>
        <w:textAlignment w:val="auto"/>
        <w:outlineLvl w:val="0"/>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（一）本案构成</w:t>
      </w:r>
      <w:r>
        <w:rPr>
          <w:rFonts w:hint="default" w:ascii="Times New Roman" w:hAnsi="Times New Roman" w:eastAsia="楷体_GB2312" w:cs="Times New Roman"/>
          <w:b w:val="0"/>
          <w:bCs w:val="0"/>
          <w:color w:val="auto"/>
          <w:sz w:val="32"/>
          <w:szCs w:val="32"/>
          <w:lang w:eastAsia="zh-CN"/>
        </w:rPr>
        <w:t>违法实施</w:t>
      </w:r>
      <w:r>
        <w:rPr>
          <w:rFonts w:hint="default" w:ascii="Times New Roman" w:hAnsi="Times New Roman" w:eastAsia="楷体_GB2312" w:cs="Times New Roman"/>
          <w:b w:val="0"/>
          <w:bCs w:val="0"/>
          <w:color w:val="auto"/>
          <w:sz w:val="32"/>
          <w:szCs w:val="32"/>
        </w:rPr>
        <w:t>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根据《反垄断法》第二十五条规定</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eastAsia="仿宋_GB2312" w:cs="Times New Roman"/>
          <w:bCs/>
          <w:sz w:val="32"/>
          <w:szCs w:val="32"/>
          <w:lang w:eastAsia="zh-CN"/>
        </w:rPr>
        <w:t>。</w:t>
      </w:r>
      <w:r>
        <w:rPr>
          <w:rFonts w:eastAsia="仿宋_GB2312"/>
          <w:bCs/>
          <w:sz w:val="32"/>
          <w:szCs w:val="32"/>
        </w:rPr>
        <w:t>经查，</w:t>
      </w:r>
      <w:r>
        <w:rPr>
          <w:rFonts w:hint="default" w:ascii="Times New Roman" w:hAnsi="Times New Roman" w:eastAsia="仿宋_GB2312" w:cs="Times New Roman"/>
          <w:bCs/>
          <w:sz w:val="32"/>
          <w:szCs w:val="32"/>
        </w:rPr>
        <w:t>本次交易前，闻泰科技间接持有目标业务100%股权，单独控制目标业务；本次交易后，立讯精密间接持有目标业务100%股权，单独控制目标业务，属于《反垄断法》第二十五条规定的经营者集中。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2024年，立讯精密（含关联方）全球和中国境内营业额分别为</w:t>
      </w:r>
      <w:r>
        <w:rPr>
          <w:rFonts w:hint="eastAsia" w:eastAsia="仿宋_GB2312"/>
          <w:bCs/>
          <w:sz w:val="32"/>
          <w:szCs w:val="32"/>
        </w:rPr>
        <w:t>（略）</w:t>
      </w:r>
      <w:r>
        <w:rPr>
          <w:rFonts w:hint="default" w:ascii="Times New Roman" w:hAnsi="Times New Roman" w:eastAsia="仿宋_GB2312" w:cs="Times New Roman"/>
          <w:bCs/>
          <w:sz w:val="32"/>
          <w:szCs w:val="32"/>
        </w:rPr>
        <w:t>；目标业务全球和中国境内营业额分别为</w:t>
      </w:r>
      <w:r>
        <w:rPr>
          <w:rFonts w:hint="eastAsia" w:eastAsia="仿宋_GB2312"/>
          <w:bCs/>
          <w:sz w:val="32"/>
          <w:szCs w:val="32"/>
        </w:rPr>
        <w:t>（略）</w:t>
      </w:r>
      <w:r>
        <w:rPr>
          <w:rFonts w:hint="default" w:ascii="Times New Roman" w:hAnsi="Times New Roman" w:eastAsia="仿宋_GB2312" w:cs="Times New Roman"/>
          <w:bCs/>
          <w:sz w:val="32"/>
          <w:szCs w:val="32"/>
        </w:rPr>
        <w:t>，达到《国务院关于经营者集中申报标准的规定》第三条规定的申报标准，属于应当申报的情形。</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sz w:val="32"/>
          <w:szCs w:val="32"/>
        </w:rPr>
      </w:pPr>
      <w:r>
        <w:rPr>
          <w:rFonts w:eastAsia="仿宋_GB2312"/>
          <w:bCs/>
          <w:sz w:val="32"/>
          <w:szCs w:val="32"/>
        </w:rPr>
        <w:t>根据</w:t>
      </w:r>
      <w:r>
        <w:rPr>
          <w:rFonts w:hint="default" w:ascii="Times New Roman" w:hAnsi="Times New Roman" w:eastAsia="仿宋_GB2312" w:cs="Times New Roman"/>
          <w:bCs/>
          <w:sz w:val="32"/>
          <w:szCs w:val="32"/>
        </w:rPr>
        <w:t>《反垄断法》第二十六条规定，“经营者集中达到国务院规定的申报标准的，经营者应当事先向国务院反垄断执法机构申报，未申报的不得实施集中”。2025年1月26日，嘉兴永瑞和闻泰电子完成股权变更登记，1月27日，闻泰信息完成股权变更登记，此前未依法向本机关申报，违反《反垄断法》第二十六条，构成违法实施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楷体_GB2312" w:cs="Times New Roman"/>
          <w:b w:val="0"/>
          <w:bCs w:val="0"/>
          <w:color w:val="auto"/>
          <w:kern w:val="2"/>
          <w:sz w:val="32"/>
          <w:szCs w:val="32"/>
        </w:rPr>
      </w:pPr>
      <w:r>
        <w:rPr>
          <w:rFonts w:hint="default" w:ascii="Times New Roman" w:hAnsi="Times New Roman" w:eastAsia="楷体_GB2312" w:cs="Times New Roman"/>
          <w:b w:val="0"/>
          <w:bCs w:val="0"/>
          <w:color w:val="auto"/>
          <w:kern w:val="2"/>
          <w:sz w:val="32"/>
          <w:szCs w:val="32"/>
        </w:rPr>
        <w:t>（二）本案不具有排除、限制竞争的效果。</w:t>
      </w:r>
    </w:p>
    <w:p>
      <w:pPr>
        <w:keepNext w:val="0"/>
        <w:keepLines w:val="0"/>
        <w:pageBreakBefore w:val="0"/>
        <w:widowControl w:val="0"/>
        <w:kinsoku/>
        <w:wordWrap/>
        <w:topLinePunct w:val="0"/>
        <w:bidi w:val="0"/>
        <w:adjustRightInd w:val="0"/>
        <w:snapToGrid/>
        <w:spacing w:line="594" w:lineRule="exact"/>
        <w:ind w:firstLine="628" w:firstLineChars="200"/>
        <w:jc w:val="both"/>
        <w:textAlignment w:val="auto"/>
        <w:outlineLvl w:val="0"/>
        <w:rPr>
          <w:rStyle w:val="16"/>
          <w:rFonts w:hint="default" w:ascii="Times New Roman" w:hAnsi="Times New Roman" w:eastAsia="仿宋_GB2312" w:cs="Times New Roman"/>
          <w:color w:val="auto"/>
          <w:sz w:val="32"/>
          <w:szCs w:val="22"/>
          <w:u w:val="none"/>
          <w:lang w:val="en-US" w:eastAsia="zh-CN"/>
        </w:rPr>
      </w:pPr>
      <w:r>
        <w:rPr>
          <w:rStyle w:val="16"/>
          <w:rFonts w:hint="default" w:ascii="Times New Roman" w:hAnsi="Times New Roman" w:eastAsia="仿宋_GB2312" w:cs="Times New Roman"/>
          <w:color w:val="auto"/>
          <w:sz w:val="32"/>
          <w:szCs w:val="22"/>
          <w:u w:val="none"/>
          <w:lang w:val="en-US" w:eastAsia="zh-CN"/>
        </w:rPr>
        <w:t>本机关就立讯精密收购闻泰科技部分业务对市场竞争的影响进行了评估，评估认为，该项经营者集中不会产生排除、限制竞争效果。</w:t>
      </w:r>
    </w:p>
    <w:p>
      <w:pPr>
        <w:keepNext w:val="0"/>
        <w:keepLines w:val="0"/>
        <w:pageBreakBefore w:val="0"/>
        <w:widowControl w:val="0"/>
        <w:kinsoku/>
        <w:wordWrap/>
        <w:topLinePunct w:val="0"/>
        <w:bidi w:val="0"/>
        <w:adjustRightInd w:val="0"/>
        <w:snapToGrid/>
        <w:spacing w:line="594" w:lineRule="exact"/>
        <w:ind w:firstLine="628" w:firstLineChars="200"/>
        <w:jc w:val="both"/>
        <w:textAlignment w:val="auto"/>
        <w:outlineLvl w:val="0"/>
        <w:rPr>
          <w:rStyle w:val="16"/>
          <w:rFonts w:hint="default" w:ascii="Times New Roman" w:hAnsi="Times New Roman" w:eastAsia="仿宋_GB2312" w:cs="Times New Roman"/>
          <w:color w:val="auto"/>
          <w:sz w:val="32"/>
          <w:szCs w:val="22"/>
          <w:u w:val="none"/>
          <w:lang w:val="en-US" w:eastAsia="zh-CN"/>
        </w:rPr>
      </w:pPr>
      <w:r>
        <w:rPr>
          <w:rStyle w:val="16"/>
          <w:rFonts w:hint="default" w:ascii="Times New Roman" w:hAnsi="Times New Roman" w:eastAsia="仿宋_GB2312" w:cs="Times New Roman"/>
          <w:color w:val="auto"/>
          <w:sz w:val="32"/>
          <w:szCs w:val="22"/>
          <w:u w:val="none"/>
          <w:lang w:val="en-US" w:eastAsia="zh-CN"/>
        </w:rPr>
        <w:t>上述事实，有立讯精密提交的情况说明、目标业务变更登记证明、股权转让协议、2024年财务报表及审计报告等证据证明。</w:t>
      </w:r>
    </w:p>
    <w:p>
      <w:pPr>
        <w:keepNext w:val="0"/>
        <w:keepLines w:val="0"/>
        <w:pageBreakBefore w:val="0"/>
        <w:widowControl w:val="0"/>
        <w:numPr>
          <w:ilvl w:val="0"/>
          <w:numId w:val="0"/>
        </w:numPr>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eastAsia="zh-CN"/>
        </w:rPr>
        <w:t>四、</w:t>
      </w:r>
      <w:r>
        <w:rPr>
          <w:rFonts w:hint="default" w:ascii="Times New Roman" w:hAnsi="Times New Roman" w:eastAsia="黑体" w:cs="Times New Roman"/>
          <w:color w:val="auto"/>
          <w:kern w:val="2"/>
          <w:sz w:val="32"/>
          <w:szCs w:val="32"/>
        </w:rPr>
        <w:t>行政处罚依据和决定</w:t>
      </w:r>
    </w:p>
    <w:p>
      <w:pPr>
        <w:keepNext w:val="0"/>
        <w:keepLines w:val="0"/>
        <w:pageBreakBefore w:val="0"/>
        <w:widowControl w:val="0"/>
        <w:kinsoku/>
        <w:wordWrap/>
        <w:overflowPunct/>
        <w:topLinePunct w:val="0"/>
        <w:autoSpaceDE/>
        <w:autoSpaceDN/>
        <w:bidi w:val="0"/>
        <w:adjustRightInd w:val="0"/>
        <w:snapToGrid/>
        <w:spacing w:line="594" w:lineRule="exact"/>
        <w:ind w:firstLine="628" w:firstLineChars="200"/>
        <w:jc w:val="both"/>
        <w:textAlignment w:val="auto"/>
        <w:outlineLvl w:val="0"/>
        <w:rPr>
          <w:rStyle w:val="16"/>
          <w:rFonts w:hint="default" w:ascii="Times New Roman" w:hAnsi="Times New Roman" w:eastAsia="仿宋_GB2312" w:cs="Times New Roman"/>
          <w:color w:val="auto"/>
          <w:sz w:val="32"/>
          <w:szCs w:val="22"/>
          <w:u w:val="none"/>
          <w:lang w:val="en-US" w:eastAsia="zh-CN"/>
        </w:rPr>
      </w:pPr>
      <w:r>
        <w:rPr>
          <w:rStyle w:val="16"/>
          <w:rFonts w:hint="default" w:ascii="Times New Roman" w:hAnsi="Times New Roman" w:eastAsia="仿宋_GB2312" w:cs="Times New Roman"/>
          <w:color w:val="auto"/>
          <w:sz w:val="32"/>
          <w:szCs w:val="22"/>
          <w:u w:val="none"/>
          <w:lang w:val="en-US" w:eastAsia="zh-CN"/>
        </w:rPr>
        <w:t>本机关认为，立讯精密负有依法申报经营者集中的法律义务，未依法事先申报实施经营者集中，违反《反垄断法》第二十六条规定，构成违法实施经营者集中。依据《反垄断法》第三十三条，评估认为本项集中不具有排除、限制竞争的效果。</w:t>
      </w:r>
    </w:p>
    <w:p>
      <w:pPr>
        <w:keepNext w:val="0"/>
        <w:keepLines w:val="0"/>
        <w:pageBreakBefore w:val="0"/>
        <w:widowControl w:val="0"/>
        <w:kinsoku/>
        <w:wordWrap/>
        <w:topLinePunct w:val="0"/>
        <w:bidi w:val="0"/>
        <w:adjustRightInd w:val="0"/>
        <w:snapToGrid/>
        <w:spacing w:line="594" w:lineRule="exact"/>
        <w:ind w:firstLine="628" w:firstLineChars="200"/>
        <w:jc w:val="both"/>
        <w:textAlignment w:val="auto"/>
        <w:outlineLvl w:val="0"/>
        <w:rPr>
          <w:rStyle w:val="16"/>
          <w:rFonts w:hint="default" w:ascii="Times New Roman" w:hAnsi="Times New Roman" w:cs="Times New Roman"/>
          <w:szCs w:val="22"/>
        </w:rPr>
      </w:pPr>
      <w:r>
        <w:rPr>
          <w:rFonts w:hint="eastAsia" w:ascii="仿宋_GB2312" w:hAnsi="仿宋_GB2312" w:eastAsia="仿宋_GB2312" w:cs="仿宋_GB2312"/>
          <w:bCs w:val="0"/>
          <w:color w:val="000000"/>
          <w:kern w:val="2"/>
          <w:sz w:val="32"/>
          <w:szCs w:val="32"/>
          <w:lang w:eastAsia="zh-CN"/>
        </w:rPr>
        <w:t>依据</w:t>
      </w:r>
      <w:r>
        <w:rPr>
          <w:rFonts w:hint="eastAsia" w:ascii="仿宋_GB2312" w:hAnsi="仿宋_GB2312" w:eastAsia="仿宋_GB2312" w:cs="仿宋_GB2312"/>
          <w:bCs w:val="0"/>
          <w:color w:val="000000"/>
          <w:kern w:val="2"/>
          <w:sz w:val="32"/>
          <w:szCs w:val="32"/>
        </w:rPr>
        <w:t>《反垄断法》</w:t>
      </w:r>
      <w:r>
        <w:rPr>
          <w:rFonts w:hint="eastAsia" w:ascii="仿宋_GB2312" w:hAnsi="仿宋_GB2312" w:eastAsia="仿宋_GB2312" w:cs="仿宋_GB2312"/>
          <w:bCs w:val="0"/>
          <w:color w:val="000000"/>
          <w:kern w:val="2"/>
          <w:sz w:val="32"/>
          <w:szCs w:val="32"/>
          <w:lang w:eastAsia="zh-CN"/>
        </w:rPr>
        <w:t>第五十八条、第五十九条</w:t>
      </w:r>
      <w:r>
        <w:rPr>
          <w:rFonts w:hint="eastAsia" w:ascii="仿宋_GB2312" w:hAnsi="仿宋_GB2312" w:eastAsia="仿宋_GB2312" w:cs="仿宋_GB2312"/>
          <w:sz w:val="32"/>
          <w:szCs w:val="32"/>
        </w:rPr>
        <w:t>以及《违法实施经营者集中行政处罚裁量权基准（试行）》</w:t>
      </w:r>
      <w:r>
        <w:rPr>
          <w:rFonts w:hint="eastAsia" w:ascii="仿宋_GB2312" w:hAnsi="仿宋_GB2312" w:eastAsia="仿宋_GB2312" w:cs="仿宋_GB2312"/>
          <w:sz w:val="32"/>
          <w:szCs w:val="32"/>
          <w:lang w:eastAsia="zh-CN"/>
        </w:rPr>
        <w:t>第五条、第六条、</w:t>
      </w:r>
      <w:r>
        <w:rPr>
          <w:rFonts w:hint="eastAsia" w:ascii="仿宋_GB2312" w:hAnsi="仿宋_GB2312" w:eastAsia="仿宋_GB2312" w:cs="仿宋_GB2312"/>
          <w:sz w:val="32"/>
          <w:szCs w:val="32"/>
        </w:rPr>
        <w:t>第七条、第九条等规定</w:t>
      </w:r>
      <w:r>
        <w:rPr>
          <w:rFonts w:hint="eastAsia" w:ascii="仿宋_GB2312" w:hAnsi="仿宋_GB2312" w:eastAsia="仿宋_GB2312" w:cs="仿宋_GB2312"/>
          <w:bCs w:val="0"/>
          <w:color w:val="000000"/>
          <w:kern w:val="2"/>
          <w:sz w:val="32"/>
          <w:szCs w:val="32"/>
          <w:lang w:eastAsia="zh-CN"/>
        </w:rPr>
        <w:t>，</w:t>
      </w:r>
      <w:r>
        <w:rPr>
          <w:rStyle w:val="16"/>
          <w:rFonts w:hint="eastAsia" w:eastAsia="仿宋_GB2312" w:cs="Times New Roman"/>
          <w:color w:val="auto"/>
          <w:sz w:val="32"/>
          <w:szCs w:val="22"/>
          <w:u w:val="none"/>
          <w:lang w:val="en-US" w:eastAsia="zh-CN"/>
        </w:rPr>
        <w:t>本机关</w:t>
      </w:r>
      <w:r>
        <w:rPr>
          <w:rFonts w:hint="eastAsia" w:ascii="仿宋_GB2312" w:hAnsi="仿宋_GB2312" w:eastAsia="仿宋_GB2312" w:cs="仿宋_GB2312"/>
          <w:bCs w:val="0"/>
          <w:color w:val="000000"/>
          <w:kern w:val="2"/>
          <w:sz w:val="32"/>
          <w:szCs w:val="32"/>
          <w:lang w:eastAsia="zh-CN"/>
        </w:rPr>
        <w:t>综合考虑了当事人违法行为的性质、程度、持续时间和消除违法行为后果的情况等</w:t>
      </w:r>
      <w:r>
        <w:rPr>
          <w:rStyle w:val="16"/>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Cs w:val="0"/>
          <w:color w:val="000000"/>
          <w:kern w:val="2"/>
          <w:sz w:val="32"/>
          <w:szCs w:val="32"/>
          <w:lang w:eastAsia="zh-CN"/>
        </w:rPr>
        <w:t>立讯精密在本机关掌握该违法实施经营者集中行为前主动报告，具有从轻处罚情形</w:t>
      </w:r>
      <w:r>
        <w:rPr>
          <w:rFonts w:hint="eastAsia" w:ascii="仿宋_GB2312" w:hAnsi="仿宋_GB2312" w:eastAsia="仿宋_GB2312" w:cs="仿宋_GB2312"/>
          <w:color w:val="000000"/>
          <w:sz w:val="32"/>
          <w:szCs w:val="32"/>
        </w:rPr>
        <w:t>。同时，立讯精密</w:t>
      </w:r>
      <w:r>
        <w:rPr>
          <w:rStyle w:val="16"/>
          <w:rFonts w:hint="eastAsia" w:ascii="Times New Roman" w:hAnsi="Times New Roman" w:eastAsia="仿宋_GB2312" w:cs="Times New Roman"/>
          <w:bCs/>
          <w:color w:val="auto"/>
          <w:sz w:val="32"/>
          <w:szCs w:val="32"/>
          <w:u w:val="none"/>
          <w:lang w:val="en-US" w:eastAsia="zh-CN"/>
        </w:rPr>
        <w:t>在发现违法事实后积极整改，</w:t>
      </w:r>
      <w:r>
        <w:rPr>
          <w:rFonts w:hint="eastAsia" w:ascii="仿宋_GB2312" w:hAnsi="仿宋_GB2312" w:eastAsia="仿宋_GB2312" w:cs="仿宋_GB2312"/>
          <w:color w:val="000000"/>
          <w:sz w:val="32"/>
          <w:szCs w:val="32"/>
        </w:rPr>
        <w:t>完善反垄断合规管理制度并有效实施</w:t>
      </w:r>
      <w:r>
        <w:rPr>
          <w:rStyle w:val="16"/>
          <w:rFonts w:hint="eastAsia" w:eastAsia="仿宋_GB2312"/>
          <w:bCs/>
          <w:color w:val="auto"/>
          <w:sz w:val="32"/>
          <w:szCs w:val="32"/>
          <w:u w:val="none"/>
        </w:rPr>
        <w:t>，</w:t>
      </w:r>
      <w:r>
        <w:rPr>
          <w:rStyle w:val="16"/>
          <w:rFonts w:hint="default" w:ascii="Times New Roman" w:hAnsi="Times New Roman" w:eastAsia="仿宋_GB2312" w:cs="Times New Roman"/>
          <w:color w:val="auto"/>
          <w:sz w:val="32"/>
          <w:szCs w:val="22"/>
          <w:u w:val="none"/>
          <w:lang w:val="en-US" w:eastAsia="zh-CN"/>
        </w:rPr>
        <w:t>决定</w:t>
      </w:r>
      <w:r>
        <w:rPr>
          <w:rFonts w:hint="eastAsia" w:ascii="仿宋_GB2312" w:hAnsi="仿宋_GB2312" w:eastAsia="仿宋_GB2312" w:cs="仿宋_GB2312"/>
          <w:b w:val="0"/>
          <w:bCs w:val="0"/>
          <w:i w:val="0"/>
          <w:iCs w:val="0"/>
          <w:color w:val="auto"/>
          <w:kern w:val="2"/>
          <w:sz w:val="32"/>
          <w:szCs w:val="32"/>
          <w:lang w:eastAsia="zh-CN"/>
        </w:rPr>
        <w:t>对立讯精密</w:t>
      </w:r>
      <w:r>
        <w:rPr>
          <w:rFonts w:hint="eastAsia" w:ascii="仿宋_GB2312" w:hAnsi="仿宋_GB2312" w:eastAsia="仿宋_GB2312" w:cs="仿宋_GB2312"/>
          <w:b w:val="0"/>
          <w:bCs w:val="0"/>
          <w:i w:val="0"/>
          <w:iCs w:val="0"/>
          <w:color w:val="auto"/>
          <w:sz w:val="32"/>
          <w:szCs w:val="32"/>
          <w:lang w:eastAsia="zh-CN"/>
        </w:rPr>
        <w:t>处以</w:t>
      </w:r>
      <w:r>
        <w:rPr>
          <w:rFonts w:hint="eastAsia" w:ascii="Times New Roman" w:hAnsi="Times New Roman" w:eastAsia="仿宋_GB2312" w:cs="仿宋_GB2312"/>
          <w:b w:val="0"/>
          <w:bCs w:val="0"/>
          <w:i w:val="0"/>
          <w:iCs w:val="0"/>
          <w:color w:val="auto"/>
          <w:sz w:val="32"/>
          <w:szCs w:val="32"/>
          <w:lang w:val="en-US" w:eastAsia="zh-CN"/>
        </w:rPr>
        <w:t>90</w:t>
      </w:r>
      <w:r>
        <w:rPr>
          <w:rFonts w:hint="eastAsia" w:ascii="仿宋_GB2312" w:hAnsi="仿宋_GB2312" w:eastAsia="仿宋_GB2312" w:cs="仿宋_GB2312"/>
          <w:b w:val="0"/>
          <w:bCs w:val="0"/>
          <w:i w:val="0"/>
          <w:iCs w:val="0"/>
          <w:color w:val="auto"/>
          <w:sz w:val="32"/>
          <w:szCs w:val="32"/>
          <w:lang w:val="en-US" w:eastAsia="zh-CN"/>
        </w:rPr>
        <w:t>万元罚款</w:t>
      </w:r>
      <w:r>
        <w:rPr>
          <w:rFonts w:hint="eastAsia" w:ascii="仿宋_GB2312" w:hAnsi="仿宋_GB2312" w:eastAsia="仿宋_GB2312" w:cs="仿宋_GB2312"/>
          <w:b w:val="0"/>
          <w:bCs w:val="0"/>
          <w:i w:val="0"/>
          <w:iCs w:val="0"/>
          <w:color w:val="auto"/>
          <w:sz w:val="32"/>
          <w:szCs w:val="32"/>
          <w:lang w:eastAsia="zh-CN"/>
        </w:rPr>
        <w:t>的行政处罚。</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bookmarkStart w:id="0" w:name="_GoBack"/>
      <w:bookmarkEnd w:id="0"/>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当事人应当自收到本行政处罚决定书之日起十五日内，携缴款码到15家中央财政非税收入收缴代理银行（工、农、中、建、交、中信、光大、招商、邮储、华夏、平安、兴业、民生、广发、浙商）任一银行网点、网上银行缴纳罚款。缴款码：</w:t>
      </w:r>
      <w:r>
        <w:rPr>
          <w:rFonts w:hint="eastAsia" w:eastAsia="仿宋_GB2312"/>
          <w:bCs/>
          <w:sz w:val="32"/>
          <w:szCs w:val="32"/>
        </w:rPr>
        <w:t>（</w:t>
      </w:r>
      <w:r>
        <w:rPr>
          <w:rFonts w:hint="eastAsia" w:eastAsia="仿宋_GB2312"/>
          <w:bCs/>
          <w:sz w:val="32"/>
          <w:szCs w:val="32"/>
          <w:lang w:eastAsia="zh-CN"/>
        </w:rPr>
        <w:t>略</w:t>
      </w:r>
      <w:r>
        <w:rPr>
          <w:rFonts w:hint="eastAsia" w:eastAsia="仿宋_GB2312"/>
          <w:bCs/>
          <w:sz w:val="32"/>
          <w:szCs w:val="32"/>
        </w:rPr>
        <w:t>）</w:t>
      </w:r>
      <w:r>
        <w:rPr>
          <w:rFonts w:hint="default"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lang w:val="en-US" w:eastAsia="zh-CN" w:bidi="ar-SA"/>
        </w:rPr>
        <w:t>到期不缴纳罚款的，依据《行政处罚法》第七十二条的规定，本机关将每日按罚款数额的百分之三加处罚款，并依法申请人民法院强制执行。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当事人如对上述行政处罚决定不服，可以自收到本行政处罚决定书之日起六十日内，向国家市场监督管理总局申请行政复议；或者自收到本行政处罚决定书之日起六个月内，依法向北京知识产权法院提起行政诉讼。行政复议或者行政诉讼期间，本行政处罚决定不停止执行。</w:t>
      </w:r>
    </w:p>
    <w:p>
      <w:pPr>
        <w:pStyle w:val="5"/>
        <w:keepNext w:val="0"/>
        <w:keepLines w:val="0"/>
        <w:pageBreakBefore w:val="0"/>
        <w:widowControl w:val="0"/>
        <w:kinsoku/>
        <w:wordWrap/>
        <w:topLinePunct w:val="0"/>
        <w:bidi w:val="0"/>
        <w:adjustRightInd w:val="0"/>
        <w:snapToGrid/>
        <w:spacing w:line="594" w:lineRule="exact"/>
        <w:jc w:val="left"/>
        <w:textAlignment w:val="auto"/>
        <w:rPr>
          <w:rFonts w:hint="default" w:ascii="Times New Roman" w:hAnsi="Times New Roman" w:cs="Times New Roman"/>
          <w:color w:val="auto"/>
          <w:lang w:eastAsia="zh-CN"/>
        </w:rPr>
      </w:pPr>
    </w:p>
    <w:p>
      <w:pPr>
        <w:keepNext w:val="0"/>
        <w:keepLines w:val="0"/>
        <w:pageBreakBefore w:val="0"/>
        <w:widowControl w:val="0"/>
        <w:kinsoku/>
        <w:wordWrap/>
        <w:topLinePunct w:val="0"/>
        <w:bidi w:val="0"/>
        <w:adjustRightInd w:val="0"/>
        <w:snapToGrid/>
        <w:spacing w:line="594" w:lineRule="exact"/>
        <w:ind w:firstLine="6280" w:firstLineChars="2000"/>
        <w:jc w:val="left"/>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eastAsia="zh-CN"/>
        </w:rPr>
        <w:t>市场监管总局</w:t>
      </w:r>
      <w:r>
        <w:rPr>
          <w:rFonts w:hint="eastAsia" w:eastAsia="仿宋_GB2312" w:cs="Times New Roman"/>
          <w:color w:val="auto"/>
          <w:kern w:val="2"/>
          <w:sz w:val="32"/>
          <w:szCs w:val="32"/>
          <w:lang w:val="en-US" w:eastAsia="zh-CN"/>
        </w:rPr>
        <w:t xml:space="preserve"> </w:t>
      </w:r>
    </w:p>
    <w:p>
      <w:pPr>
        <w:keepNext w:val="0"/>
        <w:keepLines w:val="0"/>
        <w:pageBreakBefore w:val="0"/>
        <w:widowControl w:val="0"/>
        <w:kinsoku/>
        <w:wordWrap/>
        <w:topLinePunct w:val="0"/>
        <w:bidi w:val="0"/>
        <w:adjustRightInd w:val="0"/>
        <w:snapToGrid/>
        <w:spacing w:line="594" w:lineRule="exact"/>
        <w:ind w:firstLine="5966" w:firstLineChars="190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202</w:t>
      </w:r>
      <w:r>
        <w:rPr>
          <w:rFonts w:hint="default"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rPr>
        <w:t>年</w:t>
      </w:r>
      <w:r>
        <w:rPr>
          <w:rFonts w:hint="eastAsia"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月</w:t>
      </w:r>
      <w:r>
        <w:rPr>
          <w:rFonts w:hint="eastAsia" w:eastAsia="仿宋_GB2312" w:cs="Times New Roman"/>
          <w:color w:val="auto"/>
          <w:kern w:val="2"/>
          <w:sz w:val="32"/>
          <w:szCs w:val="32"/>
          <w:highlight w:val="none"/>
          <w:lang w:val="en-US" w:eastAsia="zh-CN"/>
        </w:rPr>
        <w:t>21</w:t>
      </w:r>
      <w:r>
        <w:rPr>
          <w:rFonts w:hint="default" w:ascii="Times New Roman" w:hAnsi="Times New Roman" w:eastAsia="仿宋_GB2312" w:cs="Times New Roman"/>
          <w:color w:val="auto"/>
          <w:kern w:val="2"/>
          <w:sz w:val="32"/>
          <w:szCs w:val="32"/>
        </w:rPr>
        <w:t>日</w:t>
      </w:r>
    </w:p>
    <w:p>
      <w:pPr>
        <w:pStyle w:val="6"/>
        <w:keepNext w:val="0"/>
        <w:keepLines w:val="0"/>
        <w:pageBreakBefore w:val="0"/>
        <w:widowControl w:val="0"/>
        <w:kinsoku/>
        <w:wordWrap/>
        <w:topLinePunct w:val="0"/>
        <w:bidi w:val="0"/>
        <w:snapToGrid/>
        <w:spacing w:after="0" w:line="594" w:lineRule="exact"/>
        <w:jc w:val="both"/>
        <w:textAlignment w:val="auto"/>
        <w:rPr>
          <w:rFonts w:hint="default" w:ascii="Times New Roman" w:hAnsi="Times New Roman" w:eastAsia="黑体" w:cs="Times New Roman"/>
          <w:color w:val="auto"/>
          <w:kern w:val="2"/>
          <w:sz w:val="32"/>
          <w:szCs w:val="32"/>
          <w:lang w:val="en-US" w:eastAsia="zh-CN"/>
        </w:rPr>
      </w:pPr>
    </w:p>
    <w:p>
      <w:pPr>
        <w:pStyle w:val="6"/>
        <w:keepNext w:val="0"/>
        <w:keepLines w:val="0"/>
        <w:pageBreakBefore w:val="0"/>
        <w:widowControl w:val="0"/>
        <w:kinsoku/>
        <w:wordWrap/>
        <w:topLinePunct w:val="0"/>
        <w:bidi w:val="0"/>
        <w:snapToGrid/>
        <w:spacing w:after="0" w:line="594" w:lineRule="exact"/>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2"/>
          <w:sz w:val="32"/>
          <w:szCs w:val="32"/>
          <w:lang w:val="en-US" w:eastAsia="zh-CN"/>
        </w:rPr>
        <w:t>（市场监督管理部门将依法向社会公开行政处罚决定信息）</w:t>
      </w:r>
    </w:p>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left="315" w:leftChars="150" w:right="315" w:rightChars="150"/>
      <w:rPr>
        <w:rStyle w:val="15"/>
        <w:rFonts w:hint="eastAsia" w:ascii="宋体" w:hAnsi="宋体"/>
        <w:sz w:val="28"/>
        <w:szCs w:val="28"/>
      </w:rPr>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1</w:t>
    </w:r>
    <w:r>
      <w:rPr>
        <w:rStyle w:val="15"/>
        <w:rFonts w:ascii="宋体" w:hAnsi="宋体"/>
        <w:sz w:val="28"/>
        <w:szCs w:val="28"/>
      </w:rPr>
      <w:fldChar w:fldCharType="end"/>
    </w:r>
    <w:r>
      <w:rPr>
        <w:rStyle w:val="15"/>
        <w:rFonts w:hint="eastAsia" w:ascii="宋体" w:hAnsi="宋体"/>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EFE08"/>
    <w:rsid w:val="0DF84766"/>
    <w:rsid w:val="11EF36AD"/>
    <w:rsid w:val="13AF1086"/>
    <w:rsid w:val="17F33774"/>
    <w:rsid w:val="19B234C1"/>
    <w:rsid w:val="19FB531F"/>
    <w:rsid w:val="1A4B90B2"/>
    <w:rsid w:val="1FFF23AB"/>
    <w:rsid w:val="2BEF1D62"/>
    <w:rsid w:val="2C6D3623"/>
    <w:rsid w:val="2DDD3BA2"/>
    <w:rsid w:val="2EEEA39A"/>
    <w:rsid w:val="2FBDD19D"/>
    <w:rsid w:val="2FECE000"/>
    <w:rsid w:val="3367735E"/>
    <w:rsid w:val="337F6ABF"/>
    <w:rsid w:val="33BFAC91"/>
    <w:rsid w:val="37794285"/>
    <w:rsid w:val="37AEF9AB"/>
    <w:rsid w:val="37BE7508"/>
    <w:rsid w:val="37FE773D"/>
    <w:rsid w:val="38C47169"/>
    <w:rsid w:val="38F9DEFB"/>
    <w:rsid w:val="3BBE963B"/>
    <w:rsid w:val="3BFE2CA0"/>
    <w:rsid w:val="3C8FD37C"/>
    <w:rsid w:val="3CC8AFF4"/>
    <w:rsid w:val="3D9C6153"/>
    <w:rsid w:val="3DFFF242"/>
    <w:rsid w:val="3E3CEBD9"/>
    <w:rsid w:val="3E6FC02E"/>
    <w:rsid w:val="3E6FC2A7"/>
    <w:rsid w:val="3E9FE5E7"/>
    <w:rsid w:val="3FAD7B7E"/>
    <w:rsid w:val="3FBBEE3A"/>
    <w:rsid w:val="3FCF9D11"/>
    <w:rsid w:val="3FFEC119"/>
    <w:rsid w:val="43A10EC0"/>
    <w:rsid w:val="477FF1EF"/>
    <w:rsid w:val="4930080F"/>
    <w:rsid w:val="4EEC2386"/>
    <w:rsid w:val="4EFDE423"/>
    <w:rsid w:val="53CF77BE"/>
    <w:rsid w:val="53ECABC9"/>
    <w:rsid w:val="57FE0AD8"/>
    <w:rsid w:val="5AEF7684"/>
    <w:rsid w:val="5BA752D7"/>
    <w:rsid w:val="5BBF0DFA"/>
    <w:rsid w:val="5BFD573F"/>
    <w:rsid w:val="5D7F53B5"/>
    <w:rsid w:val="5F74CA2A"/>
    <w:rsid w:val="5FC7F7F3"/>
    <w:rsid w:val="5FEB7C42"/>
    <w:rsid w:val="62DDF1EE"/>
    <w:rsid w:val="66D6FEED"/>
    <w:rsid w:val="67EF4BF5"/>
    <w:rsid w:val="67F776A2"/>
    <w:rsid w:val="67FDC857"/>
    <w:rsid w:val="67FFA0F9"/>
    <w:rsid w:val="6A3DD988"/>
    <w:rsid w:val="6BF7A145"/>
    <w:rsid w:val="6BFEE971"/>
    <w:rsid w:val="6BFF4402"/>
    <w:rsid w:val="6D47C7AE"/>
    <w:rsid w:val="6DBDD20F"/>
    <w:rsid w:val="6DFE78FC"/>
    <w:rsid w:val="6E912A6C"/>
    <w:rsid w:val="6F430F17"/>
    <w:rsid w:val="6F7FD209"/>
    <w:rsid w:val="6F97BD0A"/>
    <w:rsid w:val="6FCDA66B"/>
    <w:rsid w:val="6FDF2E28"/>
    <w:rsid w:val="6FFDD058"/>
    <w:rsid w:val="6FFFBF06"/>
    <w:rsid w:val="737DD35D"/>
    <w:rsid w:val="73FF3E85"/>
    <w:rsid w:val="76AFADF2"/>
    <w:rsid w:val="76FD91AA"/>
    <w:rsid w:val="775A948F"/>
    <w:rsid w:val="775F66B5"/>
    <w:rsid w:val="77EE3309"/>
    <w:rsid w:val="77F75D27"/>
    <w:rsid w:val="77FEDC12"/>
    <w:rsid w:val="7A9765D1"/>
    <w:rsid w:val="7AEF918C"/>
    <w:rsid w:val="7B356C76"/>
    <w:rsid w:val="7BDE9F64"/>
    <w:rsid w:val="7BE498C1"/>
    <w:rsid w:val="7BF938CF"/>
    <w:rsid w:val="7BFF0514"/>
    <w:rsid w:val="7C7BD097"/>
    <w:rsid w:val="7CDE1711"/>
    <w:rsid w:val="7D7EF07B"/>
    <w:rsid w:val="7D7F092B"/>
    <w:rsid w:val="7D7F5511"/>
    <w:rsid w:val="7D7FE814"/>
    <w:rsid w:val="7DBF9E22"/>
    <w:rsid w:val="7DCD5200"/>
    <w:rsid w:val="7DF34F69"/>
    <w:rsid w:val="7DF73D04"/>
    <w:rsid w:val="7DF9188B"/>
    <w:rsid w:val="7DFADC6D"/>
    <w:rsid w:val="7DFF09E6"/>
    <w:rsid w:val="7E7B2DBC"/>
    <w:rsid w:val="7E7EE178"/>
    <w:rsid w:val="7EEDAF9B"/>
    <w:rsid w:val="7EFF4889"/>
    <w:rsid w:val="7F5F427B"/>
    <w:rsid w:val="7F5F4EC4"/>
    <w:rsid w:val="7F64C61B"/>
    <w:rsid w:val="7F774241"/>
    <w:rsid w:val="7F778327"/>
    <w:rsid w:val="7F970612"/>
    <w:rsid w:val="7F9FCB59"/>
    <w:rsid w:val="7FBB0B29"/>
    <w:rsid w:val="7FBF37D2"/>
    <w:rsid w:val="7FD7BECB"/>
    <w:rsid w:val="7FE589C8"/>
    <w:rsid w:val="7FEBADA3"/>
    <w:rsid w:val="7FEE308E"/>
    <w:rsid w:val="7FF1238B"/>
    <w:rsid w:val="7FFAAAFF"/>
    <w:rsid w:val="7FFB0E75"/>
    <w:rsid w:val="7FFEB8DE"/>
    <w:rsid w:val="7FFF3331"/>
    <w:rsid w:val="7FFFADF8"/>
    <w:rsid w:val="83B6E6F6"/>
    <w:rsid w:val="889B8339"/>
    <w:rsid w:val="8DB77C9D"/>
    <w:rsid w:val="8DD92DE4"/>
    <w:rsid w:val="9BFB5660"/>
    <w:rsid w:val="9BFD9914"/>
    <w:rsid w:val="9F71977D"/>
    <w:rsid w:val="9FFB8718"/>
    <w:rsid w:val="A79701D9"/>
    <w:rsid w:val="ADAEAB02"/>
    <w:rsid w:val="ADE714E2"/>
    <w:rsid w:val="AEF76066"/>
    <w:rsid w:val="AFCF0792"/>
    <w:rsid w:val="B2BEAC6F"/>
    <w:rsid w:val="B2DF1272"/>
    <w:rsid w:val="B3FB5074"/>
    <w:rsid w:val="B7BB19F9"/>
    <w:rsid w:val="B7C77C72"/>
    <w:rsid w:val="BBFBA0F0"/>
    <w:rsid w:val="BEF2ED60"/>
    <w:rsid w:val="BF7A37D2"/>
    <w:rsid w:val="BF9F6E97"/>
    <w:rsid w:val="BF9FB57A"/>
    <w:rsid w:val="BFEAA90E"/>
    <w:rsid w:val="BFF53725"/>
    <w:rsid w:val="BFFA8AA6"/>
    <w:rsid w:val="C5EF0E35"/>
    <w:rsid w:val="C5F656C1"/>
    <w:rsid w:val="CB6BE00C"/>
    <w:rsid w:val="CB7F3279"/>
    <w:rsid w:val="CBFDA9E4"/>
    <w:rsid w:val="CDFB017A"/>
    <w:rsid w:val="CEFFD071"/>
    <w:rsid w:val="CFD7844E"/>
    <w:rsid w:val="CFFEFE08"/>
    <w:rsid w:val="D79F79DD"/>
    <w:rsid w:val="D9FB546E"/>
    <w:rsid w:val="DA7B63E8"/>
    <w:rsid w:val="DD6E5EF2"/>
    <w:rsid w:val="DD7D4CB6"/>
    <w:rsid w:val="DE7FC25C"/>
    <w:rsid w:val="DF8FAE16"/>
    <w:rsid w:val="DFBFE9DA"/>
    <w:rsid w:val="DFF7F0FE"/>
    <w:rsid w:val="DFFBFA13"/>
    <w:rsid w:val="E71C0858"/>
    <w:rsid w:val="E7EE94A9"/>
    <w:rsid w:val="E9FFA89D"/>
    <w:rsid w:val="EB6570DC"/>
    <w:rsid w:val="EBEF757C"/>
    <w:rsid w:val="ECF5A9EC"/>
    <w:rsid w:val="EDFB9291"/>
    <w:rsid w:val="EE752A16"/>
    <w:rsid w:val="EE7A3633"/>
    <w:rsid w:val="EEECDE48"/>
    <w:rsid w:val="EF6F2F93"/>
    <w:rsid w:val="EF9E3E68"/>
    <w:rsid w:val="EF9F2B76"/>
    <w:rsid w:val="EFED9BA6"/>
    <w:rsid w:val="EFF4B795"/>
    <w:rsid w:val="EFFD3D3D"/>
    <w:rsid w:val="EFFF6DC1"/>
    <w:rsid w:val="F15C2990"/>
    <w:rsid w:val="F1CE07CB"/>
    <w:rsid w:val="F3FCB998"/>
    <w:rsid w:val="F463B6B9"/>
    <w:rsid w:val="F5C7F15D"/>
    <w:rsid w:val="F76FA4FA"/>
    <w:rsid w:val="F7DB7914"/>
    <w:rsid w:val="F7E3C930"/>
    <w:rsid w:val="F7F4D8C6"/>
    <w:rsid w:val="F7FF4BED"/>
    <w:rsid w:val="F91B25E9"/>
    <w:rsid w:val="F9FD5C37"/>
    <w:rsid w:val="FA7A8AD4"/>
    <w:rsid w:val="FAEADE66"/>
    <w:rsid w:val="FAFF5F9C"/>
    <w:rsid w:val="FB4B0D3F"/>
    <w:rsid w:val="FB9FC4CE"/>
    <w:rsid w:val="FBD8E4E8"/>
    <w:rsid w:val="FC698DB5"/>
    <w:rsid w:val="FCAF1414"/>
    <w:rsid w:val="FD76B032"/>
    <w:rsid w:val="FD87A559"/>
    <w:rsid w:val="FDDCCE9F"/>
    <w:rsid w:val="FDFBE34E"/>
    <w:rsid w:val="FE1BF700"/>
    <w:rsid w:val="FEBFEFD2"/>
    <w:rsid w:val="FEEFBFA9"/>
    <w:rsid w:val="FEFE7FEA"/>
    <w:rsid w:val="FF1D596D"/>
    <w:rsid w:val="FF2EF58C"/>
    <w:rsid w:val="FF4DD843"/>
    <w:rsid w:val="FF7E09BB"/>
    <w:rsid w:val="FF7F5837"/>
    <w:rsid w:val="FF7F8832"/>
    <w:rsid w:val="FFB90940"/>
    <w:rsid w:val="FFCD57E3"/>
    <w:rsid w:val="FFD77F22"/>
    <w:rsid w:val="FFEE12AF"/>
    <w:rsid w:val="FFF7DFD4"/>
    <w:rsid w:val="FFF9ABB3"/>
    <w:rsid w:val="FFFE4AB4"/>
    <w:rsid w:val="FFFF0282"/>
    <w:rsid w:val="FFFF0E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after="156" w:afterLines="50" w:line="640" w:lineRule="exact"/>
      <w:jc w:val="center"/>
      <w:outlineLvl w:val="0"/>
    </w:pPr>
    <w:rPr>
      <w:rFonts w:ascii="方正小标宋简体" w:hAnsi="Times New Roman" w:eastAsia="方正小标宋简体"/>
      <w:kern w:val="0"/>
      <w:sz w:val="44"/>
      <w:szCs w:val="36"/>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3">
    <w:name w:val="名称2"/>
    <w:basedOn w:val="4"/>
    <w:qFormat/>
    <w:uiPriority w:val="0"/>
    <w:pPr>
      <w:spacing w:after="312" w:afterLines="100"/>
    </w:pPr>
    <w:rPr>
      <w:b w:val="0"/>
      <w:sz w:val="20"/>
    </w:rPr>
  </w:style>
  <w:style w:type="paragraph" w:customStyle="1" w:styleId="4">
    <w:name w:val="名称"/>
    <w:basedOn w:val="1"/>
    <w:qFormat/>
    <w:uiPriority w:val="0"/>
    <w:pPr>
      <w:spacing w:line="240" w:lineRule="auto"/>
      <w:ind w:firstLine="200" w:firstLineChars="200"/>
      <w:jc w:val="center"/>
    </w:pPr>
    <w:rPr>
      <w:rFonts w:ascii="宋体" w:hAnsi="宋体"/>
      <w:b/>
      <w:color w:val="000000"/>
      <w:kern w:val="0"/>
      <w:sz w:val="44"/>
      <w:szCs w:val="20"/>
    </w:rPr>
  </w:style>
  <w:style w:type="paragraph" w:styleId="5">
    <w:name w:val="Normal Indent"/>
    <w:basedOn w:val="1"/>
    <w:qFormat/>
    <w:uiPriority w:val="0"/>
    <w:pPr>
      <w:spacing w:line="360" w:lineRule="exact"/>
      <w:ind w:firstLine="420" w:firstLineChars="200"/>
    </w:pPr>
    <w:rPr>
      <w:szCs w:val="20"/>
    </w:rPr>
  </w:style>
  <w:style w:type="paragraph" w:styleId="6">
    <w:name w:val="Body Text"/>
    <w:basedOn w:val="1"/>
    <w:next w:val="7"/>
    <w:unhideWhenUsed/>
    <w:qFormat/>
    <w:uiPriority w:val="0"/>
    <w:pPr>
      <w:spacing w:after="120"/>
    </w:pPr>
    <w:rPr>
      <w:rFonts w:ascii="Calibri" w:hAnsi="Calibri" w:eastAsia="宋体" w:cs="Times New Roman"/>
      <w:szCs w:val="22"/>
    </w:rPr>
  </w:style>
  <w:style w:type="paragraph" w:styleId="7">
    <w:name w:val="Title"/>
    <w:basedOn w:val="8"/>
    <w:next w:val="1"/>
    <w:qFormat/>
    <w:uiPriority w:val="0"/>
    <w:pPr>
      <w:spacing w:before="50" w:beforeLines="50" w:after="50" w:afterLines="50" w:line="594" w:lineRule="exact"/>
      <w:ind w:firstLine="0" w:firstLineChars="0"/>
      <w:jc w:val="center"/>
      <w:outlineLvl w:val="0"/>
    </w:pPr>
    <w:rPr>
      <w:rFonts w:ascii="Calibri Light" w:hAnsi="Calibri Light" w:eastAsia="黑体" w:cs="Times New Roman"/>
      <w:bCs/>
      <w:szCs w:val="32"/>
    </w:rPr>
  </w:style>
  <w:style w:type="paragraph" w:styleId="8">
    <w:name w:val="Plain Text"/>
    <w:basedOn w:val="1"/>
    <w:unhideWhenUsed/>
    <w:qFormat/>
    <w:uiPriority w:val="0"/>
    <w:rPr>
      <w:rFonts w:ascii="宋体" w:hAnsi="Courier New" w:eastAsia="宋体"/>
      <w:szCs w:val="20"/>
    </w:r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w:basedOn w:val="6"/>
    <w:qFormat/>
    <w:uiPriority w:val="0"/>
    <w:pPr>
      <w:ind w:firstLine="420" w:firstLineChars="100"/>
    </w:p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 w:type="paragraph" w:customStyle="1" w:styleId="18">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2023-07-08T02:24:00Z</dcterms:created>
  <dc:creator>oa</dc:creator>
  <cp:lastModifiedBy>oa</cp:lastModifiedBy>
  <cp:lastPrinted>2026-04-11T08:05:00Z</cp:lastPrinted>
  <dcterms:modified xsi:type="dcterms:W3CDTF">2026-05-27T08:35:01Z</dcterms:modified>
  <dc:title>国家市场监督管理总局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ACAD4BAB142DFCF9353C166AFEA71CC7</vt:lpwstr>
  </property>
</Properties>
</file>