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bookmarkStart w:id="1" w:name="_GoBack"/>
      <w:bookmarkEnd w:id="1"/>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widowControl/>
        <w:numPr>
          <w:ilvl w:val="0"/>
          <w:numId w:val="0"/>
        </w:numPr>
        <w:spacing w:line="594" w:lineRule="exact"/>
        <w:ind w:firstLine="592"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z w:val="32"/>
          <w:szCs w:val="32"/>
          <w:highlight w:val="none"/>
          <w:lang w:val="en-US" w:eastAsia="zh-CN"/>
        </w:rPr>
        <w:t>铝的残留量（干样品，以Al计）</w:t>
      </w:r>
    </w:p>
    <w:p>
      <w:pPr>
        <w:spacing w:line="594" w:lineRule="exact"/>
        <w:ind w:firstLine="640" w:firstLineChars="200"/>
        <w:textAlignment w:val="auto"/>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pPr>
      <w:r>
        <w:rPr>
          <w:rFonts w:hint="default" w:ascii="Times New Roman" w:hAnsi="Times New Roman" w:eastAsia="仿宋_GB2312" w:cs="Times New Roman"/>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 2760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4）中规定，</w:t>
      </w:r>
      <w:r>
        <w:rPr>
          <w:rFonts w:hint="eastAsia" w:ascii="Times New Roman" w:hAnsi="Times New Roman" w:eastAsia="仿宋_GB2312" w:cs="Times New Roman"/>
          <w:color w:val="auto"/>
          <w:sz w:val="32"/>
          <w:szCs w:val="32"/>
          <w:lang w:val="en-US" w:eastAsia="zh-CN"/>
        </w:rPr>
        <w:t>粉丝粉条</w:t>
      </w:r>
      <w:r>
        <w:rPr>
          <w:rFonts w:hint="default" w:ascii="Times New Roman" w:hAnsi="Times New Roman" w:eastAsia="仿宋_GB2312" w:cs="Times New Roman"/>
          <w:color w:val="auto"/>
          <w:sz w:val="32"/>
          <w:szCs w:val="32"/>
          <w:lang w:val="en-US" w:eastAsia="zh-CN"/>
        </w:rPr>
        <w:t>中铝的残留量</w:t>
      </w:r>
      <w:r>
        <w:rPr>
          <w:rFonts w:hint="eastAsia" w:ascii="Times New Roman" w:hAnsi="Times New Roman" w:eastAsia="仿宋_GB2312" w:cs="Times New Roman"/>
          <w:sz w:val="32"/>
          <w:szCs w:val="32"/>
          <w:lang w:val="en-US" w:eastAsia="zh-CN"/>
        </w:rPr>
        <w:t>（干样品，以Al计）</w:t>
      </w:r>
      <w:r>
        <w:rPr>
          <w:rFonts w:hint="default" w:ascii="Times New Roman" w:hAnsi="Times New Roman" w:eastAsia="仿宋_GB2312" w:cs="Times New Roman"/>
          <w:color w:val="auto"/>
          <w:sz w:val="32"/>
          <w:szCs w:val="32"/>
          <w:lang w:val="en-US" w:eastAsia="zh-CN"/>
        </w:rPr>
        <w:t>最大限量值为</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00mg/kg</w:t>
      </w:r>
      <w:r>
        <w:rPr>
          <w:rFonts w:hint="eastAsia" w:ascii="Times New Roman" w:hAnsi="Times New Roman" w:eastAsia="仿宋_GB2312" w:cs="Times New Roman"/>
          <w:kern w:val="2"/>
          <w:sz w:val="32"/>
          <w:szCs w:val="32"/>
          <w:lang w:val="en-US" w:eastAsia="zh-CN" w:bidi="ar-SA"/>
        </w:rPr>
        <w:t>。该批次产品中</w:t>
      </w:r>
      <w:r>
        <w:rPr>
          <w:rFonts w:hint="eastAsia" w:ascii="Times New Roman" w:hAnsi="Times New Roman" w:eastAsia="仿宋_GB2312" w:cs="Times New Roman"/>
          <w:color w:val="auto"/>
          <w:sz w:val="32"/>
          <w:szCs w:val="32"/>
          <w:lang w:val="en-US" w:eastAsia="zh-CN"/>
        </w:rPr>
        <w:t>粉丝粉条</w:t>
      </w:r>
      <w:r>
        <w:rPr>
          <w:rFonts w:hint="eastAsia" w:ascii="Times New Roman" w:hAnsi="Times New Roman" w:eastAsia="仿宋_GB2312" w:cs="Times New Roman"/>
          <w:sz w:val="32"/>
          <w:szCs w:val="32"/>
          <w:lang w:val="en-US" w:eastAsia="zh-CN"/>
        </w:rPr>
        <w:t>中铝的残留量（干样品，以Al计）符合食品安全国家标准的规定，但不符合产品标签标示要求“绿色食品”。粉丝粉条中</w:t>
      </w:r>
      <w:r>
        <w:rPr>
          <w:rFonts w:hint="default" w:ascii="Times New Roman" w:hAnsi="Times New Roman" w:eastAsia="仿宋_GB2312" w:cs="Times New Roman"/>
          <w:color w:val="auto"/>
          <w:sz w:val="32"/>
          <w:szCs w:val="32"/>
          <w:lang w:val="en-US" w:eastAsia="zh-CN"/>
        </w:rPr>
        <w:t>铝的残留量</w:t>
      </w:r>
      <w:r>
        <w:rPr>
          <w:rFonts w:hint="eastAsia" w:ascii="Times New Roman" w:hAnsi="Times New Roman" w:eastAsia="仿宋_GB2312" w:cs="Times New Roman"/>
          <w:sz w:val="32"/>
          <w:szCs w:val="32"/>
          <w:lang w:val="en-US" w:eastAsia="zh-CN"/>
        </w:rPr>
        <w:t>（干样品，以Al计）超标的原因，可能是食品生产经营者在生产加工过程中未控制好含铝食品添加剂的使用量。</w:t>
      </w:r>
    </w:p>
    <w:p>
      <w:pPr>
        <w:spacing w:line="594" w:lineRule="exact"/>
        <w:ind w:firstLine="640" w:firstLineChars="200"/>
        <w:rPr>
          <w:rFonts w:ascii="Times New Roman" w:hAnsi="Times New Roman" w:eastAsia="黑体"/>
          <w:sz w:val="32"/>
          <w:szCs w:val="32"/>
        </w:rPr>
      </w:pPr>
      <w:r>
        <w:rPr>
          <w:rFonts w:hint="eastAsia" w:ascii="Times New Roman" w:hAnsi="Times New Roman" w:eastAsia="黑体" w:cs="Times New Roman"/>
          <w:spacing w:val="0"/>
          <w:sz w:val="32"/>
          <w:szCs w:val="32"/>
          <w:lang w:val="en-US" w:eastAsia="zh-CN"/>
        </w:rPr>
        <w:t>二、</w:t>
      </w:r>
      <w:r>
        <w:rPr>
          <w:rFonts w:ascii="Times New Roman" w:hAnsi="Times New Roman" w:eastAsia="黑体"/>
          <w:sz w:val="32"/>
          <w:szCs w:val="32"/>
        </w:rPr>
        <w:t>苋菜红</w:t>
      </w:r>
    </w:p>
    <w:p>
      <w:pPr>
        <w:pStyle w:val="13"/>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rPr>
          <w:rFonts w:hint="default" w:ascii="Times New Roman" w:hAnsi="Times New Roman" w:eastAsia="黑体" w:cs="Times New Roman"/>
          <w:color w:val="auto"/>
          <w:spacing w:val="-12"/>
          <w:sz w:val="32"/>
          <w:szCs w:val="32"/>
          <w:highlight w:val="none"/>
          <w:lang w:val="en-US" w:eastAsia="zh-CN"/>
        </w:rPr>
      </w:pPr>
      <w:r>
        <w:rPr>
          <w:rFonts w:hint="eastAsia" w:ascii="Times New Roman" w:hAnsi="Times New Roman" w:eastAsia="仿宋_GB2312" w:cs="Times New Roman"/>
          <w:color w:val="auto"/>
          <w:sz w:val="32"/>
          <w:szCs w:val="32"/>
          <w:highlight w:val="none"/>
        </w:rPr>
        <w:t>苋菜红又名食用红色9号，</w:t>
      </w:r>
      <w:r>
        <w:rPr>
          <w:rFonts w:hint="eastAsia"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rPr>
        <w:t>水溶性偶氮类化合物，是常见的人工合成着色剂，在</w:t>
      </w:r>
      <w:r>
        <w:rPr>
          <w:rFonts w:hint="eastAsia" w:eastAsia="仿宋_GB2312" w:cs="Times New Roman"/>
          <w:color w:val="auto"/>
          <w:sz w:val="32"/>
          <w:szCs w:val="32"/>
          <w:highlight w:val="none"/>
          <w:lang w:val="en-US" w:eastAsia="zh-CN"/>
        </w:rPr>
        <w:t>现代</w:t>
      </w:r>
      <w:r>
        <w:rPr>
          <w:rFonts w:hint="eastAsia" w:ascii="Times New Roman" w:hAnsi="Times New Roman" w:eastAsia="仿宋_GB2312" w:cs="Times New Roman"/>
          <w:color w:val="auto"/>
          <w:sz w:val="32"/>
          <w:szCs w:val="32"/>
          <w:highlight w:val="none"/>
        </w:rPr>
        <w:t>食品</w:t>
      </w:r>
      <w:r>
        <w:rPr>
          <w:rFonts w:hint="eastAsia" w:eastAsia="仿宋_GB2312" w:cs="Times New Roman"/>
          <w:color w:val="auto"/>
          <w:sz w:val="32"/>
          <w:szCs w:val="32"/>
          <w:highlight w:val="none"/>
          <w:lang w:val="en-US" w:eastAsia="zh-CN"/>
        </w:rPr>
        <w:t>工业</w:t>
      </w:r>
      <w:r>
        <w:rPr>
          <w:rFonts w:hint="eastAsia" w:ascii="Times New Roman" w:hAnsi="Times New Roman" w:eastAsia="仿宋_GB2312" w:cs="Times New Roman"/>
          <w:color w:val="auto"/>
          <w:sz w:val="32"/>
          <w:szCs w:val="32"/>
          <w:highlight w:val="none"/>
        </w:rPr>
        <w:t>中应用广泛。长期</w:t>
      </w:r>
      <w:r>
        <w:rPr>
          <w:rFonts w:hint="eastAsia" w:eastAsia="仿宋_GB2312" w:cs="Times New Roman"/>
          <w:color w:val="auto"/>
          <w:sz w:val="32"/>
          <w:szCs w:val="32"/>
          <w:highlight w:val="none"/>
          <w:lang w:val="en-US" w:eastAsia="zh-CN"/>
        </w:rPr>
        <w:t>食用</w:t>
      </w:r>
      <w:r>
        <w:rPr>
          <w:rFonts w:hint="eastAsia" w:ascii="Times New Roman" w:hAnsi="Times New Roman" w:eastAsia="仿宋_GB2312" w:cs="Times New Roman"/>
          <w:color w:val="auto"/>
          <w:sz w:val="32"/>
          <w:szCs w:val="32"/>
          <w:highlight w:val="none"/>
        </w:rPr>
        <w:t>苋菜红超标的食品，</w:t>
      </w:r>
      <w:r>
        <w:rPr>
          <w:rFonts w:hint="eastAsia" w:ascii="Times New Roman" w:hAnsi="Times New Roman" w:eastAsia="仿宋_GB2312" w:cs="Times New Roman"/>
          <w:color w:val="auto"/>
          <w:sz w:val="32"/>
          <w:szCs w:val="32"/>
          <w:highlight w:val="none"/>
          <w:lang w:eastAsia="zh-CN"/>
        </w:rPr>
        <w:t>存在一定健康风险</w:t>
      </w:r>
      <w:r>
        <w:rPr>
          <w:rFonts w:hint="eastAsia" w:ascii="Times New Roman" w:hAnsi="Times New Roman" w:eastAsia="仿宋_GB2312" w:cs="Times New Roman"/>
          <w:color w:val="auto"/>
          <w:sz w:val="32"/>
          <w:szCs w:val="32"/>
          <w:highlight w:val="none"/>
        </w:rPr>
        <w:t>。</w:t>
      </w:r>
      <w:r>
        <w:rPr>
          <w:rFonts w:hint="eastAsia" w:ascii="Times New Roman" w:cs="Times New Roman"/>
          <w:color w:val="auto"/>
          <w:sz w:val="32"/>
          <w:szCs w:val="32"/>
          <w:highlight w:val="none"/>
          <w:lang w:eastAsia="zh-CN"/>
        </w:rPr>
        <w:t>《</w:t>
      </w:r>
      <w:r>
        <w:rPr>
          <w:rFonts w:hint="eastAsia" w:ascii="Times New Roman" w:hAnsi="Times New Roman" w:eastAsia="仿宋_GB2312" w:cs="Times New Roman"/>
          <w:sz w:val="32"/>
          <w:szCs w:val="32"/>
          <w:lang w:val="en-US" w:eastAsia="zh-CN"/>
        </w:rPr>
        <w:t>食品安全国家标准 食品添加剂使用标准》（GB 2760—2024）</w:t>
      </w:r>
      <w:r>
        <w:rPr>
          <w:rFonts w:ascii="Times New Roman" w:hAnsi="Times New Roman" w:eastAsia="仿宋_GB2312" w:cs="Times New Roman"/>
          <w:bCs/>
          <w:sz w:val="32"/>
          <w:szCs w:val="32"/>
        </w:rPr>
        <w:t>中规定，</w:t>
      </w:r>
      <w:r>
        <w:rPr>
          <w:rFonts w:hint="default" w:ascii="Times New Roman" w:hAnsi="Times New Roman" w:eastAsia="仿宋_GB2312" w:cs="Times New Roman"/>
          <w:color w:val="auto"/>
          <w:sz w:val="32"/>
          <w:szCs w:val="32"/>
          <w:lang w:val="en-US" w:eastAsia="zh-CN"/>
        </w:rPr>
        <w:t>香辛料及粉</w:t>
      </w:r>
      <w:r>
        <w:rPr>
          <w:rFonts w:hint="eastAsia" w:ascii="Times New Roman" w:cs="Times New Roman"/>
          <w:color w:val="auto"/>
          <w:sz w:val="32"/>
          <w:szCs w:val="32"/>
          <w:lang w:val="en-US" w:eastAsia="zh-CN"/>
        </w:rPr>
        <w:t>、</w:t>
      </w:r>
      <w:r>
        <w:rPr>
          <w:rFonts w:hint="eastAsia" w:ascii="Times New Roman" w:hAnsi="Times New Roman" w:eastAsia="仿宋_GB2312" w:cs="Times New Roman"/>
          <w:sz w:val="32"/>
          <w:szCs w:val="32"/>
          <w:shd w:val="clear" w:fill="FFFFFF"/>
          <w:lang w:val="en-US" w:eastAsia="zh-CN"/>
        </w:rPr>
        <w:t>粉丝粉条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eastAsia" w:ascii="Times New Roman" w:cs="Times New Roman"/>
          <w:color w:val="000000" w:themeColor="text1"/>
          <w:sz w:val="32"/>
          <w:szCs w:val="32"/>
          <w:highlight w:val="none"/>
          <w:lang w:val="en-US" w:eastAsia="zh-CN"/>
          <w14:textFill>
            <w14:solidFill>
              <w14:schemeClr w14:val="tx1"/>
            </w14:solidFill>
          </w14:textFill>
        </w:rPr>
        <w:t>不得使用</w:t>
      </w:r>
      <w:r>
        <w:rPr>
          <w:rFonts w:ascii="Times New Roman" w:hAnsi="Times New Roman" w:eastAsia="仿宋_GB2312" w:cs="Times New Roman"/>
          <w:bCs/>
          <w:sz w:val="32"/>
          <w:szCs w:val="32"/>
        </w:rPr>
        <w:t>苋菜红</w:t>
      </w:r>
      <w:r>
        <w:rPr>
          <w:rFonts w:hint="eastAsia" w:ascii="Times New Roman" w:cs="Times New Roman"/>
          <w:bCs/>
          <w:sz w:val="32"/>
          <w:szCs w:val="32"/>
          <w:lang w:eastAsia="zh-CN"/>
        </w:rPr>
        <w:t>，</w:t>
      </w:r>
      <w:r>
        <w:rPr>
          <w:rFonts w:hint="default" w:ascii="Times New Roman" w:hAnsi="Times New Roman" w:eastAsia="仿宋_GB2312" w:cs="Times New Roman"/>
          <w:color w:val="000000"/>
          <w:kern w:val="0"/>
          <w:sz w:val="32"/>
          <w:szCs w:val="32"/>
          <w:highlight w:val="none"/>
          <w:lang w:val="en-US" w:eastAsia="zh-CN"/>
        </w:rPr>
        <w:t>糖果中</w:t>
      </w:r>
      <w:r>
        <w:rPr>
          <w:rFonts w:hint="default" w:ascii="Times New Roman" w:hAnsi="Times New Roman" w:eastAsia="仿宋_GB2312" w:cs="Times New Roman"/>
          <w:color w:val="000000"/>
          <w:kern w:val="0"/>
          <w:sz w:val="32"/>
          <w:szCs w:val="32"/>
          <w:highlight w:val="none"/>
        </w:rPr>
        <w:t>苋菜红</w:t>
      </w:r>
      <w:r>
        <w:rPr>
          <w:rFonts w:hint="default" w:ascii="Times New Roman" w:hAnsi="Times New Roman" w:eastAsia="仿宋_GB2312" w:cs="Times New Roman"/>
          <w:kern w:val="2"/>
          <w:sz w:val="32"/>
          <w:szCs w:val="32"/>
          <w:lang w:val="en-US" w:eastAsia="zh-CN" w:bidi="ar-SA"/>
        </w:rPr>
        <w:t>最大使用量为0.05g/kg</w:t>
      </w:r>
      <w:r>
        <w:rPr>
          <w:rFonts w:ascii="Times New Roman" w:hAnsi="Times New Roman" w:eastAsia="仿宋_GB2312" w:cs="Times New Roman"/>
          <w:bCs/>
          <w:sz w:val="32"/>
          <w:szCs w:val="32"/>
        </w:rPr>
        <w:t>。</w:t>
      </w:r>
      <w:r>
        <w:rPr>
          <w:rFonts w:hint="default" w:ascii="Times New Roman" w:hAnsi="Times New Roman" w:eastAsia="仿宋_GB2312" w:cs="Times New Roman"/>
          <w:color w:val="auto"/>
          <w:sz w:val="32"/>
          <w:szCs w:val="32"/>
          <w:lang w:val="en-US" w:eastAsia="zh-CN"/>
        </w:rPr>
        <w:t>香辛料及粉</w:t>
      </w:r>
      <w:r>
        <w:rPr>
          <w:rFonts w:hint="eastAsia" w:ascii="Times New Roman" w:cs="Times New Roman"/>
          <w:color w:val="auto"/>
          <w:sz w:val="32"/>
          <w:szCs w:val="32"/>
          <w:lang w:val="en-US" w:eastAsia="zh-CN"/>
        </w:rPr>
        <w:t>、粉丝粉条、糖果</w:t>
      </w:r>
      <w:r>
        <w:rPr>
          <w:rFonts w:hint="default" w:ascii="Times New Roman" w:hAnsi="Times New Roman" w:eastAsia="仿宋_GB2312" w:cs="Times New Roman"/>
          <w:kern w:val="2"/>
          <w:sz w:val="32"/>
          <w:szCs w:val="32"/>
          <w:lang w:val="en-US" w:eastAsia="zh-CN" w:bidi="ar-SA"/>
        </w:rPr>
        <w:t>中</w:t>
      </w:r>
      <w:r>
        <w:rPr>
          <w:rFonts w:hint="eastAsia" w:ascii="Times New Roman" w:cs="Times New Roman"/>
          <w:kern w:val="2"/>
          <w:sz w:val="32"/>
          <w:szCs w:val="32"/>
          <w:lang w:val="en-US" w:eastAsia="zh-CN" w:bidi="ar-SA"/>
        </w:rPr>
        <w:t>苋菜红</w:t>
      </w:r>
      <w:r>
        <w:rPr>
          <w:rFonts w:hint="eastAsia" w:ascii="Times New Roman" w:hAnsi="Times New Roman" w:eastAsia="仿宋_GB2312" w:cs="Times New Roman"/>
          <w:kern w:val="2"/>
          <w:sz w:val="32"/>
          <w:szCs w:val="32"/>
          <w:lang w:val="en-US" w:eastAsia="zh-CN" w:bidi="ar-SA"/>
        </w:rPr>
        <w:t>检验值超标的</w:t>
      </w:r>
      <w:r>
        <w:rPr>
          <w:rFonts w:hint="default" w:ascii="Times New Roman" w:hAnsi="Times New Roman" w:eastAsia="仿宋_GB2312" w:cs="Times New Roman"/>
          <w:kern w:val="2"/>
          <w:sz w:val="32"/>
          <w:szCs w:val="32"/>
          <w:lang w:val="en-US" w:eastAsia="zh-CN" w:bidi="ar-SA"/>
        </w:rPr>
        <w:t>原因</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可能是生产企业为改善产品色泽</w:t>
      </w:r>
      <w:r>
        <w:rPr>
          <w:rFonts w:hint="eastAsia" w:ascii="Times New Roman" w:hAnsi="Times New Roman" w:eastAsia="仿宋_GB2312" w:cs="Times New Roman"/>
          <w:kern w:val="2"/>
          <w:sz w:val="32"/>
          <w:szCs w:val="32"/>
          <w:lang w:val="en-US" w:eastAsia="zh-CN" w:bidi="ar-SA"/>
        </w:rPr>
        <w:t>而超范围</w:t>
      </w:r>
      <w:r>
        <w:rPr>
          <w:rFonts w:hint="eastAsia" w:ascii="Times New Roman" w:cs="Times New Roman"/>
          <w:kern w:val="2"/>
          <w:sz w:val="32"/>
          <w:szCs w:val="32"/>
          <w:lang w:val="en-US" w:eastAsia="zh-CN" w:bidi="ar-SA"/>
        </w:rPr>
        <w:t>超限量</w:t>
      </w:r>
      <w:r>
        <w:rPr>
          <w:rFonts w:ascii="Times New Roman" w:hAnsi="Times New Roman" w:eastAsia="仿宋_GB2312" w:cs="Times New Roman"/>
          <w:kern w:val="2"/>
          <w:sz w:val="32"/>
          <w:szCs w:val="32"/>
          <w:lang w:val="en-US" w:eastAsia="zh-CN" w:bidi="ar-SA"/>
        </w:rPr>
        <w:t>使用</w:t>
      </w:r>
      <w:r>
        <w:rPr>
          <w:rFonts w:hint="eastAsia" w:cs="Times New Roman"/>
          <w:bCs/>
          <w:sz w:val="32"/>
          <w:szCs w:val="32"/>
          <w:lang w:eastAsia="zh-CN"/>
        </w:rPr>
        <w:t>。</w:t>
      </w:r>
    </w:p>
    <w:p>
      <w:pPr>
        <w:spacing w:line="594" w:lineRule="exact"/>
        <w:ind w:firstLine="592" w:firstLineChars="200"/>
        <w:rPr>
          <w:rFonts w:hint="eastAsia" w:ascii="Times New Roman" w:hAnsi="Times New Roman" w:eastAsia="黑体" w:cs="Times New Roman"/>
          <w:spacing w:val="-12"/>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12"/>
          <w:sz w:val="32"/>
          <w:szCs w:val="32"/>
          <w:highlight w:val="none"/>
          <w:lang w:val="en-US" w:eastAsia="zh-CN"/>
        </w:rPr>
        <w:t>柠檬黄</w:t>
      </w:r>
    </w:p>
    <w:p>
      <w:pPr>
        <w:pStyle w:val="13"/>
        <w:autoSpaceDE w:val="0"/>
        <w:autoSpaceDN w:val="0"/>
        <w:adjustRightInd w:val="0"/>
        <w:snapToGrid/>
        <w:spacing w:line="594" w:lineRule="exact"/>
        <w:ind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柠檬黄又名食用黄色4号，水溶性偶氮化合物</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是常见的人工合成着色剂，在食品生产中应用广泛。</w:t>
      </w:r>
      <w:r>
        <w:rPr>
          <w:rFonts w:hint="default" w:ascii="Times New Roman" w:hAnsi="Times New Roman" w:eastAsia="仿宋_GB2312" w:cs="Times New Roman"/>
          <w:kern w:val="2"/>
          <w:sz w:val="32"/>
          <w:szCs w:val="32"/>
          <w:lang w:val="en-US" w:eastAsia="zh-CN" w:bidi="ar-SA"/>
        </w:rPr>
        <w:t>柠檬黄基本无毒，不在体内贮积，绝大部分以原形排出体外</w:t>
      </w:r>
      <w:r>
        <w:rPr>
          <w:rFonts w:hint="eastAsia" w:ascii="Times New Roman" w:hAnsi="Times New Roman" w:eastAsia="仿宋_GB2312" w:cs="Times New Roman"/>
          <w:kern w:val="2"/>
          <w:sz w:val="32"/>
          <w:szCs w:val="32"/>
          <w:lang w:val="en-US" w:eastAsia="zh-CN" w:bidi="ar-SA"/>
        </w:rPr>
        <w:t>，但长期食用</w:t>
      </w:r>
      <w:r>
        <w:rPr>
          <w:rFonts w:hint="default" w:ascii="Times New Roman" w:hAnsi="Times New Roman" w:eastAsia="仿宋_GB2312" w:cs="Times New Roman"/>
          <w:kern w:val="2"/>
          <w:sz w:val="32"/>
          <w:szCs w:val="32"/>
          <w:lang w:val="en-US" w:eastAsia="zh-CN" w:bidi="ar-SA"/>
        </w:rPr>
        <w:t>柠檬黄</w:t>
      </w:r>
      <w:r>
        <w:rPr>
          <w:rFonts w:hint="eastAsia" w:ascii="Times New Roman" w:hAnsi="Times New Roman" w:eastAsia="仿宋_GB2312" w:cs="Times New Roman"/>
          <w:kern w:val="2"/>
          <w:sz w:val="32"/>
          <w:szCs w:val="32"/>
          <w:lang w:val="en-US" w:eastAsia="zh-CN" w:bidi="ar-SA"/>
        </w:rPr>
        <w:t>超标的食品，可能危害人体健康</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kern w:val="2"/>
          <w:sz w:val="32"/>
          <w:szCs w:val="32"/>
          <w:lang w:val="en-US" w:eastAsia="zh-CN" w:bidi="ar-SA"/>
        </w:rPr>
        <w:t>中规定，</w:t>
      </w:r>
      <w:r>
        <w:rPr>
          <w:rFonts w:hint="default" w:ascii="Times New Roman" w:hAnsi="Times New Roman" w:eastAsia="仿宋_GB2312" w:cs="Times New Roman"/>
          <w:color w:val="auto"/>
          <w:sz w:val="32"/>
          <w:szCs w:val="32"/>
          <w:lang w:val="en-US" w:eastAsia="zh-CN"/>
        </w:rPr>
        <w:t>香辛料及粉</w:t>
      </w:r>
      <w:r>
        <w:rPr>
          <w:rFonts w:hint="eastAsia" w:ascii="Times New Roman" w:cs="Times New Roman"/>
          <w:color w:val="auto"/>
          <w:sz w:val="32"/>
          <w:szCs w:val="32"/>
          <w:lang w:val="en-US" w:eastAsia="zh-CN"/>
        </w:rPr>
        <w:t>、</w:t>
      </w:r>
      <w:r>
        <w:rPr>
          <w:rFonts w:hint="eastAsia" w:ascii="Times New Roman" w:hAnsi="Times New Roman" w:eastAsia="仿宋_GB2312" w:cs="Times New Roman"/>
          <w:sz w:val="32"/>
          <w:szCs w:val="32"/>
          <w:lang w:val="en-US" w:eastAsia="zh-CN"/>
        </w:rPr>
        <w:t>粉丝粉条</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不得使用柠檬黄</w:t>
      </w:r>
      <w:r>
        <w:rPr>
          <w:rFonts w:hint="eastAsia" w:ascii="Times New Roman" w:cs="Times New Roman"/>
          <w:kern w:val="2"/>
          <w:sz w:val="32"/>
          <w:szCs w:val="32"/>
          <w:highlight w:val="none"/>
          <w:lang w:val="en-US" w:eastAsia="zh-CN" w:bidi="ar-SA"/>
        </w:rPr>
        <w:t>，饮料类</w:t>
      </w:r>
      <w:r>
        <w:rPr>
          <w:rFonts w:hint="eastAsia" w:ascii="仿宋_GB2312" w:hAnsi="仿宋_GB2312" w:cs="仿宋_GB2312"/>
          <w:kern w:val="2"/>
          <w:sz w:val="32"/>
          <w:szCs w:val="32"/>
          <w:highlight w:val="none"/>
          <w:lang w:val="en-US" w:eastAsia="zh-CN" w:bidi="ar-SA"/>
        </w:rPr>
        <w:t>[</w:t>
      </w:r>
      <w:r>
        <w:rPr>
          <w:rFonts w:hint="eastAsia" w:ascii="Times New Roman" w:cs="Times New Roman"/>
          <w:kern w:val="2"/>
          <w:sz w:val="32"/>
          <w:szCs w:val="32"/>
          <w:highlight w:val="none"/>
          <w:lang w:val="en-US" w:eastAsia="zh-CN" w:bidi="ar-SA"/>
        </w:rPr>
        <w:t>包装饮用水、果蔬汁（浆）、浓缩果蔬汁（浆）除外</w:t>
      </w:r>
      <w:r>
        <w:rPr>
          <w:rFonts w:hint="eastAsia" w:ascii="仿宋_GB2312" w:hAnsi="仿宋_GB2312" w:cs="仿宋_GB2312"/>
          <w:kern w:val="2"/>
          <w:sz w:val="32"/>
          <w:szCs w:val="32"/>
          <w:highlight w:val="none"/>
          <w:lang w:val="en-US" w:eastAsia="zh-CN" w:bidi="ar-SA"/>
        </w:rPr>
        <w:t>]</w:t>
      </w:r>
      <w:r>
        <w:rPr>
          <w:rFonts w:hint="eastAsia" w:ascii="Times New Roman" w:cs="Times New Roman"/>
          <w:kern w:val="2"/>
          <w:sz w:val="32"/>
          <w:szCs w:val="32"/>
          <w:highlight w:val="none"/>
          <w:lang w:val="en-US" w:eastAsia="zh-CN" w:bidi="ar-SA"/>
        </w:rPr>
        <w:t>中柠檬黄的最大使用量为0.1g/kg，以即饮状态计，相应的固体饮料按稀释倍数增加使用量。</w:t>
      </w:r>
      <w:r>
        <w:rPr>
          <w:rFonts w:hint="default" w:ascii="Times New Roman" w:hAnsi="Times New Roman" w:eastAsia="仿宋_GB2312" w:cs="Times New Roman"/>
          <w:color w:val="auto"/>
          <w:sz w:val="32"/>
          <w:szCs w:val="32"/>
          <w:lang w:val="en-US" w:eastAsia="zh-CN"/>
        </w:rPr>
        <w:t>香辛料及粉</w:t>
      </w:r>
      <w:r>
        <w:rPr>
          <w:rFonts w:hint="eastAsia" w:ascii="Times New Roman" w:cs="Times New Roman"/>
          <w:color w:val="auto"/>
          <w:sz w:val="32"/>
          <w:szCs w:val="32"/>
          <w:lang w:val="en-US" w:eastAsia="zh-CN"/>
        </w:rPr>
        <w:t>、粉丝粉条、固体饮料</w:t>
      </w:r>
      <w:r>
        <w:rPr>
          <w:rFonts w:hint="default" w:ascii="Times New Roman" w:hAnsi="Times New Roman" w:eastAsia="仿宋_GB2312" w:cs="Times New Roman"/>
          <w:kern w:val="2"/>
          <w:sz w:val="32"/>
          <w:szCs w:val="32"/>
          <w:lang w:val="en-US" w:eastAsia="zh-CN" w:bidi="ar-SA"/>
        </w:rPr>
        <w:t>中</w:t>
      </w:r>
      <w:r>
        <w:rPr>
          <w:rFonts w:hint="eastAsia" w:ascii="Times New Roman" w:hAnsi="Times New Roman" w:eastAsia="仿宋_GB2312" w:cs="Times New Roman"/>
          <w:kern w:val="2"/>
          <w:sz w:val="32"/>
          <w:szCs w:val="32"/>
          <w:lang w:val="en-US" w:eastAsia="zh-CN" w:bidi="ar-SA"/>
        </w:rPr>
        <w:t>柠檬黄检验值超标的</w:t>
      </w:r>
      <w:r>
        <w:rPr>
          <w:rFonts w:hint="default" w:ascii="Times New Roman" w:hAnsi="Times New Roman" w:eastAsia="仿宋_GB2312" w:cs="Times New Roman"/>
          <w:kern w:val="2"/>
          <w:sz w:val="32"/>
          <w:szCs w:val="32"/>
          <w:lang w:val="en-US" w:eastAsia="zh-CN" w:bidi="ar-SA"/>
        </w:rPr>
        <w:t>原因</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可能是生产企业为改善产品色泽</w:t>
      </w:r>
      <w:r>
        <w:rPr>
          <w:rFonts w:hint="eastAsia" w:ascii="Times New Roman" w:hAnsi="Times New Roman" w:eastAsia="仿宋_GB2312" w:cs="Times New Roman"/>
          <w:kern w:val="2"/>
          <w:sz w:val="32"/>
          <w:szCs w:val="32"/>
          <w:lang w:val="en-US" w:eastAsia="zh-CN" w:bidi="ar-SA"/>
        </w:rPr>
        <w:t>而超范围</w:t>
      </w:r>
      <w:r>
        <w:rPr>
          <w:rFonts w:ascii="Times New Roman" w:hAnsi="Times New Roman" w:eastAsia="仿宋_GB2312" w:cs="Times New Roman"/>
          <w:kern w:val="2"/>
          <w:sz w:val="32"/>
          <w:szCs w:val="32"/>
          <w:lang w:val="en-US" w:eastAsia="zh-CN" w:bidi="ar-SA"/>
        </w:rPr>
        <w:t>使用</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spacing w:val="0"/>
          <w:sz w:val="32"/>
          <w:szCs w:val="32"/>
          <w:lang w:val="en-US" w:eastAsia="zh-CN"/>
        </w:rPr>
      </w:pPr>
      <w:r>
        <w:rPr>
          <w:rFonts w:hint="eastAsia" w:eastAsia="黑体"/>
          <w:color w:val="auto"/>
          <w:spacing w:val="-12"/>
          <w:sz w:val="32"/>
          <w:szCs w:val="32"/>
          <w:highlight w:val="none"/>
          <w:lang w:val="en-US" w:eastAsia="zh-CN"/>
        </w:rPr>
        <w:t>四</w:t>
      </w:r>
      <w:r>
        <w:rPr>
          <w:rFonts w:hint="default" w:eastAsia="黑体"/>
          <w:color w:val="auto"/>
          <w:spacing w:val="-12"/>
          <w:sz w:val="32"/>
          <w:szCs w:val="32"/>
          <w:highlight w:val="none"/>
          <w:lang w:val="en-US" w:eastAsia="zh-CN"/>
        </w:rPr>
        <w:t>、</w:t>
      </w:r>
      <w:r>
        <w:rPr>
          <w:rFonts w:hint="eastAsia" w:ascii="Times New Roman" w:hAnsi="Times New Roman" w:eastAsia="黑体" w:cs="Times New Roman"/>
          <w:color w:val="auto"/>
          <w:sz w:val="32"/>
          <w:szCs w:val="32"/>
          <w:highlight w:val="none"/>
          <w:lang w:val="en-US" w:eastAsia="zh-CN"/>
        </w:rPr>
        <w:t>日落黄</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textAlignment w:val="auto"/>
        <w:rPr>
          <w:rFonts w:hint="default" w:eastAsia="黑体"/>
          <w:color w:val="auto"/>
          <w:spacing w:val="-12"/>
          <w:sz w:val="32"/>
          <w:szCs w:val="32"/>
          <w:highlight w:val="none"/>
          <w:lang w:val="en-US" w:eastAsia="zh-CN"/>
        </w:rPr>
      </w:pPr>
      <w:r>
        <w:rPr>
          <w:rFonts w:hint="eastAsia" w:eastAsia="仿宋_GB2312" w:cs="Times New Roman"/>
          <w:color w:val="000000"/>
          <w:sz w:val="32"/>
          <w:szCs w:val="32"/>
          <w:highlight w:val="none"/>
          <w:lang w:val="en-US" w:eastAsia="zh-CN"/>
        </w:rPr>
        <w:t>日落黄属于</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中应用广泛。长期摄入</w:t>
      </w:r>
      <w:r>
        <w:rPr>
          <w:rFonts w:hint="eastAsia" w:eastAsia="仿宋_GB2312" w:cs="Times New Roman"/>
          <w:color w:val="000000"/>
          <w:sz w:val="32"/>
          <w:szCs w:val="32"/>
          <w:highlight w:val="none"/>
          <w:lang w:val="en-US"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4）中规定，</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、粉丝粉条、</w:t>
      </w:r>
      <w:r>
        <w:rPr>
          <w:rFonts w:hint="eastAsia" w:ascii="Times New Roman" w:hAnsi="Times New Roman" w:eastAsia="仿宋_GB2312"/>
          <w:spacing w:val="0"/>
          <w:sz w:val="32"/>
          <w:szCs w:val="32"/>
          <w:highlight w:val="none"/>
          <w:lang w:val="en-US" w:eastAsia="zh-CN"/>
        </w:rPr>
        <w:t>其他熟肉制品、</w:t>
      </w:r>
      <w:r>
        <w:rPr>
          <w:rFonts w:hint="eastAsia" w:ascii="Times New Roman" w:hAnsi="Times New Roman" w:eastAsia="仿宋_GB2312"/>
          <w:spacing w:val="0"/>
          <w:sz w:val="32"/>
          <w:szCs w:val="32"/>
          <w:lang w:val="en-US" w:eastAsia="zh-CN"/>
        </w:rPr>
        <w:t>奶茶（自制）</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不得使用日落黄</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、粉丝粉条、</w:t>
      </w:r>
      <w:r>
        <w:rPr>
          <w:rFonts w:hint="eastAsia" w:ascii="Times New Roman" w:hAnsi="Times New Roman" w:eastAsia="仿宋_GB2312"/>
          <w:spacing w:val="0"/>
          <w:sz w:val="32"/>
          <w:szCs w:val="32"/>
          <w:lang w:val="en-US" w:eastAsia="zh-CN"/>
        </w:rPr>
        <w:t>其他熟肉制品、奶茶（自制）</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val="en-US" w:eastAsia="zh-CN"/>
        </w:rPr>
        <w:t>检出</w:t>
      </w:r>
      <w:r>
        <w:rPr>
          <w:rFonts w:hint="eastAsia" w:eastAsia="仿宋_GB2312" w:cs="Times New Roman"/>
          <w:color w:val="000000"/>
          <w:sz w:val="32"/>
          <w:szCs w:val="32"/>
          <w:highlight w:val="none"/>
          <w:lang w:val="en-US" w:eastAsia="zh-CN"/>
        </w:rPr>
        <w:t>日落黄</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ascii="Times New Roman" w:hAnsi="Times New Roman" w:eastAsia="仿宋_GB2312"/>
          <w:color w:val="000000"/>
          <w:spacing w:val="0"/>
          <w:sz w:val="32"/>
          <w:szCs w:val="32"/>
        </w:rPr>
        <w:t>可能是生产企业为改善产品色泽而</w:t>
      </w:r>
      <w:r>
        <w:rPr>
          <w:rFonts w:hint="eastAsia" w:ascii="Times New Roman" w:hAnsi="Times New Roman" w:eastAsia="仿宋_GB2312"/>
          <w:color w:val="000000"/>
          <w:spacing w:val="0"/>
          <w:sz w:val="32"/>
          <w:szCs w:val="32"/>
        </w:rPr>
        <w:t>超范围</w:t>
      </w:r>
      <w:r>
        <w:rPr>
          <w:rFonts w:ascii="Times New Roman" w:hAnsi="Times New Roman" w:eastAsia="仿宋_GB2312"/>
          <w:color w:val="000000"/>
          <w:spacing w:val="0"/>
          <w:sz w:val="32"/>
          <w:szCs w:val="32"/>
        </w:rPr>
        <w:t>使用。</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textAlignment w:val="auto"/>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eastAsia" w:ascii="黑体" w:hAnsi="黑体" w:eastAsia="黑体" w:cs="黑体"/>
          <w:color w:val="auto"/>
          <w:spacing w:val="-12"/>
          <w:sz w:val="32"/>
          <w:szCs w:val="32"/>
          <w:highlight w:val="none"/>
          <w:lang w:val="en-US" w:eastAsia="zh-CN"/>
        </w:rPr>
        <w:t>五、</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亮蓝</w:t>
      </w:r>
    </w:p>
    <w:p>
      <w:pPr>
        <w:widowControl/>
        <w:numPr>
          <w:ilvl w:val="0"/>
          <w:numId w:val="0"/>
        </w:numPr>
        <w:adjustRightInd/>
        <w:spacing w:line="594"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亮蓝又名食用蓝色2号，水溶性非偶氮类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化合物，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是常见的人工合成着色剂，在食品</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中应用广泛。长期摄入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亮蓝超标的食品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可能</w:t>
      </w:r>
      <w:r>
        <w:rPr>
          <w:rFonts w:hint="eastAsia" w:ascii="Times New Roman" w:hAnsi="Times New Roman" w:eastAsia="仿宋_GB2312" w:cs="Times New Roman"/>
          <w:kern w:val="2"/>
          <w:sz w:val="32"/>
          <w:szCs w:val="32"/>
          <w:highlight w:val="none"/>
          <w:lang w:val="en-US" w:eastAsia="zh-CN" w:bidi="ar-SA"/>
        </w:rPr>
        <w:t>危害人体健康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中规定，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粉丝粉条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不得使用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粉丝粉条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检出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亮蓝</w:t>
      </w:r>
      <w:r>
        <w:rPr>
          <w:rFonts w:hint="default" w:ascii="Times New Roman" w:hAnsi="Times New Roman" w:eastAsia="仿宋_GB2312" w:cs="Times New Roman"/>
          <w:sz w:val="32"/>
          <w:szCs w:val="32"/>
          <w:highlight w:val="none"/>
          <w:lang w:eastAsia="zh-CN"/>
        </w:rPr>
        <w:t>的原因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生产企业为改善产品色泽而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超范围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使用</w:t>
      </w:r>
      <w:r>
        <w:rPr>
          <w:rFonts w:hint="default" w:ascii="Times New Roman" w:hAnsi="Times New Roman" w:eastAsia="仿宋_GB2312" w:cs="Times New Roman"/>
          <w:sz w:val="32"/>
          <w:szCs w:val="32"/>
          <w:highlight w:val="none"/>
          <w:lang w:eastAsia="zh-CN"/>
        </w:rPr>
        <w:t>。</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592" w:firstLineChars="200"/>
        <w:textAlignment w:val="auto"/>
        <w:rPr>
          <w:rFonts w:hint="eastAsia" w:ascii="黑体" w:hAnsi="黑体" w:eastAsia="黑体" w:cs="黑体"/>
          <w:szCs w:val="32"/>
          <w:highlight w:val="none"/>
          <w:lang w:eastAsia="zh-CN"/>
        </w:rPr>
      </w:pPr>
      <w:r>
        <w:rPr>
          <w:rFonts w:hint="eastAsia" w:eastAsia="黑体"/>
          <w:color w:val="auto"/>
          <w:spacing w:val="-12"/>
          <w:sz w:val="32"/>
          <w:szCs w:val="32"/>
          <w:highlight w:val="none"/>
          <w:lang w:val="en-US" w:eastAsia="zh-CN"/>
        </w:rPr>
        <w:t>六、</w:t>
      </w:r>
      <w:r>
        <w:rPr>
          <w:rFonts w:hint="eastAsia" w:ascii="黑体" w:hAnsi="黑体" w:eastAsia="黑体" w:cs="黑体"/>
          <w:szCs w:val="32"/>
          <w:highlight w:val="none"/>
          <w:lang w:val="en-US" w:eastAsia="zh-CN"/>
        </w:rPr>
        <w:t>诱惑红</w:t>
      </w:r>
    </w:p>
    <w:p>
      <w:pPr>
        <w:autoSpaceDE w:val="0"/>
        <w:adjustRightInd/>
        <w:snapToGrid/>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诱惑红，别名艳红、阿落拉红，水溶性偶氮类化合物，是常见的人工合成着色剂，在食品生产中应用广泛。如果长期摄入诱惑红超标的食品，存在一定健康风险。</w:t>
      </w:r>
      <w:r>
        <w:rPr>
          <w:rFonts w:hint="eastAsia" w:ascii="Times New Roman" w:hAnsi="Times New Roman" w:eastAsia="仿宋_GB2312"/>
          <w:spacing w:val="0"/>
          <w:sz w:val="32"/>
          <w:szCs w:val="32"/>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食品添加剂使用标准</w:t>
      </w:r>
      <w:r>
        <w:rPr>
          <w:rFonts w:hint="eastAsia" w:ascii="Times New Roman" w:hAnsi="Times New Roman" w:eastAsia="仿宋_GB2312"/>
          <w:spacing w:val="0"/>
          <w:sz w:val="32"/>
          <w:szCs w:val="32"/>
        </w:rPr>
        <w:t xml:space="preserve">》（GB </w:t>
      </w:r>
      <w:r>
        <w:rPr>
          <w:rFonts w:hint="eastAsia" w:ascii="Times New Roman" w:hAnsi="Times New Roman" w:eastAsia="仿宋_GB2312"/>
          <w:spacing w:val="0"/>
          <w:sz w:val="32"/>
          <w:szCs w:val="32"/>
          <w:lang w:val="en-US" w:eastAsia="zh-CN"/>
        </w:rPr>
        <w:t>2760</w:t>
      </w:r>
      <w:r>
        <w:rPr>
          <w:rFonts w:hint="eastAsia" w:eastAsia="仿宋_GB2312"/>
          <w:kern w:val="0"/>
          <w:sz w:val="32"/>
          <w:szCs w:val="32"/>
        </w:rPr>
        <w:t>—</w:t>
      </w:r>
      <w:r>
        <w:rPr>
          <w:rFonts w:hint="eastAsia" w:ascii="Times New Roman" w:hAnsi="Times New Roman" w:eastAsia="仿宋_GB2312"/>
          <w:spacing w:val="0"/>
          <w:sz w:val="32"/>
          <w:szCs w:val="32"/>
        </w:rPr>
        <w:t>20</w:t>
      </w:r>
      <w:r>
        <w:rPr>
          <w:rFonts w:hint="eastAsia" w:ascii="Times New Roman" w:hAnsi="Times New Roman" w:eastAsia="仿宋_GB2312"/>
          <w:spacing w:val="0"/>
          <w:sz w:val="32"/>
          <w:szCs w:val="32"/>
          <w:lang w:val="en-US" w:eastAsia="zh-CN"/>
        </w:rPr>
        <w:t>24</w:t>
      </w:r>
      <w:r>
        <w:rPr>
          <w:rFonts w:hint="eastAsia" w:ascii="Times New Roman" w:hAnsi="Times New Roman" w:eastAsia="仿宋_GB2312"/>
          <w:spacing w:val="0"/>
          <w:sz w:val="32"/>
          <w:szCs w:val="32"/>
        </w:rPr>
        <w:t>）中规定，</w:t>
      </w:r>
      <w:r>
        <w:rPr>
          <w:rFonts w:hint="eastAsia" w:ascii="Times New Roman" w:hAnsi="Times New Roman" w:eastAsia="仿宋_GB2312"/>
          <w:spacing w:val="0"/>
          <w:sz w:val="32"/>
          <w:szCs w:val="32"/>
          <w:lang w:val="en-US" w:eastAsia="zh-CN"/>
        </w:rPr>
        <w:t>预制肉制品、其他熟肉制品</w:t>
      </w:r>
      <w:r>
        <w:rPr>
          <w:rFonts w:hint="default" w:ascii="Times New Roman" w:hAnsi="Times New Roman" w:eastAsia="仿宋_GB2312" w:cs="Times New Roman"/>
          <w:color w:val="auto"/>
          <w:sz w:val="32"/>
          <w:szCs w:val="32"/>
          <w:highlight w:val="none"/>
        </w:rPr>
        <w:t>中不得使用诱惑红。</w:t>
      </w:r>
      <w:r>
        <w:rPr>
          <w:rFonts w:hint="eastAsia" w:ascii="Times New Roman" w:hAnsi="Times New Roman" w:eastAsia="仿宋_GB2312"/>
          <w:spacing w:val="0"/>
          <w:sz w:val="32"/>
          <w:szCs w:val="32"/>
          <w:lang w:val="en-US" w:eastAsia="zh-CN"/>
        </w:rPr>
        <w:t>预制肉制品、其他熟肉制品</w:t>
      </w:r>
      <w:r>
        <w:rPr>
          <w:rFonts w:hint="default" w:ascii="Times New Roman" w:hAnsi="Times New Roman" w:eastAsia="仿宋_GB2312" w:cs="Times New Roman"/>
          <w:color w:val="auto"/>
          <w:sz w:val="32"/>
          <w:szCs w:val="32"/>
          <w:highlight w:val="none"/>
        </w:rPr>
        <w:t>中</w:t>
      </w:r>
      <w:r>
        <w:rPr>
          <w:rFonts w:hint="eastAsia" w:ascii="Times New Roman" w:hAnsi="Times New Roman" w:eastAsia="仿宋_GB2312" w:cs="Times New Roman"/>
          <w:color w:val="auto"/>
          <w:sz w:val="32"/>
          <w:szCs w:val="32"/>
          <w:highlight w:val="none"/>
          <w:lang w:val="en-US" w:eastAsia="zh-CN"/>
        </w:rPr>
        <w:t>检出</w:t>
      </w:r>
      <w:r>
        <w:rPr>
          <w:rFonts w:hint="default" w:ascii="Times New Roman" w:hAnsi="Times New Roman" w:eastAsia="仿宋_GB2312" w:cs="Times New Roman"/>
          <w:color w:val="auto"/>
          <w:sz w:val="32"/>
          <w:szCs w:val="32"/>
          <w:highlight w:val="none"/>
        </w:rPr>
        <w:t>诱惑红的原因，可能是生产企业为改善产品色泽而超范围使用。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七、</w:t>
      </w:r>
      <w:r>
        <w:rPr>
          <w:rFonts w:hint="eastAsia" w:ascii="黑体" w:hAnsi="黑体" w:eastAsia="黑体" w:cs="黑体"/>
          <w:color w:val="000000"/>
          <w:sz w:val="32"/>
          <w:szCs w:val="32"/>
          <w:highlight w:val="none"/>
          <w:lang w:eastAsia="zh-CN"/>
        </w:rPr>
        <w:t>山梨酸及其钾盐（以山梨酸计）</w:t>
      </w:r>
    </w:p>
    <w:p>
      <w:pPr>
        <w:adjustRightInd/>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山梨酸及其钾盐抗菌性强，防腐效果好，是目前应用非常广泛的食品防腐剂。长期食用山梨酸及其钾盐超标的食品，可能对肝脏、肾脏、骨骼生长造成危害。《食品安全国家标准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2024）中规定，花生制品（自制）</w:t>
      </w:r>
      <w:r>
        <w:rPr>
          <w:rFonts w:hint="eastAsia" w:ascii="Times New Roman" w:hAnsi="Times New Roman" w:eastAsia="仿宋_GB2312" w:cs="Times New Roman"/>
          <w:color w:val="auto"/>
          <w:sz w:val="32"/>
          <w:szCs w:val="32"/>
          <w:highlight w:val="none"/>
          <w:lang w:val="en-US" w:eastAsia="zh-CN"/>
        </w:rPr>
        <w:t>、黄芪麦冬膏类方便食品</w:t>
      </w:r>
      <w:r>
        <w:rPr>
          <w:rFonts w:hint="default" w:ascii="Times New Roman" w:hAnsi="Times New Roman" w:eastAsia="仿宋_GB2312" w:cs="Times New Roman"/>
          <w:color w:val="auto"/>
          <w:sz w:val="32"/>
          <w:szCs w:val="32"/>
          <w:highlight w:val="none"/>
          <w:lang w:val="en-US" w:eastAsia="zh-CN"/>
        </w:rPr>
        <w:t>中不得使用山梨酸及其钾盐（以山梨酸计）。花生制品（自制）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黄芪麦冬膏</w:t>
      </w:r>
      <w:r>
        <w:rPr>
          <w:rFonts w:hint="eastAsia" w:ascii="Times New Roman" w:hAnsi="Times New Roman" w:eastAsia="仿宋_GB2312" w:cs="Times New Roman"/>
          <w:sz w:val="32"/>
          <w:szCs w:val="32"/>
          <w:highlight w:val="none"/>
          <w:lang w:val="en-US" w:eastAsia="zh-CN"/>
        </w:rPr>
        <w:t>类方便食品</w:t>
      </w:r>
      <w:r>
        <w:rPr>
          <w:rFonts w:hint="default" w:ascii="Times New Roman" w:hAnsi="Times New Roman" w:eastAsia="仿宋_GB2312" w:cs="Times New Roman"/>
          <w:color w:val="auto"/>
          <w:sz w:val="32"/>
          <w:szCs w:val="32"/>
          <w:highlight w:val="none"/>
          <w:lang w:val="en-US" w:eastAsia="zh-CN"/>
        </w:rPr>
        <w:t>中检出山梨酸及其钾盐（以山梨酸计）的原因，可能是经营者为延长产品保质期或者弥补产品生产过程卫生条件不佳而超范围使用。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000000"/>
          <w:sz w:val="32"/>
          <w:szCs w:val="32"/>
          <w:highlight w:val="none"/>
          <w:lang w:eastAsia="zh-CN"/>
        </w:rPr>
        <w:t>苯甲酸及其钠盐（以苯甲酸计）</w:t>
      </w:r>
    </w:p>
    <w:p>
      <w:pPr>
        <w:widowControl/>
        <w:adjustRightInd/>
        <w:spacing w:after="0" w:line="594" w:lineRule="exact"/>
        <w:ind w:firstLine="640" w:firstLineChars="200"/>
        <w:rPr>
          <w:rFonts w:hint="eastAsia" w:ascii="仿宋_GB2312" w:hAnsi="仿宋_GB2312" w:eastAsia="仿宋_GB2312" w:cs="仿宋_GB2312"/>
          <w:color w:val="auto"/>
          <w:spacing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2024）中规定，花生制品</w:t>
      </w:r>
      <w:r>
        <w:rPr>
          <w:rFonts w:hint="eastAsia" w:ascii="Times New Roman" w:hAnsi="Times New Roman" w:eastAsia="仿宋_GB2312" w:cs="Times New Roman"/>
          <w:color w:val="auto"/>
          <w:sz w:val="32"/>
          <w:szCs w:val="32"/>
          <w:highlight w:val="none"/>
          <w:lang w:val="en-US" w:eastAsia="zh-CN"/>
        </w:rPr>
        <w:t>（自制）</w:t>
      </w:r>
      <w:r>
        <w:rPr>
          <w:rFonts w:hint="default" w:ascii="Times New Roman" w:hAnsi="Times New Roman" w:eastAsia="仿宋_GB2312" w:cs="Times New Roman"/>
          <w:color w:val="auto"/>
          <w:sz w:val="32"/>
          <w:szCs w:val="32"/>
          <w:highlight w:val="none"/>
          <w:lang w:val="en-US" w:eastAsia="zh-CN"/>
        </w:rPr>
        <w:t>中不得使用苯甲酸及其钠盐（以苯甲酸计）。花生制品（自制）中检出苯甲酸及其钠盐（以苯甲酸计）的原因，可能是经营者为延长产品保质期或者弥补产品生产过程</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卫生条件不佳而超范围使用。</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textAlignment w:val="auto"/>
        <w:rPr>
          <w:rFonts w:hint="eastAsia" w:ascii="Times New Roman" w:hAnsi="Times New Roman" w:eastAsia="黑体" w:cs="Times New Roman"/>
          <w:spacing w:val="-12"/>
          <w:kern w:val="2"/>
          <w:sz w:val="32"/>
          <w:szCs w:val="32"/>
          <w:lang w:eastAsia="zh-CN"/>
        </w:rPr>
      </w:pPr>
      <w:r>
        <w:rPr>
          <w:rFonts w:hint="eastAsia" w:ascii="黑体" w:hAnsi="黑体" w:eastAsia="黑体" w:cs="黑体"/>
          <w:color w:val="auto"/>
          <w:spacing w:val="-17"/>
          <w:sz w:val="32"/>
          <w:szCs w:val="32"/>
          <w:highlight w:val="none"/>
          <w:lang w:val="en-US" w:eastAsia="zh-CN"/>
        </w:rPr>
        <w:t>九、</w:t>
      </w:r>
      <w:r>
        <w:rPr>
          <w:rFonts w:hint="eastAsia" w:eastAsia="黑体"/>
          <w:sz w:val="32"/>
          <w:szCs w:val="32"/>
          <w:highlight w:val="none"/>
        </w:rPr>
        <w:t>糖精钠</w:t>
      </w:r>
      <w:r>
        <w:rPr>
          <w:rFonts w:hint="eastAsia" w:eastAsia="黑体"/>
          <w:sz w:val="32"/>
          <w:szCs w:val="32"/>
          <w:highlight w:val="none"/>
          <w:lang w:eastAsia="zh-CN"/>
        </w:rPr>
        <w:t>（</w:t>
      </w:r>
      <w:r>
        <w:rPr>
          <w:rFonts w:hint="eastAsia" w:eastAsia="黑体"/>
          <w:sz w:val="32"/>
          <w:szCs w:val="32"/>
          <w:highlight w:val="none"/>
          <w:lang w:val="en-US" w:eastAsia="zh-CN"/>
        </w:rPr>
        <w:t>以糖精计</w:t>
      </w:r>
      <w:r>
        <w:rPr>
          <w:rFonts w:hint="eastAsia" w:eastAsia="黑体"/>
          <w:sz w:val="32"/>
          <w:szCs w:val="32"/>
          <w:highlight w:val="none"/>
          <w:lang w:eastAsia="zh-CN"/>
        </w:rPr>
        <w:t>）</w:t>
      </w:r>
    </w:p>
    <w:p>
      <w:pPr>
        <w:pStyle w:val="9"/>
        <w:widowControl w:val="0"/>
        <w:spacing w:after="0" w:line="594" w:lineRule="exact"/>
        <w:ind w:firstLine="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24</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果冻</w:t>
      </w:r>
      <w:r>
        <w:rPr>
          <w:rFonts w:hint="default" w:ascii="Times New Roman" w:hAnsi="Times New Roman" w:eastAsia="仿宋_GB2312" w:cs="Times New Roman"/>
          <w:kern w:val="2"/>
          <w:sz w:val="32"/>
          <w:szCs w:val="32"/>
          <w:highlight w:val="none"/>
          <w:lang w:val="en-US" w:eastAsia="zh-CN" w:bidi="ar-SA"/>
        </w:rPr>
        <w:t>中不得使用糖精钠（以糖精计）。</w:t>
      </w:r>
      <w:r>
        <w:rPr>
          <w:rFonts w:hint="eastAsia" w:ascii="Times New Roman" w:hAnsi="Times New Roman" w:eastAsia="仿宋_GB2312" w:cs="Times New Roman"/>
          <w:kern w:val="2"/>
          <w:sz w:val="32"/>
          <w:szCs w:val="32"/>
          <w:highlight w:val="none"/>
          <w:lang w:val="en-US" w:eastAsia="zh-CN" w:bidi="ar-SA"/>
        </w:rPr>
        <w:t>果冻</w:t>
      </w:r>
      <w:r>
        <w:rPr>
          <w:rFonts w:hint="default" w:ascii="Times New Roman" w:hAnsi="Times New Roman" w:eastAsia="仿宋_GB2312" w:cs="Times New Roman"/>
          <w:kern w:val="2"/>
          <w:sz w:val="32"/>
          <w:szCs w:val="32"/>
          <w:highlight w:val="none"/>
          <w:lang w:val="en-US" w:eastAsia="zh-CN" w:bidi="ar-SA"/>
        </w:rPr>
        <w:t>中检出糖精钠（以糖精计）的原因，可能是企业为增加产品甜度而超范围使用。</w:t>
      </w:r>
    </w:p>
    <w:p>
      <w:pPr>
        <w:spacing w:line="594" w:lineRule="exact"/>
        <w:ind w:firstLine="640" w:firstLineChars="200"/>
        <w:rPr>
          <w:rFonts w:hint="default" w:eastAsia="黑体"/>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eastAsia="黑体"/>
          <w:spacing w:val="-12"/>
          <w:sz w:val="32"/>
          <w:szCs w:val="32"/>
          <w:highlight w:val="none"/>
          <w:lang w:val="en-US" w:eastAsia="zh-CN"/>
        </w:rPr>
        <w:t>二氧化硫残留量</w:t>
      </w:r>
    </w:p>
    <w:p>
      <w:pPr>
        <w:pStyle w:val="9"/>
        <w:spacing w:after="0" w:line="594" w:lineRule="exact"/>
        <w:ind w:firstLine="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Times New Roman" w:hAnsi="Times New Roman" w:eastAsia="仿宋_GB2312" w:cs="仿宋_GB2312"/>
          <w:sz w:val="32"/>
          <w:szCs w:val="32"/>
        </w:rPr>
        <w:t>—</w:t>
      </w:r>
      <w:r>
        <w:rPr>
          <w:rFonts w:hint="default" w:ascii="Times New Roman" w:hAnsi="Times New Roman" w:eastAsia="仿宋_GB2312" w:cs="Times New Roman"/>
          <w:sz w:val="32"/>
          <w:szCs w:val="32"/>
        </w:rPr>
        <w:t>2014）中规定，</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auto"/>
          <w:sz w:val="32"/>
          <w:szCs w:val="32"/>
          <w:lang w:val="en-US" w:eastAsia="zh-CN"/>
        </w:rPr>
        <w:t>，半固体复合调味料</w:t>
      </w:r>
      <w:r>
        <w:rPr>
          <w:rFonts w:hint="eastAsia" w:ascii="Times New Roman" w:hAnsi="Times New Roman" w:eastAsia="仿宋_GB2312" w:cs="Times New Roman"/>
          <w:color w:val="auto"/>
          <w:kern w:val="2"/>
          <w:sz w:val="32"/>
          <w:szCs w:val="32"/>
          <w:lang w:val="en-US" w:eastAsia="zh-CN" w:bidi="ar-SA"/>
        </w:rPr>
        <w:t>中二氧化硫最大使用量为0.05g/kg</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、半固体复合调味料</w:t>
      </w:r>
      <w:r>
        <w:rPr>
          <w:rFonts w:hint="default" w:ascii="Times New Roman" w:hAnsi="Times New Roman" w:eastAsia="仿宋_GB2312" w:cs="Times New Roman"/>
          <w:color w:val="auto"/>
          <w:sz w:val="32"/>
          <w:szCs w:val="32"/>
          <w:lang w:val="en-US" w:eastAsia="zh-CN"/>
        </w:rPr>
        <w:t>中二氧化硫残留量超标的原因，可能是生产企业为改善产品色泽而超范围</w:t>
      </w:r>
      <w:r>
        <w:rPr>
          <w:rFonts w:hint="eastAsia" w:ascii="Times New Roman" w:hAnsi="Times New Roman" w:eastAsia="仿宋_GB2312" w:cs="Times New Roman"/>
          <w:color w:val="auto"/>
          <w:sz w:val="32"/>
          <w:szCs w:val="32"/>
          <w:lang w:val="en-US" w:eastAsia="zh-CN"/>
        </w:rPr>
        <w:t>超限量</w:t>
      </w:r>
      <w:r>
        <w:rPr>
          <w:rFonts w:hint="default" w:ascii="Times New Roman" w:hAnsi="Times New Roman" w:eastAsia="仿宋_GB2312" w:cs="Times New Roman"/>
          <w:color w:val="auto"/>
          <w:sz w:val="32"/>
          <w:szCs w:val="32"/>
          <w:lang w:val="en-US" w:eastAsia="zh-CN"/>
        </w:rPr>
        <w:t>使用二氧化硫</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highlight w:val="none"/>
          <w:lang w:val="en-US" w:eastAsia="zh-CN" w:bidi="ar-SA"/>
        </w:rPr>
        <w:t>也可能是使用时不计量或计量不准确；还可能是由于使用硫磺熏蒸漂白传统工艺或直接使用亚硫酸盐浸泡保鲜所造成</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11"/>
          <w:sz w:val="32"/>
          <w:szCs w:val="32"/>
          <w:highlight w:val="none"/>
          <w:lang w:val="en-US" w:eastAsia="zh-CN"/>
        </w:rPr>
        <w:t>一、</w:t>
      </w:r>
      <w:r>
        <w:rPr>
          <w:rFonts w:hint="eastAsia" w:ascii="Times New Roman" w:hAnsi="Times New Roman" w:eastAsia="黑体" w:cs="Times New Roman"/>
          <w:color w:val="auto"/>
          <w:kern w:val="2"/>
          <w:sz w:val="32"/>
          <w:szCs w:val="32"/>
          <w:highlight w:val="none"/>
          <w:lang w:val="en-US" w:eastAsia="zh-CN" w:bidi="ar-SA"/>
        </w:rPr>
        <w:t>安赛蜜</w:t>
      </w:r>
    </w:p>
    <w:p>
      <w:pPr>
        <w:numPr>
          <w:ilvl w:val="0"/>
          <w:numId w:val="0"/>
        </w:numPr>
        <w:adjustRightIn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olor w:val="auto"/>
          <w:sz w:val="32"/>
          <w:szCs w:val="32"/>
          <w:highlight w:val="none"/>
        </w:rPr>
        <w:t>安赛蜜又称乙酰磺胺酸钾，作为甜味剂广泛应用于食品中，口味酷似蔗糖，甜度为蔗糖的200—250倍。安赛蜜不在人体内代谢和提供能量。长期食用安赛蜜超标的食品，可能对人体</w:t>
      </w:r>
      <w:r>
        <w:rPr>
          <w:rFonts w:hint="eastAsia" w:ascii="Times New Roman" w:hAnsi="Times New Roman" w:eastAsia="仿宋_GB2312"/>
          <w:color w:val="auto"/>
          <w:sz w:val="32"/>
          <w:szCs w:val="32"/>
          <w:highlight w:val="none"/>
          <w:lang w:val="en-US" w:eastAsia="zh-CN"/>
        </w:rPr>
        <w:t>健康</w:t>
      </w:r>
      <w:r>
        <w:rPr>
          <w:rFonts w:ascii="Times New Roman" w:hAnsi="Times New Roman" w:eastAsia="仿宋_GB2312"/>
          <w:color w:val="auto"/>
          <w:sz w:val="32"/>
          <w:szCs w:val="32"/>
          <w:highlight w:val="none"/>
        </w:rPr>
        <w:t>造成危害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其他饮料</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olor w:val="auto"/>
          <w:sz w:val="32"/>
          <w:szCs w:val="32"/>
          <w:highlight w:val="none"/>
          <w:lang w:val="en-US" w:eastAsia="zh-CN"/>
        </w:rPr>
        <w:t>安赛蜜的</w:t>
      </w:r>
      <w:r>
        <w:rPr>
          <w:rFonts w:hint="eastAsia" w:ascii="Times New Roman" w:hAnsi="Times New Roman" w:eastAsia="仿宋_GB2312" w:cs="Times New Roman"/>
          <w:color w:val="auto"/>
          <w:sz w:val="32"/>
          <w:szCs w:val="32"/>
          <w:highlight w:val="none"/>
        </w:rPr>
        <w:t>最大使用量为0.</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g/kg</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其他饮料</w:t>
      </w:r>
      <w:r>
        <w:rPr>
          <w:rFonts w:hint="eastAsia" w:ascii="Times New Roman" w:hAnsi="Times New Roman" w:eastAsia="仿宋_GB2312"/>
          <w:color w:val="auto"/>
          <w:sz w:val="32"/>
          <w:szCs w:val="32"/>
          <w:highlight w:val="none"/>
        </w:rPr>
        <w:t>中安赛蜜</w:t>
      </w:r>
      <w:r>
        <w:rPr>
          <w:rFonts w:hint="eastAsia" w:ascii="Times New Roman" w:hAnsi="Times New Roman" w:eastAsia="仿宋_GB2312"/>
          <w:color w:val="auto"/>
          <w:sz w:val="32"/>
          <w:szCs w:val="32"/>
          <w:highlight w:val="none"/>
          <w:lang w:val="en-US" w:eastAsia="zh-CN"/>
        </w:rPr>
        <w:t>检验值超标</w:t>
      </w:r>
      <w:r>
        <w:rPr>
          <w:rFonts w:hint="eastAsia" w:ascii="Times New Roman" w:hAnsi="Times New Roman" w:eastAsia="仿宋_GB2312"/>
          <w:color w:val="auto"/>
          <w:sz w:val="32"/>
          <w:szCs w:val="32"/>
          <w:highlight w:val="none"/>
        </w:rPr>
        <w:t>的原因，可能是企业为增加产品甜味而超</w:t>
      </w:r>
      <w:r>
        <w:rPr>
          <w:rFonts w:hint="eastAsia" w:ascii="Times New Roman" w:hAnsi="Times New Roman" w:eastAsia="仿宋_GB2312"/>
          <w:color w:val="auto"/>
          <w:sz w:val="32"/>
          <w:szCs w:val="32"/>
          <w:highlight w:val="none"/>
          <w:lang w:val="en-US" w:eastAsia="zh-CN"/>
        </w:rPr>
        <w:t>限量</w:t>
      </w:r>
      <w:r>
        <w:rPr>
          <w:rFonts w:hint="eastAsia" w:ascii="Times New Roman" w:hAnsi="Times New Roman" w:eastAsia="仿宋_GB2312"/>
          <w:color w:val="auto"/>
          <w:sz w:val="32"/>
          <w:szCs w:val="32"/>
          <w:highlight w:val="none"/>
        </w:rPr>
        <w:t>使用</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eastAsia="仿宋_GB2312"/>
          <w:bCs/>
          <w:color w:val="auto"/>
          <w:sz w:val="32"/>
          <w:szCs w:val="32"/>
          <w:highlight w:val="none"/>
          <w:lang w:val="en-US" w:eastAsia="zh-CN"/>
        </w:rPr>
        <w:t>生产过程中未准确计量</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还</w:t>
      </w:r>
      <w:r>
        <w:rPr>
          <w:rFonts w:hint="eastAsia" w:ascii="Times New Roman" w:hAnsi="Times New Roman" w:eastAsia="仿宋_GB2312"/>
          <w:color w:val="auto"/>
          <w:sz w:val="32"/>
          <w:szCs w:val="32"/>
          <w:highlight w:val="none"/>
        </w:rPr>
        <w:t>可能是原辅料把关不严造成。</w:t>
      </w:r>
    </w:p>
    <w:p>
      <w:pPr>
        <w:spacing w:line="594" w:lineRule="exact"/>
        <w:ind w:firstLine="592" w:firstLineChars="200"/>
        <w:jc w:val="both"/>
        <w:rPr>
          <w:rFonts w:hint="eastAsia" w:ascii="Times New Roman" w:hAnsi="Times New Roman" w:eastAsia="黑体" w:cs="Times New Roman"/>
          <w:spacing w:val="0"/>
          <w:sz w:val="32"/>
          <w:szCs w:val="32"/>
          <w:lang w:val="en-US" w:eastAsia="zh-CN"/>
        </w:rPr>
      </w:pPr>
      <w:r>
        <w:rPr>
          <w:rFonts w:hint="default" w:ascii="Times New Roman" w:hAnsi="Times New Roman" w:eastAsia="黑体" w:cs="Times New Roman"/>
          <w:color w:val="auto"/>
          <w:spacing w:val="-12"/>
          <w:kern w:val="2"/>
          <w:sz w:val="32"/>
          <w:szCs w:val="32"/>
          <w:highlight w:val="none"/>
          <w:lang w:val="en-US" w:eastAsia="zh-CN" w:bidi="ar-SA"/>
        </w:rPr>
        <w:t>十二、</w:t>
      </w:r>
      <w:r>
        <w:rPr>
          <w:rFonts w:hint="eastAsia" w:ascii="Times New Roman" w:hAnsi="Times New Roman" w:eastAsia="黑体" w:cs="Times New Roman"/>
          <w:spacing w:val="0"/>
          <w:sz w:val="32"/>
          <w:szCs w:val="32"/>
          <w:lang w:val="en-US" w:eastAsia="zh-CN"/>
        </w:rPr>
        <w:t>霉菌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spacing w:val="-12"/>
          <w:sz w:val="32"/>
          <w:szCs w:val="32"/>
          <w:lang w:val="en-US" w:eastAsia="zh-CN"/>
        </w:rPr>
      </w:pPr>
      <w:r>
        <w:rPr>
          <w:rFonts w:hint="default" w:ascii="Times New Roman" w:hAnsi="Times New Roman" w:eastAsia="仿宋_GB2312" w:cs="Times New Roman"/>
          <w:spacing w:val="0"/>
          <w:sz w:val="32"/>
          <w:szCs w:val="32"/>
          <w:lang w:val="en-US" w:eastAsia="zh-CN"/>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w:t>
      </w:r>
      <w:r>
        <w:rPr>
          <w:rFonts w:hint="eastAsia" w:ascii="Times New Roman" w:hAnsi="Times New Roman" w:eastAsia="仿宋_GB2312" w:cs="Times New Roman"/>
          <w:spacing w:val="0"/>
          <w:sz w:val="32"/>
          <w:szCs w:val="32"/>
          <w:lang w:val="en-US" w:eastAsia="zh-CN"/>
        </w:rPr>
        <w:t>。《食品安全国家标准 坚果与籽类食品》（GB 19300—2014）中规定，烘炒工艺加工的熟制坚果与籽类食品中霉菌最大</w:t>
      </w:r>
      <w:r>
        <w:rPr>
          <w:rFonts w:hint="eastAsia" w:ascii="Times New Roman" w:hAnsi="Times New Roman" w:eastAsia="仿宋_GB2312" w:cs="Times New Roman"/>
          <w:sz w:val="32"/>
          <w:szCs w:val="32"/>
          <w:lang w:val="en-US" w:eastAsia="zh-CN"/>
        </w:rPr>
        <w:t>限量值为25CFU/g；企业标准</w:t>
      </w:r>
      <w:r>
        <w:rPr>
          <w:rFonts w:hint="default" w:ascii="Times New Roman" w:hAnsi="Times New Roman" w:eastAsia="仿宋_GB2312" w:cs="Times New Roman"/>
          <w:sz w:val="32"/>
          <w:szCs w:val="32"/>
          <w:highlight w:val="none"/>
          <w:lang w:val="en-US" w:eastAsia="zh-CN"/>
        </w:rPr>
        <w:t>《混合坚果》</w:t>
      </w:r>
      <w:r>
        <w:rPr>
          <w:rFonts w:hint="eastAsia" w:ascii="Times New Roman" w:hAnsi="Times New Roman" w:eastAsia="仿宋_GB2312" w:cs="Times New Roman"/>
          <w:sz w:val="32"/>
          <w:szCs w:val="32"/>
          <w:highlight w:val="none"/>
          <w:lang w:val="en-US" w:eastAsia="zh-CN"/>
        </w:rPr>
        <w:t>（Q/SBS 0001S—2024）</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，混合坚果中霉菌最大限量值为25CFU/g；</w:t>
      </w:r>
      <w:r>
        <w:rPr>
          <w:rFonts w:hint="eastAsia" w:ascii="Times New Roman" w:hAnsi="Times New Roman" w:eastAsia="仿宋_GB2312" w:cs="Times New Roman"/>
          <w:sz w:val="32"/>
          <w:szCs w:val="32"/>
          <w:lang w:eastAsia="zh-CN"/>
        </w:rPr>
        <w:t>《食品安全国家标准</w:t>
      </w:r>
      <w:r>
        <w:rPr>
          <w:rFonts w:hint="eastAsia" w:ascii="Times New Roman" w:hAnsi="Times New Roman" w:eastAsia="仿宋_GB2312" w:cs="Times New Roman"/>
          <w:sz w:val="32"/>
          <w:szCs w:val="32"/>
          <w:lang w:val="en-US" w:eastAsia="zh-CN"/>
        </w:rPr>
        <w:t xml:space="preserve"> 冲调谷物制品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GB 19640</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冲调谷物制品</w:t>
      </w:r>
      <w:r>
        <w:rPr>
          <w:rFonts w:hint="eastAsia" w:ascii="Times New Roman" w:hAnsi="Times New Roman" w:eastAsia="仿宋_GB2312" w:cs="Times New Roman"/>
          <w:sz w:val="32"/>
          <w:szCs w:val="32"/>
        </w:rPr>
        <w:t>同一批次产品5个样品的霉菌检验结果均不得超过100CFU/g，且最多允许2个样品的检验结果超过50CFU/g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食品安全国家标准 糕点、面包》（GB 7099—2015）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，糕点中霉菌最大限量值为150CFU/g；企业标准</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代用茶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Q/YHT 0001S</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霉菌</w:t>
      </w:r>
      <w:r>
        <w:rPr>
          <w:rFonts w:hint="default" w:ascii="Times New Roman" w:hAnsi="Times New Roman" w:eastAsia="仿宋_GB2312" w:cs="Times New Roman"/>
          <w:sz w:val="32"/>
          <w:szCs w:val="32"/>
        </w:rPr>
        <w:t>限量为</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CFU/g</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瓜子、混合坚果、冲调谷物制品、糕点、代用茶</w:t>
      </w:r>
      <w:r>
        <w:rPr>
          <w:rFonts w:hint="eastAsia" w:ascii="Times New Roman" w:hAnsi="Times New Roman" w:eastAsia="仿宋_GB2312" w:cs="Times New Roman"/>
          <w:spacing w:val="0"/>
          <w:sz w:val="32"/>
          <w:szCs w:val="32"/>
          <w:lang w:val="en-US" w:eastAsia="zh-CN"/>
        </w:rPr>
        <w:t>中</w:t>
      </w:r>
      <w:r>
        <w:rPr>
          <w:rFonts w:hint="default" w:ascii="Times New Roman" w:hAnsi="Times New Roman" w:eastAsia="仿宋_GB2312" w:cs="Times New Roman"/>
          <w:spacing w:val="0"/>
          <w:sz w:val="32"/>
          <w:szCs w:val="32"/>
          <w:lang w:val="en-US" w:eastAsia="zh-CN"/>
        </w:rPr>
        <w:t>霉菌数超标的原因，可能是生产企业所使用的原辅料受到霉菌污染；也可能是生产加工过程中卫生条件控制不到位；还可能与产品包装密封不严、储运条件控制不当等有关</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auto"/>
          <w:spacing w:val="0"/>
          <w:sz w:val="32"/>
          <w:szCs w:val="32"/>
          <w:highlight w:val="none"/>
          <w:lang w:val="en-US" w:eastAsia="zh-CN"/>
        </w:rPr>
        <w:t>十三、</w:t>
      </w:r>
      <w:r>
        <w:rPr>
          <w:rFonts w:hint="eastAsia" w:ascii="Times New Roman" w:hAnsi="Times New Roman" w:eastAsia="黑体" w:cs="Times New Roman"/>
          <w:color w:val="000000"/>
          <w:sz w:val="32"/>
          <w:szCs w:val="32"/>
          <w:highlight w:val="none"/>
          <w:lang w:eastAsia="zh-CN"/>
        </w:rPr>
        <w:t>大肠菌群</w:t>
      </w:r>
    </w:p>
    <w:p>
      <w:p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sz w:val="32"/>
          <w:szCs w:val="32"/>
        </w:rPr>
        <w:t>大肠菌群是国内外通用的食品污染常用指示菌之一。食品中检出大肠菌群，提示被致病菌污染的可能性较大。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 坚果与籽类食品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19300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熟制坚果与籽类食品及直接食用的生干坚果与籽类食品</w:t>
      </w:r>
      <w:r>
        <w:rPr>
          <w:rFonts w:hint="eastAsia" w:ascii="Times New Roman" w:hAnsi="Times New Roman" w:eastAsia="仿宋_GB2312" w:cs="Times New Roman"/>
          <w:sz w:val="32"/>
          <w:szCs w:val="32"/>
        </w:rPr>
        <w:t>同</w:t>
      </w:r>
      <w:r>
        <w:rPr>
          <w:rFonts w:ascii="Calibri" w:hAnsi="Calibri" w:eastAsia="仿宋_GB2312" w:cs="Times New Roman"/>
          <w:sz w:val="32"/>
          <w:szCs w:val="32"/>
        </w:rPr>
        <w:t>一批次产品</w:t>
      </w:r>
      <w:r>
        <w:rPr>
          <w:rFonts w:ascii="Times New Roman" w:hAnsi="Times New Roman" w:eastAsia="仿宋_GB2312" w:cs="Times New Roman"/>
          <w:sz w:val="32"/>
          <w:szCs w:val="32"/>
        </w:rPr>
        <w:t>5</w:t>
      </w:r>
      <w:r>
        <w:rPr>
          <w:rFonts w:ascii="Calibri" w:hAnsi="Calibri" w:eastAsia="仿宋_GB2312" w:cs="Times New Roman"/>
          <w:sz w:val="32"/>
          <w:szCs w:val="32"/>
        </w:rPr>
        <w:t>个样品的</w:t>
      </w:r>
      <w:r>
        <w:rPr>
          <w:rFonts w:hint="eastAsia" w:ascii="Times New Roman" w:hAnsi="Times New Roman" w:eastAsia="仿宋_GB2312" w:cs="Times New Roman"/>
          <w:sz w:val="32"/>
          <w:szCs w:val="32"/>
        </w:rPr>
        <w:t>大肠菌群</w:t>
      </w:r>
      <w:r>
        <w:rPr>
          <w:rFonts w:ascii="Times New Roman" w:hAnsi="Times New Roman" w:eastAsia="仿宋_GB2312" w:cs="Times New Roman"/>
          <w:sz w:val="32"/>
          <w:szCs w:val="32"/>
        </w:rPr>
        <w:t>检</w:t>
      </w:r>
      <w:r>
        <w:rPr>
          <w:rFonts w:hint="eastAsia" w:ascii="Times New Roman" w:hAnsi="Times New Roman" w:eastAsia="仿宋_GB2312" w:cs="Times New Roman"/>
          <w:sz w:val="32"/>
          <w:szCs w:val="32"/>
          <w:lang w:val="en-US" w:eastAsia="zh-CN"/>
        </w:rPr>
        <w:t>验</w:t>
      </w:r>
      <w:r>
        <w:rPr>
          <w:rFonts w:ascii="Times New Roman" w:hAnsi="Times New Roman" w:eastAsia="仿宋_GB2312" w:cs="Times New Roman"/>
          <w:sz w:val="32"/>
          <w:szCs w:val="32"/>
        </w:rPr>
        <w:t>结果均不得超过1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0CFU/g</w:t>
      </w:r>
      <w:r>
        <w:rPr>
          <w:rFonts w:hint="eastAsia" w:ascii="Calibri" w:hAnsi="Calibri" w:eastAsia="仿宋_GB2312" w:cs="Times New Roman"/>
          <w:sz w:val="32"/>
          <w:szCs w:val="32"/>
        </w:rPr>
        <w:t>，</w:t>
      </w:r>
      <w:r>
        <w:rPr>
          <w:rFonts w:hint="eastAsia" w:ascii="Times New Roman" w:hAnsi="Times New Roman" w:eastAsia="仿宋_GB2312" w:cs="Times New Roman"/>
          <w:sz w:val="32"/>
          <w:szCs w:val="32"/>
        </w:rPr>
        <w:t>且最多允许2个样品的检</w:t>
      </w:r>
      <w:r>
        <w:rPr>
          <w:rFonts w:hint="eastAsia" w:ascii="Times New Roman" w:hAnsi="Times New Roman" w:eastAsia="仿宋_GB2312" w:cs="Times New Roman"/>
          <w:sz w:val="32"/>
          <w:szCs w:val="32"/>
          <w:lang w:val="en-US" w:eastAsia="zh-CN"/>
        </w:rPr>
        <w:t>验</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超过10CFU/g</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熟制坚果与籽类食品</w:t>
      </w:r>
      <w:r>
        <w:rPr>
          <w:rFonts w:ascii="Times New Roman" w:hAnsi="Times New Roman" w:eastAsia="仿宋_GB2312" w:cs="Times New Roman"/>
          <w:sz w:val="32"/>
          <w:szCs w:val="32"/>
        </w:rPr>
        <w:t>中大肠菌群</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超标的原因，可能是产品的加工原料、包装材料受污染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可能是产品在生产过程中受人员、工器具等的污染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还可能</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产品储存条件不当有关。</w:t>
      </w:r>
    </w:p>
    <w:p>
      <w:pPr>
        <w:spacing w:line="594" w:lineRule="exact"/>
        <w:ind w:firstLine="572" w:firstLineChars="200"/>
        <w:rPr>
          <w:rFonts w:hint="eastAsia" w:ascii="Times New Roman" w:hAnsi="Times New Roman" w:eastAsia="黑体" w:cs="Times New Roman"/>
          <w:spacing w:val="-12"/>
          <w:sz w:val="32"/>
          <w:szCs w:val="32"/>
          <w:highlight w:val="none"/>
          <w:lang w:val="en-US" w:eastAsia="zh-CN"/>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spacing w:val="-12"/>
          <w:sz w:val="32"/>
          <w:szCs w:val="32"/>
          <w:highlight w:val="none"/>
          <w:lang w:val="en-US" w:eastAsia="zh-CN"/>
        </w:rPr>
        <w:t>菌落总数</w:t>
      </w:r>
    </w:p>
    <w:p>
      <w:pPr>
        <w:widowControl/>
        <w:numPr>
          <w:ilvl w:val="-1"/>
          <w:numId w:val="0"/>
        </w:numPr>
        <w:adjustRightInd/>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sz w:val="32"/>
          <w:szCs w:val="32"/>
          <w:highlight w:val="none"/>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2717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eastAsia="仿宋_GB2312" w:cs="Times New Roman"/>
          <w:sz w:val="32"/>
          <w:szCs w:val="32"/>
          <w:highlight w:val="none"/>
          <w:lang w:val="en-US" w:eastAsia="zh-CN"/>
        </w:rPr>
        <w:t>酱油</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w:t>
      </w:r>
      <w:r>
        <w:rPr>
          <w:rFonts w:hint="eastAsia" w:ascii="Times New Roman" w:hAnsi="Times New Roman" w:eastAsia="仿宋_GB2312" w:cs="Times New Roman"/>
          <w:sz w:val="32"/>
          <w:szCs w:val="32"/>
          <w:highlight w:val="none"/>
        </w:rPr>
        <w:t>过</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mL</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《食品安全国家标准 糕点、面包》（GB 7099—2015）中规定</w:t>
      </w:r>
      <w:r>
        <w:rPr>
          <w:rFonts w:hint="eastAsia" w:ascii="Calibri" w:hAnsi="Calibri" w:eastAsia="仿宋_GB2312" w:cs="Times New Roman"/>
          <w:sz w:val="32"/>
          <w:szCs w:val="32"/>
          <w:highlight w:val="none"/>
          <w:lang w:eastAsia="zh-CN"/>
        </w:rPr>
        <w:t>，</w:t>
      </w:r>
      <w:r>
        <w:rPr>
          <w:rFonts w:hint="eastAsia" w:ascii="Calibri" w:hAnsi="Calibri" w:eastAsia="仿宋_GB2312" w:cs="Times New Roman"/>
          <w:sz w:val="32"/>
          <w:szCs w:val="32"/>
          <w:highlight w:val="none"/>
          <w:lang w:val="en-US" w:eastAsia="zh-CN"/>
        </w:rPr>
        <w:t>糕点同一批次</w:t>
      </w:r>
      <w:r>
        <w:rPr>
          <w:rFonts w:hint="default" w:ascii="Times New Roman" w:hAnsi="Times New Roman" w:eastAsia="仿宋_GB2312" w:cs="Times New Roman"/>
          <w:sz w:val="32"/>
          <w:szCs w:val="32"/>
          <w:highlight w:val="none"/>
          <w:lang w:val="en-US" w:eastAsia="zh-CN"/>
        </w:rPr>
        <w:t>5个</w:t>
      </w:r>
      <w:r>
        <w:rPr>
          <w:rFonts w:hint="eastAsia" w:ascii="Calibri" w:hAnsi="Calibri" w:eastAsia="仿宋_GB2312" w:cs="Times New Roman"/>
          <w:sz w:val="32"/>
          <w:szCs w:val="32"/>
          <w:highlight w:val="none"/>
          <w:lang w:val="en-US" w:eastAsia="zh-CN"/>
        </w:rPr>
        <w:t>样品的</w:t>
      </w:r>
      <w:r>
        <w:rPr>
          <w:rFonts w:hint="eastAsia" w:ascii="Calibri" w:hAnsi="Calibri" w:eastAsia="仿宋_GB2312" w:cs="Times New Roman"/>
          <w:sz w:val="32"/>
          <w:szCs w:val="32"/>
          <w:highlight w:val="none"/>
          <w:lang w:eastAsia="zh-CN"/>
        </w:rPr>
        <w:t>菌落总数</w:t>
      </w:r>
      <w:r>
        <w:rPr>
          <w:rFonts w:hint="eastAsia" w:ascii="Calibri" w:hAnsi="Calibri" w:eastAsia="仿宋_GB2312" w:cs="Times New Roman"/>
          <w:sz w:val="32"/>
          <w:szCs w:val="32"/>
          <w:highlight w:val="none"/>
          <w:lang w:val="en-US" w:eastAsia="zh-CN"/>
        </w:rPr>
        <w:t>检验</w:t>
      </w:r>
      <w:r>
        <w:rPr>
          <w:rFonts w:hint="eastAsia" w:ascii="Calibri" w:hAnsi="Calibri" w:eastAsia="仿宋_GB2312" w:cs="Times New Roman"/>
          <w:sz w:val="32"/>
          <w:szCs w:val="32"/>
          <w:highlight w:val="none"/>
          <w:lang w:eastAsia="zh-CN"/>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Times New Roman" w:hAnsi="Times New Roman" w:eastAsia="仿宋_GB2312" w:cs="Times New Roman"/>
          <w:sz w:val="32"/>
          <w:szCs w:val="32"/>
          <w:highlight w:val="none"/>
          <w:lang w:eastAsia="zh-CN"/>
        </w:rPr>
        <w:t>。</w:t>
      </w:r>
      <w:r>
        <w:rPr>
          <w:rFonts w:hint="eastAsia" w:ascii="等线" w:hAnsi="等线" w:eastAsia="仿宋_GB2312" w:cs="Times New Roman"/>
          <w:sz w:val="32"/>
          <w:szCs w:val="32"/>
          <w:highlight w:val="none"/>
          <w:lang w:val="en-US" w:eastAsia="zh-CN"/>
        </w:rPr>
        <w:t>酱油、糕点</w:t>
      </w:r>
      <w:r>
        <w:rPr>
          <w:rFonts w:ascii="Times New Roman" w:hAnsi="Times New Roman" w:eastAsia="仿宋_GB2312" w:cs="Times New Roman"/>
          <w:sz w:val="32"/>
          <w:szCs w:val="32"/>
          <w:highlight w:val="none"/>
        </w:rPr>
        <w:t>中</w:t>
      </w:r>
      <w:r>
        <w:rPr>
          <w:rFonts w:ascii="Times New Roman" w:hAnsi="Times New Roman" w:eastAsia="仿宋_GB2312" w:cs="Times New Roman"/>
          <w:spacing w:val="-4"/>
          <w:sz w:val="32"/>
          <w:szCs w:val="32"/>
          <w:highlight w:val="none"/>
        </w:rPr>
        <w:t>菌</w:t>
      </w:r>
      <w:r>
        <w:rPr>
          <w:rFonts w:ascii="Times New Roman" w:hAnsi="Times New Roman" w:eastAsia="仿宋_GB2312" w:cs="Times New Roman"/>
          <w:sz w:val="32"/>
          <w:szCs w:val="32"/>
          <w:highlight w:val="none"/>
        </w:rPr>
        <w:t>落总数超标</w:t>
      </w:r>
      <w:r>
        <w:rPr>
          <w:rFonts w:hint="eastAsia" w:ascii="Times New Roman" w:hAnsi="Times New Roman" w:eastAsia="仿宋_GB2312" w:cs="Times New Roman"/>
          <w:sz w:val="32"/>
          <w:szCs w:val="32"/>
          <w:highlight w:val="none"/>
          <w:lang w:eastAsia="zh-CN"/>
        </w:rPr>
        <w:t>的原因，</w:t>
      </w:r>
      <w:r>
        <w:rPr>
          <w:rFonts w:hint="eastAsia" w:ascii="Times New Roman" w:hAnsi="Times New Roman" w:eastAsia="仿宋_GB2312" w:cs="Times New Roman"/>
          <w:sz w:val="32"/>
          <w:szCs w:val="32"/>
          <w:highlight w:val="none"/>
        </w:rPr>
        <w:t>可能是企业未按要求严格控制生产加工过程的卫生条件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或者包装容器清洗消毒不到位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也可能与产品包装密封不严或储运条件不当等有关。</w:t>
      </w:r>
    </w:p>
    <w:p>
      <w:pPr>
        <w:spacing w:line="594" w:lineRule="exact"/>
        <w:ind w:firstLine="572" w:firstLineChars="200"/>
        <w:rPr>
          <w:rFonts w:hint="eastAsia" w:ascii="Times New Roman" w:hAnsi="Times New Roman" w:eastAsia="黑体" w:cs="Times New Roman"/>
          <w:spacing w:val="-12"/>
          <w:sz w:val="32"/>
          <w:szCs w:val="32"/>
          <w:highlight w:val="none"/>
          <w:lang w:val="en-US" w:eastAsia="zh-CN"/>
        </w:rPr>
      </w:pPr>
      <w:r>
        <w:rPr>
          <w:rFonts w:hint="eastAsia" w:ascii="黑体" w:hAnsi="黑体" w:eastAsia="黑体" w:cs="黑体"/>
          <w:color w:val="auto"/>
          <w:spacing w:val="-17"/>
          <w:sz w:val="32"/>
          <w:szCs w:val="32"/>
          <w:highlight w:val="none"/>
          <w:lang w:val="en-US" w:eastAsia="zh-CN"/>
        </w:rPr>
        <w:t>十五</w:t>
      </w:r>
      <w:r>
        <w:rPr>
          <w:rFonts w:hint="eastAsia" w:ascii="黑体" w:hAnsi="黑体" w:eastAsia="黑体" w:cs="黑体"/>
          <w:color w:val="auto"/>
          <w:spacing w:val="-17"/>
          <w:sz w:val="32"/>
          <w:szCs w:val="32"/>
          <w:highlight w:val="none"/>
        </w:rPr>
        <w:t>、</w:t>
      </w:r>
      <w:r>
        <w:rPr>
          <w:rFonts w:hint="eastAsia" w:ascii="Times New Roman" w:hAnsi="Times New Roman" w:eastAsia="黑体" w:cs="Times New Roman"/>
          <w:spacing w:val="-12"/>
          <w:sz w:val="32"/>
          <w:szCs w:val="32"/>
          <w:highlight w:val="none"/>
          <w:lang w:val="en-US" w:eastAsia="zh-CN"/>
        </w:rPr>
        <w:t>全氮（以氮计）</w:t>
      </w:r>
    </w:p>
    <w:p>
      <w:pPr>
        <w:pStyle w:val="9"/>
        <w:spacing w:after="0" w:line="594" w:lineRule="exact"/>
        <w:ind w:firstLine="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z w:val="32"/>
          <w:szCs w:val="32"/>
          <w:lang w:val="en-US" w:eastAsia="zh-CN"/>
        </w:rPr>
        <w:t>全氮是酱油的品质指标之一，反映了酱油中蛋白质、氨基酸、肽等含量的高低。全氮不合格主要影响产品的风味。《</w:t>
      </w:r>
      <w:r>
        <w:rPr>
          <w:rFonts w:hint="eastAsia" w:ascii="Times New Roman" w:hAnsi="Times New Roman" w:eastAsia="仿宋_GB2312" w:cs="Times New Roman"/>
          <w:sz w:val="32"/>
          <w:szCs w:val="32"/>
          <w:lang w:val="en-US" w:eastAsia="zh-CN"/>
        </w:rPr>
        <w:t>酿造酱油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GB/T 18186</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）中规定</w:t>
      </w:r>
      <w:r>
        <w:rPr>
          <w:rFonts w:hint="eastAsia" w:ascii="Times New Roman" w:hAnsi="Times New Roman" w:eastAsia="仿宋_GB2312" w:cs="Times New Roman"/>
          <w:sz w:val="32"/>
          <w:szCs w:val="32"/>
          <w:lang w:val="en-US" w:eastAsia="zh-CN"/>
        </w:rPr>
        <w:t>，特级高盐稀态发酵酱油</w:t>
      </w:r>
      <w:r>
        <w:rPr>
          <w:rFonts w:hint="default" w:ascii="Times New Roman" w:hAnsi="Times New Roman" w:eastAsia="仿宋_GB2312" w:cs="Times New Roman"/>
          <w:sz w:val="32"/>
          <w:szCs w:val="32"/>
          <w:lang w:val="en-US" w:eastAsia="zh-CN"/>
        </w:rPr>
        <w:t>全氮（以氮计）</w:t>
      </w:r>
      <w:r>
        <w:rPr>
          <w:rFonts w:hint="eastAsia" w:ascii="Times New Roman" w:hAnsi="Times New Roman" w:eastAsia="仿宋_GB2312" w:cs="Times New Roman"/>
          <w:sz w:val="32"/>
          <w:szCs w:val="32"/>
          <w:lang w:val="en-US" w:eastAsia="zh-CN"/>
        </w:rPr>
        <w:t>≥1.50g/100mL。</w:t>
      </w:r>
      <w:r>
        <w:rPr>
          <w:rFonts w:hint="default" w:ascii="Times New Roman" w:hAnsi="Times New Roman" w:eastAsia="仿宋_GB2312" w:cs="Times New Roman"/>
          <w:sz w:val="32"/>
          <w:szCs w:val="32"/>
          <w:lang w:val="en-US" w:eastAsia="zh-CN"/>
        </w:rPr>
        <w:t>酱油中</w:t>
      </w:r>
      <w:bookmarkStart w:id="0" w:name="OLE_LINK3"/>
      <w:r>
        <w:rPr>
          <w:rFonts w:hint="default" w:ascii="Times New Roman" w:hAnsi="Times New Roman" w:eastAsia="仿宋_GB2312" w:cs="Times New Roman"/>
          <w:sz w:val="32"/>
          <w:szCs w:val="32"/>
          <w:lang w:val="en-US" w:eastAsia="zh-CN"/>
        </w:rPr>
        <w:t>全氮（以氮计）</w:t>
      </w:r>
      <w:bookmarkEnd w:id="0"/>
      <w:r>
        <w:rPr>
          <w:rFonts w:hint="default" w:ascii="Times New Roman" w:hAnsi="Times New Roman" w:eastAsia="仿宋_GB2312" w:cs="Times New Roman"/>
          <w:sz w:val="32"/>
          <w:szCs w:val="32"/>
          <w:lang w:val="en-US" w:eastAsia="zh-CN"/>
        </w:rPr>
        <w:t>含量不达标的原因，可能是原料采购环节质量把关不严；也可能是企业生产工艺控制不严，如酿造周期未达要求；还可能是企业在生产过程中为降低成本而涉嫌掺假。</w:t>
      </w:r>
    </w:p>
    <w:p>
      <w:pPr>
        <w:spacing w:line="594" w:lineRule="exact"/>
        <w:ind w:firstLine="640" w:firstLineChars="200"/>
        <w:rPr>
          <w:rFonts w:hint="eastAsia" w:eastAsia="黑体"/>
          <w:spacing w:val="-12"/>
          <w:sz w:val="32"/>
          <w:szCs w:val="32"/>
          <w:lang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eastAsia="黑体"/>
          <w:spacing w:val="-12"/>
          <w:sz w:val="32"/>
          <w:szCs w:val="32"/>
          <w:lang w:eastAsia="zh-CN"/>
        </w:rPr>
        <w:t>诺氟沙星</w:t>
      </w:r>
    </w:p>
    <w:p>
      <w:pPr>
        <w:spacing w:line="594"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诺氟沙星属于第三代喹诺酮类抗菌药物，具有抗菌谱广、抗菌作用强、半衰期短、体内分布广、不易产生耐药性且与同类药物之间不存在交叉耐药等优点。长期大量摄入诺氟沙星残留超标的食品，可能在人体内蓄积，影响人体健康。《食品安全国家标准 食品中41种兽药最大残留限量》（GB 31650.1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sz w:val="32"/>
          <w:szCs w:val="32"/>
        </w:rPr>
        <w:t>2022）中规定，蜂蜜中诺氟沙星最</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残留限量</w:t>
      </w:r>
      <w:r>
        <w:rPr>
          <w:rFonts w:hint="default" w:ascii="Times New Roman" w:hAnsi="Times New Roman" w:eastAsia="仿宋_GB2312" w:cs="Times New Roman"/>
          <w:sz w:val="32"/>
          <w:szCs w:val="32"/>
          <w:lang w:eastAsia="zh-CN"/>
        </w:rPr>
        <w:t>值</w:t>
      </w:r>
      <w:r>
        <w:rPr>
          <w:rFonts w:hint="default" w:ascii="Times New Roman" w:hAnsi="Times New Roman" w:eastAsia="仿宋_GB2312" w:cs="Times New Roman"/>
          <w:sz w:val="32"/>
          <w:szCs w:val="32"/>
        </w:rPr>
        <w:t>为5µg/kg。蜂蜜中</w:t>
      </w:r>
      <w:r>
        <w:rPr>
          <w:rFonts w:hint="default" w:ascii="Times New Roman" w:hAnsi="Times New Roman" w:eastAsia="仿宋_GB2312" w:cs="Times New Roman"/>
          <w:sz w:val="32"/>
          <w:szCs w:val="32"/>
          <w:lang w:eastAsia="zh-CN"/>
        </w:rPr>
        <w:t>诺氟沙星残留量</w:t>
      </w:r>
      <w:r>
        <w:rPr>
          <w:rFonts w:hint="default" w:ascii="Times New Roman" w:hAnsi="Times New Roman" w:eastAsia="仿宋_GB2312" w:cs="Times New Roman"/>
          <w:sz w:val="32"/>
          <w:szCs w:val="32"/>
        </w:rPr>
        <w:t>超标的原因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可能是蜂农在养殖</w:t>
      </w:r>
      <w:r>
        <w:rPr>
          <w:rFonts w:hint="default" w:ascii="Times New Roman" w:hAnsi="Times New Roman" w:eastAsia="仿宋_GB2312" w:cs="Times New Roman"/>
          <w:sz w:val="32"/>
          <w:szCs w:val="32"/>
          <w:lang w:eastAsia="zh-CN"/>
        </w:rPr>
        <w:t>过程</w:t>
      </w:r>
      <w:r>
        <w:rPr>
          <w:rFonts w:hint="default" w:ascii="Times New Roman" w:hAnsi="Times New Roman" w:eastAsia="仿宋_GB2312" w:cs="Times New Roman"/>
          <w:sz w:val="32"/>
          <w:szCs w:val="32"/>
        </w:rPr>
        <w:t>中违规使用</w:t>
      </w:r>
      <w:r>
        <w:rPr>
          <w:rFonts w:hint="default" w:ascii="Times New Roman" w:hAnsi="Times New Roman" w:eastAsia="仿宋_GB2312" w:cs="Times New Roman"/>
          <w:sz w:val="32"/>
          <w:szCs w:val="32"/>
          <w:lang w:eastAsia="zh-CN"/>
        </w:rPr>
        <w:t>兽药</w:t>
      </w:r>
      <w:r>
        <w:rPr>
          <w:rFonts w:hint="default" w:ascii="Times New Roman" w:hAnsi="Times New Roman" w:eastAsia="仿宋_GB2312" w:cs="Times New Roman"/>
          <w:sz w:val="32"/>
          <w:szCs w:val="32"/>
        </w:rPr>
        <w:t>。</w:t>
      </w:r>
    </w:p>
    <w:p>
      <w:pPr>
        <w:spacing w:line="594" w:lineRule="exact"/>
        <w:ind w:firstLine="592" w:firstLineChars="200"/>
        <w:rPr>
          <w:rFonts w:hint="default" w:ascii="仿宋_GB2312" w:eastAsia="黑体"/>
          <w:sz w:val="32"/>
          <w:szCs w:val="32"/>
          <w:lang w:val="en-US" w:eastAsia="zh-CN"/>
        </w:rPr>
      </w:pPr>
      <w:r>
        <w:rPr>
          <w:rFonts w:hint="eastAsia" w:eastAsia="黑体"/>
          <w:spacing w:val="-12"/>
          <w:sz w:val="32"/>
          <w:szCs w:val="32"/>
          <w:lang w:val="en-US" w:eastAsia="zh-CN"/>
        </w:rPr>
        <w:t>十七、氧乐果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氧乐果是一种广谱高效的内吸性有机磷农药，有良好的触杀和胃毒作用。长期泡饮氧乐果超标的茶叶，可能对人体健康有一定危害。中华人民共和国农业农村部《禁限用农药名录》中明确，禁止在茶树上使用氧乐果；《食品安全国家标准 食品中农药最大残留限量》（GB 2763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2021）中规定，茶叶中氧乐果最大残留限量为0.05mg/kg。茶叶中氧乐果</w:t>
      </w:r>
      <w:r>
        <w:rPr>
          <w:rFonts w:hint="eastAsia" w:ascii="Times New Roman" w:hAnsi="Times New Roman" w:eastAsia="仿宋_GB2312" w:cs="Times New Roman"/>
          <w:sz w:val="32"/>
          <w:szCs w:val="32"/>
          <w:lang w:val="en-US" w:eastAsia="zh-CN"/>
        </w:rPr>
        <w:t>残留量</w:t>
      </w:r>
      <w:r>
        <w:rPr>
          <w:rFonts w:hint="default" w:ascii="Times New Roman" w:hAnsi="Times New Roman" w:eastAsia="仿宋_GB2312" w:cs="Times New Roman"/>
          <w:sz w:val="32"/>
          <w:szCs w:val="32"/>
          <w:lang w:val="en-US" w:eastAsia="zh-CN"/>
        </w:rPr>
        <w:t>超标的原因，可能是茶农</w:t>
      </w:r>
      <w:r>
        <w:rPr>
          <w:rFonts w:hint="default" w:ascii="Times New Roman" w:hAnsi="Times New Roman" w:eastAsia="仿宋_GB2312" w:cs="Times New Roman"/>
          <w:color w:val="auto"/>
          <w:sz w:val="32"/>
          <w:szCs w:val="32"/>
          <w:highlight w:val="none"/>
          <w:lang w:val="en-US" w:eastAsia="zh-CN"/>
        </w:rPr>
        <w:t>在种植过程中违规使用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十八</w:t>
      </w:r>
      <w:r>
        <w:rPr>
          <w:rFonts w:hint="default" w:ascii="Times New Roman" w:hAnsi="Times New Roman" w:eastAsia="黑体" w:cs="Times New Roman"/>
          <w:color w:val="auto"/>
          <w:spacing w:val="0"/>
          <w:sz w:val="32"/>
          <w:szCs w:val="32"/>
          <w:highlight w:val="none"/>
        </w:rPr>
        <w:t>、</w:t>
      </w:r>
      <w:r>
        <w:rPr>
          <w:rFonts w:hint="default" w:ascii="Times New Roman" w:hAnsi="Times New Roman" w:eastAsia="黑体" w:cs="Times New Roman"/>
          <w:color w:val="auto"/>
          <w:spacing w:val="0"/>
          <w:sz w:val="32"/>
          <w:szCs w:val="32"/>
          <w:lang w:val="en-US" w:eastAsia="zh-CN"/>
        </w:rPr>
        <w:t>铅</w:t>
      </w:r>
      <w:r>
        <w:rPr>
          <w:rFonts w:hint="default" w:ascii="Times New Roman" w:hAnsi="Times New Roman" w:eastAsia="黑体" w:cs="Times New Roman"/>
          <w:color w:val="auto"/>
          <w:kern w:val="2"/>
          <w:sz w:val="32"/>
          <w:szCs w:val="32"/>
          <w:lang w:val="en-US" w:eastAsia="zh-CN" w:bidi="ar-SA"/>
        </w:rPr>
        <w:t>（以Pb计）</w:t>
      </w:r>
    </w:p>
    <w:p>
      <w:pPr>
        <w:adjustRightInd w:val="0"/>
        <w:spacing w:line="594"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《食品安全国家标准 食品中污染物限量》（GB 2762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固体饮料</w:t>
      </w:r>
      <w:r>
        <w:rPr>
          <w:rFonts w:hint="default" w:ascii="Times New Roman" w:hAnsi="Times New Roman" w:eastAsia="仿宋_GB2312" w:cs="Times New Roman"/>
          <w:sz w:val="32"/>
          <w:szCs w:val="32"/>
        </w:rPr>
        <w:t>中铅（以Pb计）的限量值为</w:t>
      </w:r>
      <w:r>
        <w:rPr>
          <w:rFonts w:hint="eastAsia" w:ascii="宋体" w:hAnsi="宋体" w:eastAsia="宋体" w:cs="宋体"/>
          <w:sz w:val="32"/>
          <w:szCs w:val="32"/>
          <w:lang w:val="en-US" w:eastAsia="zh-CN"/>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固体饮料</w:t>
      </w:r>
      <w:r>
        <w:rPr>
          <w:rFonts w:hint="default" w:ascii="Times New Roman" w:hAnsi="Times New Roman" w:eastAsia="仿宋_GB2312" w:cs="Times New Roman"/>
          <w:sz w:val="32"/>
          <w:szCs w:val="32"/>
        </w:rPr>
        <w:t>中铅（以Pb计）检</w:t>
      </w:r>
      <w:r>
        <w:rPr>
          <w:rFonts w:hint="eastAsia" w:ascii="Times New Roman" w:hAnsi="Times New Roman" w:eastAsia="仿宋_GB2312" w:cs="Times New Roman"/>
          <w:sz w:val="32"/>
          <w:szCs w:val="32"/>
          <w:lang w:val="en-US" w:eastAsia="zh-CN"/>
        </w:rPr>
        <w:t>验</w:t>
      </w:r>
      <w:r>
        <w:rPr>
          <w:rFonts w:hint="default" w:ascii="Times New Roman" w:hAnsi="Times New Roman" w:eastAsia="仿宋_GB2312" w:cs="Times New Roman"/>
          <w:sz w:val="32"/>
          <w:szCs w:val="32"/>
        </w:rPr>
        <w:t>值超标的原因，可能是生产企业使用的原料中铅含量</w:t>
      </w:r>
      <w:r>
        <w:rPr>
          <w:rFonts w:hint="eastAsia" w:ascii="Times New Roman" w:hAnsi="Times New Roman" w:eastAsia="仿宋_GB2312" w:cs="Times New Roman"/>
          <w:sz w:val="32"/>
          <w:szCs w:val="32"/>
          <w:lang w:val="en-US" w:eastAsia="zh-CN"/>
        </w:rPr>
        <w:t>较高导致铅</w:t>
      </w:r>
      <w:r>
        <w:rPr>
          <w:rFonts w:hint="default" w:ascii="Times New Roman" w:hAnsi="Times New Roman" w:eastAsia="仿宋_GB2312" w:cs="Times New Roman"/>
          <w:sz w:val="32"/>
          <w:szCs w:val="32"/>
        </w:rPr>
        <w:t>超标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也可能是生产设备的铅迁移带入。</w:t>
      </w:r>
    </w:p>
    <w:p>
      <w:pPr>
        <w:spacing w:line="594" w:lineRule="exact"/>
        <w:ind w:firstLine="640" w:firstLineChars="200"/>
        <w:rPr>
          <w:rFonts w:hint="eastAsia" w:ascii="黑体" w:hAnsi="黑体" w:eastAsia="黑体" w:cs="黑体"/>
          <w:spacing w:val="-12"/>
          <w:kern w:val="2"/>
          <w:sz w:val="32"/>
          <w:szCs w:val="32"/>
        </w:rPr>
      </w:pPr>
      <w:r>
        <w:rPr>
          <w:rFonts w:hint="eastAsia" w:ascii="黑体" w:hAnsi="黑体" w:eastAsia="黑体" w:cs="黑体"/>
          <w:color w:val="auto"/>
          <w:kern w:val="2"/>
          <w:sz w:val="32"/>
          <w:szCs w:val="32"/>
          <w:highlight w:val="none"/>
          <w:lang w:val="en-US" w:eastAsia="zh-CN" w:bidi="ar-SA"/>
        </w:rPr>
        <w:t>十九、</w:t>
      </w:r>
      <w:r>
        <w:rPr>
          <w:rFonts w:hint="eastAsia" w:ascii="黑体" w:hAnsi="黑体" w:eastAsia="黑体" w:cs="黑体"/>
          <w:spacing w:val="-12"/>
          <w:kern w:val="2"/>
          <w:sz w:val="32"/>
          <w:szCs w:val="32"/>
        </w:rPr>
        <w:t>苯并［</w:t>
      </w:r>
      <w:r>
        <w:rPr>
          <w:rFonts w:hint="default" w:ascii="Times New Roman" w:hAnsi="Times New Roman" w:eastAsia="黑体" w:cs="Times New Roman"/>
          <w:spacing w:val="-12"/>
          <w:kern w:val="2"/>
          <w:sz w:val="32"/>
          <w:szCs w:val="32"/>
        </w:rPr>
        <w:t>a</w:t>
      </w:r>
      <w:r>
        <w:rPr>
          <w:rFonts w:hint="eastAsia" w:ascii="黑体" w:hAnsi="黑体" w:eastAsia="黑体" w:cs="黑体"/>
          <w:spacing w:val="-12"/>
          <w:kern w:val="2"/>
          <w:sz w:val="32"/>
          <w:szCs w:val="32"/>
        </w:rPr>
        <w:t>］芘</w:t>
      </w:r>
    </w:p>
    <w:p>
      <w:pPr>
        <w:adjustRightInd/>
        <w:snapToGrid/>
        <w:spacing w:line="594"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苯并</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a</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芘是持久性有机污染物多环芳烃化合物的一种，化学性质较稳定，可能对人体健康产生潜在的不良影响。</w:t>
      </w:r>
      <w:r>
        <w:rPr>
          <w:rFonts w:hint="default" w:ascii="Times New Roman" w:hAnsi="Times New Roman" w:eastAsia="仿宋_GB2312" w:cs="Times New Roman"/>
          <w:sz w:val="32"/>
          <w:szCs w:val="32"/>
          <w:lang w:eastAsia="zh-CN"/>
        </w:rPr>
        <w:t>企业标准《冷榨菜籽胚芽油》（</w:t>
      </w:r>
      <w:r>
        <w:rPr>
          <w:rFonts w:hint="default" w:ascii="Times New Roman" w:hAnsi="Times New Roman" w:eastAsia="仿宋_GB2312" w:cs="Times New Roman"/>
          <w:sz w:val="32"/>
          <w:szCs w:val="32"/>
          <w:lang w:val="en-US" w:eastAsia="zh-CN"/>
        </w:rPr>
        <w:t>Q/YYCX0001S</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eastAsia="zh-CN"/>
        </w:rPr>
        <w:t>）中规定，冷榨菜籽胚芽油中苯并</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a</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芘的限量为</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μg/kg。食用植物油中苯并</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a</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芘</w:t>
      </w:r>
      <w:r>
        <w:rPr>
          <w:rFonts w:hint="eastAsia" w:ascii="Times New Roman" w:hAnsi="Times New Roman" w:eastAsia="仿宋_GB2312" w:cs="Times New Roman"/>
          <w:sz w:val="32"/>
          <w:szCs w:val="32"/>
          <w:lang w:val="en-US" w:eastAsia="zh-CN"/>
        </w:rPr>
        <w:t>检验值</w:t>
      </w:r>
      <w:r>
        <w:rPr>
          <w:rFonts w:hint="default" w:ascii="Times New Roman" w:hAnsi="Times New Roman" w:eastAsia="仿宋_GB2312" w:cs="Times New Roman"/>
          <w:sz w:val="32"/>
          <w:szCs w:val="32"/>
          <w:lang w:eastAsia="zh-CN"/>
        </w:rPr>
        <w:t>超标的原因，可能是</w:t>
      </w:r>
      <w:r>
        <w:rPr>
          <w:rFonts w:hint="default" w:ascii="Times New Roman" w:hAnsi="Times New Roman" w:eastAsia="仿宋_GB2312" w:cs="Times New Roman"/>
          <w:sz w:val="32"/>
          <w:szCs w:val="32"/>
        </w:rPr>
        <w:t>生产过程中对原料反复烘烤或蒸炒时，高温导致苯并</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a</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芘含量上升；也可能是加工过程中接触润滑油、使用不符合要求的浸提溶剂等造成污染</w:t>
      </w:r>
      <w:r>
        <w:rPr>
          <w:rFonts w:hint="default" w:ascii="Times New Roman" w:hAnsi="Times New Roman" w:eastAsia="仿宋_GB2312"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黑体" w:cs="Times New Roman"/>
          <w:spacing w:val="-12"/>
          <w:kern w:val="2"/>
          <w:sz w:val="32"/>
          <w:szCs w:val="32"/>
          <w:lang w:val="en-US" w:eastAsia="zh-CN" w:bidi="ar-SA"/>
        </w:rPr>
      </w:pPr>
      <w:r>
        <w:rPr>
          <w:rFonts w:hint="eastAsia" w:ascii="黑体" w:hAnsi="黑体" w:eastAsia="黑体" w:cs="黑体"/>
          <w:color w:val="auto"/>
          <w:sz w:val="32"/>
          <w:szCs w:val="32"/>
          <w:highlight w:val="none"/>
          <w:lang w:val="en-US" w:eastAsia="zh-CN"/>
        </w:rPr>
        <w:t>二十</w:t>
      </w:r>
      <w:r>
        <w:rPr>
          <w:rFonts w:hint="eastAsia" w:ascii="黑体" w:hAnsi="黑体" w:eastAsia="黑体" w:cs="黑体"/>
          <w:color w:val="auto"/>
          <w:sz w:val="32"/>
          <w:szCs w:val="32"/>
          <w:highlight w:val="none"/>
          <w:lang w:eastAsia="zh-CN"/>
        </w:rPr>
        <w:t>、</w:t>
      </w:r>
      <w:r>
        <w:rPr>
          <w:rFonts w:hint="eastAsia" w:ascii="Times New Roman" w:hAnsi="Times New Roman" w:eastAsia="黑体" w:cs="Times New Roman"/>
          <w:spacing w:val="-12"/>
          <w:kern w:val="2"/>
          <w:sz w:val="32"/>
          <w:szCs w:val="32"/>
          <w:lang w:val="en-US" w:eastAsia="zh-CN" w:bidi="ar-SA"/>
        </w:rPr>
        <w:t>蛋白质</w:t>
      </w:r>
    </w:p>
    <w:p>
      <w:pPr>
        <w:autoSpaceDE/>
        <w:spacing w:line="594" w:lineRule="exact"/>
        <w:ind w:firstLine="640" w:firstLineChars="200"/>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可能会导致营养不良、抵抗力下降。蛋白质是蛋白固体饮料的重要质量指标之一。《固体饮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29602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w:t>
      </w:r>
      <w:r>
        <w:rPr>
          <w:rFonts w:hint="eastAsia" w:ascii="Times New Roman" w:hAnsi="Times New Roman" w:eastAsia="仿宋_GB2312" w:cs="Times New Roman"/>
          <w:sz w:val="32"/>
          <w:szCs w:val="32"/>
          <w:highlight w:val="none"/>
          <w:lang w:val="en-US" w:eastAsia="zh-CN"/>
        </w:rPr>
        <w:t>）中规定，复合蛋白固体饮料蛋白质含量（质量分数）应≥0.7%</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复合蛋白固体饮料</w:t>
      </w:r>
      <w:r>
        <w:rPr>
          <w:rFonts w:hint="default" w:ascii="Times New Roman" w:hAnsi="Times New Roman" w:eastAsia="仿宋_GB2312" w:cs="Times New Roman"/>
          <w:sz w:val="32"/>
          <w:szCs w:val="32"/>
          <w:highlight w:val="none"/>
          <w:lang w:val="en-US" w:eastAsia="zh-CN"/>
        </w:rPr>
        <w:t>中蛋白质含量不达标的原因，可能是原辅料质量控制不严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也可能是企业未进行严格的出厂检验保证产品质量。</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592"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color w:val="auto"/>
          <w:spacing w:val="-12"/>
          <w:sz w:val="32"/>
          <w:szCs w:val="32"/>
          <w:highlight w:val="none"/>
          <w:lang w:val="en-US" w:eastAsia="zh-CN"/>
        </w:rPr>
        <w:t>二十一</w:t>
      </w:r>
      <w:r>
        <w:rPr>
          <w:rFonts w:hint="eastAsia" w:ascii="黑体" w:hAnsi="黑体" w:eastAsia="黑体" w:cs="黑体"/>
          <w:color w:val="auto"/>
          <w:spacing w:val="-12"/>
          <w:sz w:val="32"/>
          <w:szCs w:val="32"/>
          <w:highlight w:val="none"/>
        </w:rPr>
        <w:t>、</w:t>
      </w:r>
      <w:r>
        <w:rPr>
          <w:rFonts w:hint="eastAsia" w:ascii="黑体" w:hAnsi="黑体" w:eastAsia="黑体" w:cs="黑体"/>
          <w:szCs w:val="32"/>
          <w:highlight w:val="none"/>
          <w:lang w:eastAsia="zh-CN"/>
        </w:rPr>
        <w:t>过氧化值（以脂肪计）</w:t>
      </w:r>
    </w:p>
    <w:p>
      <w:pPr>
        <w:pStyle w:val="20"/>
        <w:spacing w:line="594" w:lineRule="exact"/>
        <w:ind w:firstLine="640" w:firstLineChars="200"/>
        <w:textAlignment w:val="baseline"/>
        <w:rPr>
          <w:rFonts w:hint="eastAsia" w:ascii="黑体" w:hAnsi="黑体" w:eastAsia="黑体" w:cs="Times New Roman"/>
          <w:sz w:val="32"/>
          <w:szCs w:val="32"/>
          <w:lang w:eastAsia="zh-CN"/>
        </w:rPr>
      </w:pPr>
      <w:r>
        <w:rPr>
          <w:rFonts w:hint="default" w:ascii="Times New Roman" w:hAnsi="Times New Roman" w:eastAsia="仿宋_GB2312" w:cs="Times New Roman"/>
          <w:color w:val="auto"/>
          <w:sz w:val="32"/>
          <w:szCs w:val="32"/>
          <w:lang w:val="en-US" w:eastAsia="zh-CN"/>
        </w:rPr>
        <w:t>过氧化值是油脂酸败的早期指标，主要反映油脂被氧化的程度。食用过氧化值超标的食品一般不会对人体健康造成损害，但长期食用过氧化值严重超标的食品可能导致肠胃不适、腹泻等。</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color w:val="auto"/>
          <w:sz w:val="32"/>
          <w:szCs w:val="32"/>
          <w:highlight w:val="none"/>
          <w:lang w:val="en-US" w:eastAsia="zh-CN"/>
        </w:rPr>
        <w:t>熟制葵花籽中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highlight w:val="none"/>
          <w:lang w:val="en-US" w:eastAsia="zh-CN"/>
        </w:rPr>
        <w:t>《食品安全国家标准 糕点、面包》（GB 7099—2015）中规定，糕点中过氧化值（以脂肪计）的最大限量值为0.25g/100g。</w:t>
      </w:r>
      <w:r>
        <w:rPr>
          <w:rFonts w:hint="eastAsia" w:ascii="Times New Roman" w:hAnsi="Times New Roman" w:eastAsia="仿宋_GB2312" w:cs="Times New Roman"/>
          <w:color w:val="auto"/>
          <w:sz w:val="32"/>
          <w:szCs w:val="32"/>
          <w:highlight w:val="none"/>
          <w:lang w:val="en-US" w:eastAsia="zh-CN"/>
        </w:rPr>
        <w:t>熟制葵花籽、糕点</w:t>
      </w:r>
      <w:r>
        <w:rPr>
          <w:rFonts w:hint="default" w:ascii="Times New Roman" w:hAnsi="Times New Roman" w:eastAsia="仿宋_GB2312" w:cs="Times New Roman"/>
          <w:color w:val="auto"/>
          <w:sz w:val="32"/>
          <w:szCs w:val="32"/>
          <w:lang w:val="en-US" w:eastAsia="zh-CN"/>
        </w:rPr>
        <w:t>中过氧化值（以脂肪计）检验值超标的原因，可能是原料中的脂肪已经被氧化；也可能与产品在储运过程中环境条件控制不当等有关。</w:t>
      </w:r>
    </w:p>
    <w:p>
      <w:pPr>
        <w:pStyle w:val="9"/>
        <w:keepNext w:val="0"/>
        <w:keepLines w:val="0"/>
        <w:pageBreakBefore w:val="0"/>
        <w:widowControl w:val="0"/>
        <w:kinsoku/>
        <w:wordWrap/>
        <w:overflowPunct/>
        <w:topLinePunct w:val="0"/>
        <w:autoSpaceDE/>
        <w:autoSpaceDN/>
        <w:bidi w:val="0"/>
        <w:adjustRightInd/>
        <w:snapToGrid/>
        <w:spacing w:after="0" w:line="594" w:lineRule="exact"/>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z w:val="32"/>
          <w:szCs w:val="32"/>
          <w:highlight w:val="none"/>
          <w:lang w:val="en-US" w:eastAsia="zh-CN"/>
        </w:rPr>
        <w:t>二十二、</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6</w:t>
      </w:r>
    </w:p>
    <w:p>
      <w:pPr>
        <w:pStyle w:val="9"/>
        <w:spacing w:after="0" w:line="594" w:lineRule="exact"/>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是一种水溶性维生素，参与人体内多种物质及能量代谢。长期缺乏维生素B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可能引起脂溢性皮炎、免疫功能降低等。</w:t>
      </w:r>
      <w:r>
        <w:rPr>
          <w:rFonts w:hint="eastAsia" w:ascii="Times New Roman" w:hAnsi="Times New Roman" w:eastAsia="仿宋_GB2312" w:cs="Times New Roman"/>
          <w:sz w:val="32"/>
          <w:szCs w:val="32"/>
          <w:lang w:val="en-US" w:eastAsia="zh-CN"/>
        </w:rPr>
        <w:t>企业标准</w:t>
      </w:r>
      <w:r>
        <w:rPr>
          <w:rFonts w:hint="default" w:ascii="Times New Roman" w:hAnsi="Times New Roman" w:eastAsia="仿宋_GB2312" w:cs="Times New Roman"/>
          <w:sz w:val="32"/>
          <w:szCs w:val="32"/>
          <w:lang w:val="en-US" w:eastAsia="zh-CN"/>
        </w:rPr>
        <w:t>《哈博力源牌褪黑素片》</w:t>
      </w:r>
      <w:r>
        <w:rPr>
          <w:rFonts w:hint="eastAsia" w:ascii="Times New Roman" w:hAnsi="Times New Roman" w:eastAsia="仿宋_GB2312" w:cs="Times New Roman"/>
          <w:sz w:val="32"/>
          <w:szCs w:val="32"/>
          <w:lang w:val="en-US" w:eastAsia="zh-CN"/>
        </w:rPr>
        <w:t>（Q/AHB 0059S</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sz w:val="32"/>
          <w:szCs w:val="32"/>
          <w:highlight w:val="none"/>
          <w:lang w:val="en-US" w:eastAsia="zh-CN"/>
        </w:rPr>
        <w:t>产品中</w:t>
      </w:r>
      <w:r>
        <w:rPr>
          <w:rFonts w:hint="default" w:ascii="Times New Roman" w:hAnsi="Times New Roman" w:eastAsia="仿宋_GB2312" w:cs="Times New Roman"/>
          <w:sz w:val="32"/>
          <w:szCs w:val="32"/>
          <w:lang w:val="en-US" w:eastAsia="zh-CN"/>
        </w:rPr>
        <w:t>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w:t>
      </w: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val="en-US" w:eastAsia="zh-CN"/>
        </w:rPr>
        <w:t>每100g</w:t>
      </w:r>
      <w:r>
        <w:rPr>
          <w:rFonts w:hint="eastAsia" w:ascii="Times New Roman" w:hAnsi="Times New Roman" w:eastAsia="仿宋_GB2312" w:cs="Times New Roman"/>
          <w:sz w:val="32"/>
          <w:szCs w:val="32"/>
          <w:lang w:val="en-US" w:eastAsia="zh-CN"/>
        </w:rPr>
        <w:t>计）应在320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500mg范围内；</w:t>
      </w:r>
      <w:r>
        <w:rPr>
          <w:rFonts w:hint="default" w:ascii="Times New Roman" w:hAnsi="Times New Roman" w:eastAsia="仿宋_GB2312" w:cs="Times New Roman"/>
          <w:sz w:val="32"/>
          <w:szCs w:val="32"/>
          <w:lang w:val="en-US" w:eastAsia="zh-CN"/>
        </w:rPr>
        <w:t>《食品安全国家标准 运动营养食品通则》（GB 24154—2015）中规定，运动营养食品中维生素B</w:t>
      </w:r>
      <w:r>
        <w:rPr>
          <w:rFonts w:hint="eastAsia"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含量（以每日计）应在0.2—2mg范围内，</w:t>
      </w:r>
      <w:r>
        <w:rPr>
          <w:rFonts w:hint="default" w:ascii="Times New Roman" w:hAnsi="Times New Roman" w:eastAsia="仿宋_GB2312" w:cs="Times New Roman"/>
          <w:sz w:val="32"/>
          <w:szCs w:val="32"/>
        </w:rPr>
        <w:t>《食品安全国家标准 预包装特殊膳食用食品标签》（GB 13432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保健</w:t>
      </w:r>
      <w:r>
        <w:rPr>
          <w:rFonts w:hint="default" w:ascii="Times New Roman" w:hAnsi="Times New Roman" w:eastAsia="仿宋_GB2312" w:cs="Times New Roman"/>
          <w:sz w:val="32"/>
          <w:szCs w:val="32"/>
          <w:lang w:val="en-US" w:eastAsia="zh-CN"/>
        </w:rPr>
        <w:t>食品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6</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9"/>
        <w:keepNext w:val="0"/>
        <w:keepLines w:val="0"/>
        <w:pageBreakBefore w:val="0"/>
        <w:widowControl w:val="0"/>
        <w:numPr>
          <w:ilvl w:val="0"/>
          <w:numId w:val="0"/>
        </w:numPr>
        <w:kinsoku/>
        <w:wordWrap/>
        <w:overflowPunct/>
        <w:topLinePunct w:val="0"/>
        <w:bidi w:val="0"/>
        <w:adjustRightInd/>
        <w:snapToGrid/>
        <w:spacing w:after="0" w:line="594" w:lineRule="exact"/>
        <w:ind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pacing w:val="0"/>
          <w:sz w:val="32"/>
          <w:szCs w:val="32"/>
          <w:lang w:val="en-US" w:eastAsia="zh-CN"/>
        </w:rPr>
        <w:t>水分</w:t>
      </w:r>
    </w:p>
    <w:p>
      <w:pPr>
        <w:adjustRightInd/>
        <w:snapToGrid/>
        <w:spacing w:line="594"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食品中水分含量影响产品的品质、风味及耐储藏性。合理的水分控制，可避免产品的功效成分或营养物质分解、酶解变质、霉变等，保持产品质量稳定。《食品安全国家标准 婴幼儿</w:t>
      </w:r>
      <w:r>
        <w:rPr>
          <w:rFonts w:hint="eastAsia" w:ascii="Times New Roman" w:hAnsi="Times New Roman" w:eastAsia="仿宋_GB2312" w:cs="Times New Roman"/>
          <w:sz w:val="32"/>
          <w:szCs w:val="32"/>
          <w:lang w:val="en-US" w:eastAsia="zh-CN"/>
        </w:rPr>
        <w:t>谷类</w:t>
      </w:r>
      <w:r>
        <w:rPr>
          <w:rFonts w:hint="default" w:ascii="Times New Roman" w:hAnsi="Times New Roman" w:eastAsia="仿宋_GB2312" w:cs="Times New Roman"/>
          <w:sz w:val="32"/>
          <w:szCs w:val="32"/>
          <w:lang w:val="en-US" w:eastAsia="zh-CN"/>
        </w:rPr>
        <w:t>辅助食品》（GB 107</w:t>
      </w:r>
      <w:r>
        <w:rPr>
          <w:rFonts w:hint="eastAsia" w:ascii="Times New Roman" w:hAnsi="Times New Roman" w:eastAsia="仿宋_GB2312" w:cs="Times New Roman"/>
          <w:sz w:val="32"/>
          <w:szCs w:val="32"/>
          <w:lang w:val="en-US" w:eastAsia="zh-CN"/>
        </w:rPr>
        <w:t>69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2010）中规定，婴幼儿</w:t>
      </w:r>
      <w:r>
        <w:rPr>
          <w:rFonts w:hint="eastAsia" w:ascii="Times New Roman" w:hAnsi="Times New Roman" w:eastAsia="仿宋_GB2312" w:cs="Times New Roman"/>
          <w:sz w:val="32"/>
          <w:szCs w:val="32"/>
          <w:lang w:val="en-US" w:eastAsia="zh-CN"/>
        </w:rPr>
        <w:t>饼干</w:t>
      </w:r>
      <w:r>
        <w:rPr>
          <w:rFonts w:hint="default"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lang w:val="en-US" w:eastAsia="zh-CN"/>
        </w:rPr>
        <w:t>水分指标不应高于6.0%。婴幼儿饼干中</w:t>
      </w:r>
      <w:r>
        <w:rPr>
          <w:rFonts w:hint="default" w:ascii="Times New Roman" w:hAnsi="Times New Roman" w:eastAsia="仿宋_GB2312" w:cs="Times New Roman"/>
          <w:sz w:val="32"/>
          <w:szCs w:val="32"/>
          <w:lang w:val="en-US" w:eastAsia="zh-CN"/>
        </w:rPr>
        <w:t>水分</w:t>
      </w:r>
      <w:r>
        <w:rPr>
          <w:rFonts w:hint="eastAsia" w:ascii="Times New Roman" w:hAnsi="Times New Roman" w:eastAsia="仿宋_GB2312" w:cs="Times New Roman"/>
          <w:sz w:val="32"/>
          <w:szCs w:val="32"/>
          <w:lang w:val="en-US" w:eastAsia="zh-CN"/>
        </w:rPr>
        <w:t>检验值不合格的原因，</w:t>
      </w:r>
      <w:r>
        <w:rPr>
          <w:rFonts w:hint="default" w:ascii="Times New Roman" w:hAnsi="Times New Roman" w:eastAsia="仿宋_GB2312" w:cs="Times New Roman"/>
          <w:sz w:val="32"/>
          <w:szCs w:val="32"/>
          <w:lang w:val="en-US" w:eastAsia="zh-CN"/>
        </w:rPr>
        <w:t>可能</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lang w:val="en-US" w:eastAsia="zh-CN"/>
        </w:rPr>
        <w:t>生产企业</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原材料把关不严</w:t>
      </w:r>
      <w:r>
        <w:rPr>
          <w:rFonts w:hint="eastAsia"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lang w:val="en-US" w:eastAsia="zh-CN"/>
        </w:rPr>
        <w:t>加工或储</w:t>
      </w:r>
      <w:r>
        <w:rPr>
          <w:rFonts w:hint="eastAsia" w:ascii="Times New Roman" w:hAnsi="Times New Roman" w:eastAsia="仿宋_GB2312" w:cs="Times New Roman"/>
          <w:sz w:val="32"/>
          <w:szCs w:val="32"/>
          <w:lang w:val="en-US" w:eastAsia="zh-CN"/>
        </w:rPr>
        <w:t>运条件</w:t>
      </w:r>
      <w:r>
        <w:rPr>
          <w:rFonts w:hint="default" w:ascii="Times New Roman" w:hAnsi="Times New Roman" w:eastAsia="仿宋_GB2312" w:cs="Times New Roman"/>
          <w:sz w:val="32"/>
          <w:szCs w:val="32"/>
          <w:lang w:val="en-US" w:eastAsia="zh-CN"/>
        </w:rPr>
        <w:t>控制不当</w:t>
      </w:r>
      <w:r>
        <w:rPr>
          <w:rFonts w:hint="eastAsia" w:ascii="Times New Roman" w:hAnsi="Times New Roman" w:eastAsia="仿宋_GB2312" w:cs="Times New Roman"/>
          <w:sz w:val="32"/>
          <w:szCs w:val="32"/>
          <w:lang w:val="en-US" w:eastAsia="zh-CN"/>
        </w:rPr>
        <w:t>。</w:t>
      </w:r>
    </w:p>
    <w:p>
      <w:pPr>
        <w:pStyle w:val="9"/>
        <w:keepNext w:val="0"/>
        <w:keepLines w:val="0"/>
        <w:pageBreakBefore w:val="0"/>
        <w:widowControl w:val="0"/>
        <w:kinsoku/>
        <w:wordWrap/>
        <w:overflowPunct/>
        <w:topLinePunct w:val="0"/>
        <w:bidi w:val="0"/>
        <w:adjustRightInd/>
        <w:snapToGrid/>
        <w:spacing w:after="0"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12"/>
          <w:sz w:val="32"/>
          <w:szCs w:val="32"/>
          <w:highlight w:val="none"/>
          <w:lang w:val="en-US" w:eastAsia="zh-CN"/>
        </w:rPr>
        <w:t>二十四、</w:t>
      </w:r>
      <w:r>
        <w:rPr>
          <w:rFonts w:hint="default" w:ascii="Times New Roman" w:hAnsi="Times New Roman" w:eastAsia="黑体" w:cs="Times New Roman"/>
          <w:spacing w:val="0"/>
          <w:sz w:val="32"/>
          <w:szCs w:val="32"/>
          <w:lang w:val="en-US" w:eastAsia="zh-CN"/>
        </w:rPr>
        <w:t>维生素D</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维生素D是一种脂溶性维生素，可以维持血浆钙和磷的水平稳定，满足骨骼矿物质化、肌肉收缩、神经传导及细胞的基本功能。维生素D缺乏可能导致钙的吸收利用降低，出现佝偻病、骨软化症及骨质疏松等问题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维生素D过量可</w:t>
      </w:r>
      <w:r>
        <w:rPr>
          <w:rFonts w:hint="eastAsia" w:ascii="Times New Roman" w:hAnsi="Times New Roman" w:eastAsia="仿宋_GB2312" w:cs="Times New Roman"/>
          <w:sz w:val="32"/>
          <w:szCs w:val="32"/>
          <w:lang w:val="en-US" w:eastAsia="zh-CN"/>
        </w:rPr>
        <w:t>能</w:t>
      </w:r>
      <w:r>
        <w:rPr>
          <w:rFonts w:hint="default" w:ascii="Times New Roman" w:hAnsi="Times New Roman" w:eastAsia="仿宋_GB2312" w:cs="Times New Roman"/>
          <w:sz w:val="32"/>
          <w:szCs w:val="32"/>
          <w:lang w:val="en-US" w:eastAsia="zh-CN"/>
        </w:rPr>
        <w:t>引起高钙血症，导致钙、磷在软组织</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沉积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lang w:val="en-US" w:eastAsia="zh-CN"/>
        </w:rPr>
        <w:t>中规定，运动营养食品中</w:t>
      </w:r>
      <w:r>
        <w:rPr>
          <w:rFonts w:hint="default" w:ascii="Times New Roman" w:hAnsi="Times New Roman" w:eastAsia="仿宋_GB2312" w:cs="Times New Roman"/>
          <w:sz w:val="32"/>
          <w:szCs w:val="32"/>
          <w:lang w:val="en-US" w:eastAsia="zh-CN"/>
        </w:rPr>
        <w:t>维生素</w:t>
      </w:r>
      <w:r>
        <w:rPr>
          <w:rFonts w:hint="eastAsia" w:ascii="Times New Roman" w:hAnsi="Times New Roman" w:eastAsia="仿宋_GB2312" w:cs="Times New Roman"/>
          <w:sz w:val="32"/>
          <w:szCs w:val="32"/>
          <w:lang w:val="en-US" w:eastAsia="zh-CN"/>
        </w:rPr>
        <w:t>D含量</w:t>
      </w:r>
      <w:r>
        <w:rPr>
          <w:rFonts w:hint="default" w:ascii="Times New Roman" w:hAnsi="Times New Roman" w:eastAsia="仿宋_GB2312" w:cs="Times New Roman"/>
          <w:sz w:val="32"/>
          <w:szCs w:val="32"/>
          <w:lang w:val="en-US" w:eastAsia="zh-CN"/>
        </w:rPr>
        <w:t>（以每日计）应在</w:t>
      </w:r>
      <w:r>
        <w:rPr>
          <w:rFonts w:hint="eastAsia" w:ascii="Times New Roman" w:hAnsi="Times New Roman" w:eastAsia="仿宋_GB2312" w:cs="Times New Roman"/>
          <w:sz w:val="32"/>
          <w:szCs w:val="32"/>
          <w:lang w:val="en-US" w:eastAsia="zh-CN"/>
        </w:rPr>
        <w:t>1.5—10</w:t>
      </w:r>
      <w:r>
        <w:rPr>
          <w:rFonts w:hint="default" w:ascii="Times New Roman" w:hAnsi="Times New Roman" w:eastAsia="仿宋_GB2312" w:cs="Times New Roman"/>
          <w:sz w:val="32"/>
          <w:szCs w:val="32"/>
          <w:lang w:val="en-US" w:eastAsia="zh-CN"/>
        </w:rPr>
        <w:t>μg</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《食品安全国家标准 预包装特殊膳食用食品标签》（GB 13432—2013）中规定，在产品保质期内，能量和营养成分的实际含量不应低于标示值的80%。运动营养食品中维生素D含量不</w:t>
      </w:r>
      <w:r>
        <w:rPr>
          <w:rFonts w:hint="eastAsia" w:ascii="Times New Roman" w:hAnsi="Times New Roman" w:eastAsia="仿宋_GB2312" w:cs="Times New Roman"/>
          <w:sz w:val="32"/>
          <w:szCs w:val="32"/>
          <w:lang w:val="en-US" w:eastAsia="zh-CN"/>
        </w:rPr>
        <w:t>合格</w:t>
      </w:r>
      <w:r>
        <w:rPr>
          <w:rFonts w:hint="default" w:ascii="Times New Roman" w:hAnsi="Times New Roman" w:eastAsia="仿宋_GB2312" w:cs="Times New Roman"/>
          <w:sz w:val="32"/>
          <w:szCs w:val="32"/>
          <w:lang w:val="en-US" w:eastAsia="zh-CN"/>
        </w:rPr>
        <w:t>的原因，可能是原辅料用食品营养强化剂不符合质量要求</w:t>
      </w:r>
      <w:r>
        <w:rPr>
          <w:rFonts w:hint="eastAsia"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lang w:val="en-US" w:eastAsia="zh-CN"/>
        </w:rPr>
        <w:t>可能是生产工艺设置不合理；也可能是生产加工过程中搅拌不均匀；还可能是在加工或储存过程中损失。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auto"/>
          <w:spacing w:val="0"/>
          <w:sz w:val="32"/>
          <w:szCs w:val="32"/>
          <w:highlight w:val="none"/>
          <w:lang w:val="en-US" w:eastAsia="zh-CN"/>
        </w:rPr>
        <w:t>二十</w:t>
      </w:r>
      <w:r>
        <w:rPr>
          <w:rFonts w:hint="eastAsia" w:ascii="Times New Roman" w:hAnsi="Times New Roman" w:eastAsia="黑体" w:cs="Times New Roman"/>
          <w:color w:val="auto"/>
          <w:spacing w:val="0"/>
          <w:sz w:val="32"/>
          <w:szCs w:val="32"/>
          <w:highlight w:val="none"/>
          <w:lang w:val="en-US" w:eastAsia="zh-CN"/>
        </w:rPr>
        <w:t>五</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12"/>
          <w:sz w:val="32"/>
          <w:szCs w:val="32"/>
          <w:lang w:val="en-US" w:eastAsia="zh-CN"/>
        </w:rPr>
        <w:t>维生素C</w:t>
      </w:r>
    </w:p>
    <w:p>
      <w:pPr>
        <w:pStyle w:val="9"/>
        <w:widowControl w:val="0"/>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维生素C是一种水溶性维生素，在人体代谢过程中发挥重要作用。维生素C过量</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能产生泌尿结石等一些不良作用。《食品安全国家标准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lang w:val="en-US" w:eastAsia="zh-CN"/>
        </w:rPr>
        <w:t>中规定，运动营养食品中</w:t>
      </w:r>
      <w:r>
        <w:rPr>
          <w:rFonts w:hint="default" w:ascii="Times New Roman" w:hAnsi="Times New Roman" w:eastAsia="仿宋_GB2312" w:cs="Times New Roman"/>
          <w:sz w:val="32"/>
          <w:szCs w:val="32"/>
          <w:lang w:val="en-US" w:eastAsia="zh-CN"/>
        </w:rPr>
        <w:t>维生素</w:t>
      </w:r>
      <w:r>
        <w:rPr>
          <w:rFonts w:hint="eastAsia" w:ascii="Times New Roman" w:hAnsi="Times New Roman" w:eastAsia="仿宋_GB2312" w:cs="Times New Roman"/>
          <w:sz w:val="32"/>
          <w:szCs w:val="32"/>
          <w:lang w:val="en-US" w:eastAsia="zh-CN"/>
        </w:rPr>
        <w:t>C含量</w:t>
      </w:r>
      <w:r>
        <w:rPr>
          <w:rFonts w:hint="default" w:ascii="Times New Roman" w:hAnsi="Times New Roman" w:eastAsia="仿宋_GB2312" w:cs="Times New Roman"/>
          <w:sz w:val="32"/>
          <w:szCs w:val="32"/>
          <w:lang w:val="en-US" w:eastAsia="zh-CN"/>
        </w:rPr>
        <w:t>（以每日计）应在</w:t>
      </w:r>
      <w:r>
        <w:rPr>
          <w:rFonts w:hint="eastAsia" w:ascii="Times New Roman" w:hAnsi="Times New Roman" w:eastAsia="仿宋_GB2312" w:cs="Times New Roman"/>
          <w:sz w:val="32"/>
          <w:szCs w:val="32"/>
          <w:lang w:val="en-US" w:eastAsia="zh-CN"/>
        </w:rPr>
        <w:t>15—100m</w:t>
      </w:r>
      <w:r>
        <w:rPr>
          <w:rFonts w:hint="default" w:ascii="Times New Roman" w:hAnsi="Times New Roman" w:eastAsia="仿宋_GB2312" w:cs="Times New Roman"/>
          <w:sz w:val="32"/>
          <w:szCs w:val="32"/>
          <w:lang w:val="en-US" w:eastAsia="zh-CN"/>
        </w:rPr>
        <w:t>g</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2013）中规定，在产品保质期内，能量和营养成分的实际含量不应低于标示值的80%。运动营养食品中维生素C含量</w:t>
      </w:r>
      <w:r>
        <w:rPr>
          <w:rFonts w:hint="eastAsia" w:ascii="Times New Roman" w:hAnsi="Times New Roman" w:eastAsia="仿宋_GB2312" w:cs="Times New Roman"/>
          <w:sz w:val="32"/>
          <w:szCs w:val="32"/>
          <w:lang w:val="en-US" w:eastAsia="zh-CN"/>
        </w:rPr>
        <w:t>超标</w:t>
      </w:r>
      <w:r>
        <w:rPr>
          <w:rFonts w:hint="default" w:ascii="Times New Roman" w:hAnsi="Times New Roman" w:eastAsia="仿宋_GB2312" w:cs="Times New Roman"/>
          <w:sz w:val="32"/>
          <w:szCs w:val="32"/>
          <w:lang w:val="en-US" w:eastAsia="zh-CN"/>
        </w:rPr>
        <w:t>的原因，可能是生产工艺设置不合理；也可能是生产加工过程中搅拌不均匀。</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kern w:val="2"/>
          <w:sz w:val="32"/>
          <w:szCs w:val="32"/>
          <w:lang w:val="en-US" w:eastAsia="zh-CN" w:bidi="ar-SA"/>
        </w:rPr>
      </w:pPr>
      <w:r>
        <w:rPr>
          <w:rFonts w:hint="eastAsia" w:ascii="黑体" w:hAnsi="黑体" w:eastAsia="黑体" w:cs="黑体"/>
          <w:color w:val="auto"/>
          <w:spacing w:val="0"/>
          <w:sz w:val="32"/>
          <w:szCs w:val="32"/>
          <w:highlight w:val="none"/>
          <w:lang w:val="en-US" w:eastAsia="zh-CN"/>
        </w:rPr>
        <w:t>二十六、</w:t>
      </w:r>
      <w:r>
        <w:rPr>
          <w:rFonts w:hint="default" w:ascii="Times New Roman" w:hAnsi="Times New Roman" w:eastAsia="黑体" w:cs="Times New Roman"/>
          <w:spacing w:val="0"/>
          <w:kern w:val="2"/>
          <w:sz w:val="32"/>
          <w:szCs w:val="32"/>
          <w:lang w:val="en-US" w:eastAsia="zh-CN" w:bidi="ar-SA"/>
        </w:rPr>
        <w:t>维生素E</w:t>
      </w:r>
    </w:p>
    <w:p>
      <w:pPr>
        <w:widowControl/>
        <w:pBdr>
          <w:top w:val="none" w:color="auto" w:sz="0" w:space="0"/>
          <w:left w:val="none" w:color="auto" w:sz="0" w:space="0"/>
          <w:bottom w:val="none" w:color="auto" w:sz="0" w:space="0"/>
          <w:right w:val="none" w:color="auto" w:sz="0" w:space="0"/>
        </w:pBdr>
        <w:shd w:val="clea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lang w:val="en-US" w:eastAsia="zh-CN"/>
        </w:rPr>
        <w:t>维生素E又名生育酚，是一种重要的脂溶性抗氧化剂。维生素E缺乏可能会导致神经肌肉障碍等。《食品安全国家标准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w:t>
      </w: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0mg α-TE范围内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运动营养食品中维生素E含量不达标的原因，可能是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pacing w:val="0"/>
          <w:sz w:val="32"/>
          <w:szCs w:val="32"/>
          <w:lang w:val="en-US" w:eastAsia="zh-CN"/>
        </w:rPr>
        <w:t>二十七、</w:t>
      </w:r>
      <w:r>
        <w:rPr>
          <w:rFonts w:hint="default" w:ascii="Times New Roman" w:hAnsi="Times New Roman" w:eastAsia="黑体" w:cs="Times New Roman"/>
          <w:sz w:val="32"/>
          <w:szCs w:val="32"/>
          <w:lang w:val="en-US" w:eastAsia="zh-CN"/>
        </w:rPr>
        <w:t>维生素B</w:t>
      </w:r>
      <w:r>
        <w:rPr>
          <w:rFonts w:hint="default" w:ascii="Times New Roman" w:hAnsi="Times New Roman" w:eastAsia="黑体" w:cs="Times New Roman"/>
          <w:sz w:val="32"/>
          <w:szCs w:val="32"/>
          <w:vertAlign w:val="subscript"/>
          <w:lang w:val="en-US" w:eastAsia="zh-CN"/>
        </w:rPr>
        <w:t>2</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缺乏可能会导致疲倦乏力、口腔疼痛，严重时可引起维生素B</w:t>
      </w:r>
      <w:r>
        <w:rPr>
          <w:rFonts w:hint="default" w:ascii="Times New Roman" w:hAnsi="Times New Roman" w:eastAsia="仿宋_GB2312" w:cs="Times New Roman"/>
          <w:kern w:val="2"/>
          <w:sz w:val="32"/>
          <w:szCs w:val="32"/>
          <w:vertAlign w:val="subscript"/>
          <w:lang w:val="en-US" w:eastAsia="zh-CN" w:bidi="ar-SA"/>
        </w:rPr>
        <w:t>2</w:t>
      </w:r>
      <w:r>
        <w:rPr>
          <w:rFonts w:hint="default" w:ascii="Times New Roman" w:hAnsi="Times New Roman" w:eastAsia="仿宋_GB2312" w:cs="Times New Roman"/>
          <w:kern w:val="2"/>
          <w:sz w:val="32"/>
          <w:szCs w:val="32"/>
          <w:lang w:val="en-US" w:eastAsia="zh-CN" w:bidi="ar-SA"/>
        </w:rPr>
        <w:t>缺乏病。</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2</w:t>
      </w:r>
      <w:r>
        <w:rPr>
          <w:rFonts w:hint="default" w:ascii="Times New Roman" w:hAnsi="Times New Roman" w:eastAsia="仿宋_GB2312" w:cs="Times New Roman"/>
          <w:sz w:val="32"/>
          <w:szCs w:val="32"/>
          <w:lang w:val="en-US" w:eastAsia="zh-CN"/>
        </w:rPr>
        <w:t>含量不达标</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二十八、</w:t>
      </w:r>
      <w:r>
        <w:rPr>
          <w:rFonts w:hint="default" w:ascii="Times New Roman" w:hAnsi="Times New Roman" w:eastAsia="黑体" w:cs="Times New Roman"/>
          <w:spacing w:val="0"/>
          <w:sz w:val="32"/>
          <w:szCs w:val="32"/>
          <w:lang w:val="en-US" w:eastAsia="zh-CN"/>
        </w:rPr>
        <w:t>锌</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锌是人体必需的微量元素，对生长发育、免疫功能、物质代谢等均有重要作用。锌缺乏可能导致味觉障碍、生长发育不良、皮肤干燥等症状。《食品安全国家标准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锌</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1.7—12</w:t>
      </w:r>
      <w:r>
        <w:rPr>
          <w:rFonts w:hint="default" w:ascii="Times New Roman" w:hAnsi="Times New Roman" w:eastAsia="仿宋_GB2312" w:cs="Times New Roman"/>
          <w:sz w:val="32"/>
          <w:szCs w:val="32"/>
          <w:lang w:val="en-US" w:eastAsia="zh-CN"/>
        </w:rPr>
        <w:t>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2013）中规定，在产品保质期内，能量和营养成分的实际含量不应低于标示值的80%。运动营养食品中锌含量不达标的原因，可能是原辅料用食品营养强化剂不符合质量要求；也可能是生产加工过程中搅拌不均匀。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12"/>
          <w:sz w:val="32"/>
          <w:szCs w:val="32"/>
          <w:lang w:val="en-US" w:eastAsia="zh-CN"/>
        </w:rPr>
        <w:t>二十九</w:t>
      </w:r>
      <w:r>
        <w:rPr>
          <w:rFonts w:hint="default" w:ascii="Times New Roman" w:hAnsi="Times New Roman" w:eastAsia="黑体" w:cs="Times New Roman"/>
          <w:spacing w:val="-12"/>
          <w:sz w:val="32"/>
          <w:szCs w:val="32"/>
          <w:lang w:val="en-US" w:eastAsia="zh-CN"/>
        </w:rPr>
        <w:t>、</w:t>
      </w:r>
      <w:r>
        <w:rPr>
          <w:rFonts w:hint="default" w:ascii="Times New Roman" w:hAnsi="Times New Roman" w:eastAsia="黑体" w:cs="Times New Roman"/>
          <w:spacing w:val="0"/>
          <w:sz w:val="32"/>
          <w:szCs w:val="32"/>
          <w:lang w:val="en-US" w:eastAsia="zh-CN"/>
        </w:rPr>
        <w:t>维生素B</w:t>
      </w:r>
      <w:r>
        <w:rPr>
          <w:rFonts w:hint="default" w:ascii="Times New Roman" w:hAnsi="Times New Roman" w:eastAsia="黑体" w:cs="Times New Roman"/>
          <w:spacing w:val="0"/>
          <w:sz w:val="32"/>
          <w:szCs w:val="32"/>
          <w:vertAlign w:val="subscript"/>
          <w:lang w:val="en-US" w:eastAsia="zh-CN"/>
        </w:rPr>
        <w:t>1</w:t>
      </w:r>
    </w:p>
    <w:p>
      <w:pPr>
        <w:autoSpaceDE w:val="0"/>
        <w:autoSpaceDN w:val="0"/>
        <w:adjustRightInd w:val="0"/>
        <w:spacing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val="en-US" w:eastAsia="zh-CN"/>
        </w:rPr>
        <w:t>运动营养食品中维生素B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9"/>
        <w:keepNext w:val="0"/>
        <w:keepLines w:val="0"/>
        <w:pageBreakBefore w:val="0"/>
        <w:widowControl w:val="0"/>
        <w:kinsoku/>
        <w:wordWrap/>
        <w:overflowPunct/>
        <w:topLinePunct w:val="0"/>
        <w:bidi w:val="0"/>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kern w:val="2"/>
          <w:sz w:val="32"/>
          <w:szCs w:val="32"/>
          <w:lang w:val="en-US" w:eastAsia="zh-CN" w:bidi="ar-SA"/>
        </w:rPr>
        <w:t>三十</w:t>
      </w:r>
      <w:r>
        <w:rPr>
          <w:rFonts w:hint="default" w:ascii="Times New Roman" w:hAnsi="Times New Roman" w:eastAsia="黑体" w:cs="Times New Roman"/>
          <w:kern w:val="2"/>
          <w:sz w:val="32"/>
          <w:szCs w:val="32"/>
          <w:lang w:val="en-US" w:eastAsia="zh-CN" w:bidi="ar-SA"/>
        </w:rPr>
        <w:t>、</w:t>
      </w:r>
      <w:r>
        <w:rPr>
          <w:rFonts w:hint="default" w:ascii="Times New Roman" w:hAnsi="Times New Roman" w:eastAsia="黑体" w:cs="Times New Roman"/>
          <w:spacing w:val="0"/>
          <w:sz w:val="32"/>
          <w:szCs w:val="32"/>
          <w:lang w:val="en-US" w:eastAsia="zh-CN"/>
        </w:rPr>
        <w:t>泛酸</w:t>
      </w:r>
    </w:p>
    <w:p>
      <w:pPr>
        <w:widowControl/>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泛酸又称维生素B</w:t>
      </w:r>
      <w:r>
        <w:rPr>
          <w:rFonts w:hint="default" w:ascii="Times New Roman" w:hAnsi="Times New Roman" w:eastAsia="仿宋_GB2312" w:cs="Times New Roman"/>
          <w:sz w:val="32"/>
          <w:szCs w:val="32"/>
          <w:vertAlign w:val="subscript"/>
          <w:lang w:val="en-US" w:eastAsia="zh-CN"/>
        </w:rPr>
        <w:t>5</w:t>
      </w:r>
      <w:r>
        <w:rPr>
          <w:rFonts w:hint="default" w:ascii="Times New Roman" w:hAnsi="Times New Roman" w:eastAsia="仿宋_GB2312" w:cs="Times New Roman"/>
          <w:sz w:val="32"/>
          <w:szCs w:val="32"/>
          <w:lang w:val="en-US" w:eastAsia="zh-CN"/>
        </w:rPr>
        <w:t>，是一种水溶性维生素，可以构成辅酶A和酰基载体蛋白，在人体代谢中发挥作用。泛酸缺乏可能会引起食欲减退、消化不良、疲倦无力等。《食品安全国家标准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泛酸</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0.8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w:t>
      </w:r>
      <w:r>
        <w:rPr>
          <w:rFonts w:hint="default" w:ascii="Times New Roman" w:hAnsi="Times New Roman" w:eastAsia="仿宋_GB2312" w:cs="Times New Roman"/>
          <w:sz w:val="32"/>
          <w:lang w:val="en-US" w:eastAsia="zh-CN"/>
        </w:rPr>
        <w:t>泛酸含量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三十一</w:t>
      </w:r>
      <w:r>
        <w:rPr>
          <w:rFonts w:hint="default" w:ascii="Times New Roman" w:hAnsi="Times New Roman" w:eastAsia="黑体" w:cs="Times New Roman"/>
          <w:spacing w:val="0"/>
          <w:sz w:val="32"/>
          <w:szCs w:val="32"/>
          <w:lang w:val="en-US" w:eastAsia="zh-CN"/>
        </w:rPr>
        <w:t>、</w:t>
      </w:r>
      <w:r>
        <w:rPr>
          <w:rFonts w:hint="eastAsia" w:ascii="Times New Roman" w:hAnsi="Times New Roman" w:eastAsia="黑体" w:cs="Times New Roman"/>
          <w:spacing w:val="0"/>
          <w:sz w:val="32"/>
          <w:szCs w:val="32"/>
          <w:lang w:val="en-US" w:eastAsia="zh-CN"/>
        </w:rPr>
        <w:t>钠</w:t>
      </w:r>
    </w:p>
    <w:p>
      <w:pPr>
        <w:pStyle w:val="9"/>
        <w:keepNext w:val="0"/>
        <w:keepLines w:val="0"/>
        <w:pageBreakBefore w:val="0"/>
        <w:kinsoku/>
        <w:wordWrap/>
        <w:overflowPunct/>
        <w:topLinePunct w:val="0"/>
        <w:bidi w:val="0"/>
        <w:snapToGrid/>
        <w:spacing w:after="0" w:line="594"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婴幼儿肾脏功能不如成人健全，摄入钠离子不足可能导致脱水，甚至惊厥。《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2013）中规定，在产品保质期内，能量和营养成分的实际含量不应低于标示值的80%。运动营养食品中钠含量不达标的原因，可能是生产工艺不合理；也可能是产品标签标注不规范。</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highlight w:val="green"/>
          <w:lang w:val="en-US" w:eastAsia="zh-CN"/>
        </w:rPr>
      </w:pPr>
      <w:r>
        <w:rPr>
          <w:rFonts w:hint="eastAsia" w:ascii="Times New Roman" w:hAnsi="Times New Roman" w:eastAsia="黑体" w:cs="Times New Roman"/>
          <w:spacing w:val="0"/>
          <w:sz w:val="32"/>
          <w:szCs w:val="32"/>
          <w:highlight w:val="none"/>
          <w:lang w:val="en-US" w:eastAsia="zh-CN"/>
        </w:rPr>
        <w:t>三十二、</w:t>
      </w:r>
      <w:r>
        <w:rPr>
          <w:rFonts w:hint="default" w:ascii="Times New Roman" w:hAnsi="Times New Roman" w:eastAsia="黑体" w:cs="Times New Roman"/>
          <w:spacing w:val="0"/>
          <w:sz w:val="32"/>
          <w:szCs w:val="32"/>
          <w:highlight w:val="none"/>
          <w:lang w:val="en-US" w:eastAsia="zh-CN"/>
        </w:rPr>
        <w:t>钙</w:t>
      </w:r>
    </w:p>
    <w:p>
      <w:pPr>
        <w:pStyle w:val="9"/>
        <w:keepNext w:val="0"/>
        <w:keepLines w:val="0"/>
        <w:pageBreakBefore w:val="0"/>
        <w:widowControl/>
        <w:kinsoku/>
        <w:wordWrap/>
        <w:overflowPunct/>
        <w:topLinePunct w:val="0"/>
        <w:bidi w:val="0"/>
        <w:adjustRightInd/>
        <w:snapToGrid/>
        <w:spacing w:after="0" w:line="594" w:lineRule="exact"/>
        <w:ind w:firstLine="59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钙是人体含量最多的矿物质元素</w:t>
      </w:r>
      <w:r>
        <w:rPr>
          <w:rFonts w:hint="eastAsia"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lang w:val="en-US" w:eastAsia="zh-CN"/>
        </w:rPr>
        <w:t>维持人体神经和肌肉活动、促进细胞信息传递。</w:t>
      </w:r>
      <w:r>
        <w:rPr>
          <w:rFonts w:hint="eastAsia" w:ascii="Times New Roman" w:hAnsi="Times New Roman" w:eastAsia="仿宋_GB2312" w:cs="Times New Roman"/>
          <w:sz w:val="32"/>
          <w:szCs w:val="32"/>
          <w:lang w:val="en-US" w:eastAsia="zh-CN"/>
        </w:rPr>
        <w:t>钙缺乏可能会导致肌肉痉挛、骨质疏松等。</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钙</w:t>
      </w:r>
      <w:r>
        <w:rPr>
          <w:rFonts w:hint="default" w:ascii="Times New Roman" w:hAnsi="Times New Roman" w:eastAsia="仿宋_GB2312" w:cs="Times New Roman"/>
          <w:sz w:val="32"/>
          <w:szCs w:val="32"/>
          <w:lang w:val="en-US" w:eastAsia="zh-CN"/>
        </w:rPr>
        <w:t>含量（以每日计）</w:t>
      </w:r>
      <w:r>
        <w:rPr>
          <w:rFonts w:hint="eastAsia" w:ascii="Times New Roman" w:hAnsi="Times New Roman" w:eastAsia="仿宋_GB2312" w:cs="Times New Roman"/>
          <w:sz w:val="32"/>
          <w:szCs w:val="32"/>
          <w:lang w:val="en-US" w:eastAsia="zh-CN"/>
        </w:rPr>
        <w:t>应在150—800mg范围内；《食品安全国家标准 预包装特殊膳食用食品标签》（GB 13432—2013）中规定，在产品保质期内，能量和营养成分的实际含量不应低于标示值的80%。运动营养食品</w:t>
      </w:r>
      <w:r>
        <w:rPr>
          <w:rFonts w:hint="default" w:ascii="Times New Roman" w:hAnsi="Times New Roman" w:eastAsia="仿宋_GB2312" w:cs="Times New Roman"/>
          <w:sz w:val="32"/>
          <w:szCs w:val="32"/>
          <w:lang w:val="en-US" w:eastAsia="zh-CN"/>
        </w:rPr>
        <w:t>中钙含量</w:t>
      </w:r>
      <w:r>
        <w:rPr>
          <w:rFonts w:hint="eastAsia" w:ascii="Times New Roman" w:hAnsi="Times New Roman" w:eastAsia="仿宋_GB2312" w:cs="Times New Roman"/>
          <w:sz w:val="32"/>
          <w:szCs w:val="32"/>
          <w:lang w:val="en-US" w:eastAsia="zh-CN"/>
        </w:rPr>
        <w:t>不达</w:t>
      </w:r>
      <w:r>
        <w:rPr>
          <w:rFonts w:hint="default" w:ascii="Times New Roman" w:hAnsi="Times New Roman" w:eastAsia="仿宋_GB2312" w:cs="Times New Roman"/>
          <w:sz w:val="32"/>
          <w:szCs w:val="32"/>
          <w:lang w:val="en-US" w:eastAsia="zh-CN"/>
        </w:rPr>
        <w:t>标的原因，可能是原辅料用食品营养强化剂不符合质量要求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三十三、</w:t>
      </w:r>
      <w:r>
        <w:rPr>
          <w:rFonts w:hint="default" w:ascii="Times New Roman" w:hAnsi="Times New Roman" w:eastAsia="黑体" w:cs="Times New Roman"/>
          <w:spacing w:val="0"/>
          <w:sz w:val="32"/>
          <w:szCs w:val="32"/>
          <w:lang w:val="en-US" w:eastAsia="zh-CN"/>
        </w:rPr>
        <w:t>铁</w:t>
      </w:r>
    </w:p>
    <w:p>
      <w:pPr>
        <w:pStyle w:val="9"/>
        <w:spacing w:after="0" w:line="594"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2015）中规定，运动营养食品中</w:t>
      </w:r>
      <w:r>
        <w:rPr>
          <w:rFonts w:hint="eastAsia" w:ascii="Times New Roman" w:hAnsi="Times New Roman" w:eastAsia="仿宋_GB2312" w:cs="Times New Roman"/>
          <w:color w:val="auto"/>
          <w:sz w:val="32"/>
          <w:szCs w:val="32"/>
          <w:highlight w:val="none"/>
          <w:lang w:val="en-US" w:eastAsia="zh-CN"/>
        </w:rPr>
        <w:t>铁</w:t>
      </w:r>
      <w:r>
        <w:rPr>
          <w:rFonts w:hint="default" w:ascii="Times New Roman" w:hAnsi="Times New Roman" w:eastAsia="仿宋_GB2312" w:cs="Times New Roman"/>
          <w:color w:val="auto"/>
          <w:sz w:val="32"/>
          <w:szCs w:val="32"/>
          <w:highlight w:val="none"/>
        </w:rPr>
        <w:t>含量（以每日计）应在</w:t>
      </w:r>
      <w:r>
        <w:rPr>
          <w:rFonts w:hint="eastAsia" w:ascii="Times New Roman" w:hAnsi="Times New Roman" w:eastAsia="仿宋_GB2312" w:cs="Times New Roman"/>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mg范围内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《食品安全国家标准 预包装特殊膳食用食品标签》（GB 13432</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lang w:val="en-US" w:eastAsia="zh-CN"/>
        </w:rPr>
        <w:t>中铁含量不达标的原因，可能是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也可能是生产加工过程中搅拌不均匀。</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0"/>
          <w:sz w:val="32"/>
          <w:szCs w:val="32"/>
          <w:lang w:val="en-US" w:eastAsia="zh-CN"/>
        </w:rPr>
        <w:t>三十四、</w:t>
      </w:r>
      <w:r>
        <w:rPr>
          <w:rFonts w:hint="eastAsia" w:ascii="Times New Roman" w:hAnsi="Times New Roman" w:eastAsia="黑体" w:cs="Times New Roman"/>
          <w:spacing w:val="-12"/>
          <w:sz w:val="32"/>
          <w:szCs w:val="32"/>
          <w:lang w:val="en-US" w:eastAsia="zh-CN"/>
        </w:rPr>
        <w:t>标签</w:t>
      </w:r>
    </w:p>
    <w:p>
      <w:pPr>
        <w:pStyle w:val="9"/>
        <w:spacing w:after="0" w:line="594" w:lineRule="exact"/>
        <w:ind w:firstLine="592"/>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标签是</w:t>
      </w:r>
      <w:r>
        <w:rPr>
          <w:rFonts w:hint="default" w:ascii="Times New Roman" w:hAnsi="Times New Roman" w:eastAsia="仿宋_GB2312" w:cs="Times New Roman"/>
          <w:sz w:val="32"/>
          <w:szCs w:val="32"/>
          <w:highlight w:val="none"/>
          <w:lang w:val="en-US" w:eastAsia="zh-CN"/>
        </w:rPr>
        <w:t>食品包装上的文字、图形、符号及一切说明物。标签标识不规范影响消费者知情权，可能误导消费者选购。</w:t>
      </w:r>
      <w:r>
        <w:rPr>
          <w:rFonts w:hint="eastAsia" w:ascii="Times New Roman" w:hAnsi="Times New Roman" w:eastAsia="仿宋_GB2312" w:cs="Times New Roman"/>
          <w:sz w:val="32"/>
          <w:szCs w:val="32"/>
          <w:highlight w:val="none"/>
          <w:lang w:val="en-US" w:eastAsia="zh-CN"/>
        </w:rPr>
        <w:t>《预包装食品标签通则》（</w:t>
      </w:r>
      <w:r>
        <w:rPr>
          <w:rFonts w:hint="default" w:ascii="Times New Roman" w:hAnsi="Times New Roman" w:eastAsia="仿宋_GB2312" w:cs="Times New Roman"/>
          <w:sz w:val="32"/>
          <w:szCs w:val="32"/>
          <w:highlight w:val="none"/>
          <w:lang w:val="en-US" w:eastAsia="zh-CN"/>
        </w:rPr>
        <w:t>GB 7718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w:t>
      </w:r>
      <w:r>
        <w:rPr>
          <w:rFonts w:hint="eastAsia" w:ascii="Times New Roman" w:hAnsi="Times New Roman" w:eastAsia="仿宋_GB2312" w:cs="Times New Roman"/>
          <w:sz w:val="32"/>
          <w:szCs w:val="32"/>
          <w:highlight w:val="none"/>
          <w:lang w:val="en-US" w:eastAsia="zh-CN"/>
        </w:rPr>
        <w:t>）中3.4规定预包装食品标签应真实、准确，4.1.3.1规定配料表中应按相关要求标示食品添加剂名称。</w:t>
      </w:r>
      <w:r>
        <w:rPr>
          <w:rFonts w:hint="eastAsia" w:ascii="Times New Roman" w:hAnsi="Times New Roman" w:eastAsia="仿宋_GB2312" w:cs="Times New Roman"/>
          <w:color w:val="auto"/>
          <w:sz w:val="32"/>
          <w:szCs w:val="32"/>
          <w:highlight w:val="none"/>
          <w:lang w:val="en-US" w:eastAsia="zh-CN"/>
        </w:rPr>
        <w:t>碳酸饮料</w:t>
      </w:r>
      <w:r>
        <w:rPr>
          <w:rFonts w:hint="eastAsia" w:ascii="Times New Roman" w:hAnsi="Times New Roman" w:eastAsia="仿宋_GB2312" w:cs="Times New Roman"/>
          <w:sz w:val="32"/>
          <w:szCs w:val="32"/>
          <w:highlight w:val="none"/>
          <w:lang w:val="en-US" w:eastAsia="zh-CN"/>
        </w:rPr>
        <w:t>中检出标签未明示食品添加剂的原因，可能是生产经营企业标识不规范。</w:t>
      </w:r>
    </w:p>
    <w:p>
      <w:pPr>
        <w:spacing w:line="594" w:lineRule="exact"/>
        <w:ind w:firstLine="640" w:firstLineChars="200"/>
        <w:rPr>
          <w:rFonts w:hint="eastAsia" w:ascii="黑体" w:hAnsi="黑体" w:eastAsia="黑体" w:cs="Times New Roman"/>
          <w:spacing w:val="0"/>
          <w:sz w:val="32"/>
          <w:szCs w:val="32"/>
          <w:lang w:eastAsia="zh-CN"/>
        </w:rPr>
      </w:pPr>
      <w:r>
        <w:rPr>
          <w:rFonts w:hint="eastAsia" w:eastAsia="黑体"/>
          <w:spacing w:val="0"/>
          <w:sz w:val="32"/>
          <w:szCs w:val="32"/>
          <w:lang w:val="en-US" w:eastAsia="zh-CN"/>
        </w:rPr>
        <w:t>三十五、酒精度</w:t>
      </w:r>
    </w:p>
    <w:p>
      <w:pPr>
        <w:spacing w:line="594" w:lineRule="exact"/>
        <w:ind w:firstLine="640" w:firstLineChars="200"/>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lang w:val="en-US" w:eastAsia="zh-CN"/>
        </w:rPr>
        <w:t>酒精度又叫酒度，是指在20℃时，100毫升酒中含有乙醇（酒精）的毫升数，即体积（容量）的百分数。酒精度是酒类产品的一个重要理化指标，含量水平主要反映产品品质。《酱香型白酒》（GB/T 26760</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2011）中规定，酒精度实测值与标签标示值允许差为</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1.0%vol。酒精度</w:t>
      </w:r>
      <w:r>
        <w:rPr>
          <w:rFonts w:hint="eastAsia" w:ascii="Times New Roman" w:hAnsi="Times New Roman" w:eastAsia="仿宋_GB2312" w:cs="Times New Roman"/>
          <w:kern w:val="0"/>
          <w:sz w:val="32"/>
          <w:szCs w:val="32"/>
          <w:lang w:val="en-US" w:eastAsia="zh-CN"/>
        </w:rPr>
        <w:t>不符合</w:t>
      </w:r>
      <w:r>
        <w:rPr>
          <w:rFonts w:hint="default" w:ascii="Times New Roman" w:hAnsi="Times New Roman" w:eastAsia="仿宋_GB2312" w:cs="Times New Roman"/>
          <w:kern w:val="0"/>
          <w:sz w:val="32"/>
          <w:szCs w:val="32"/>
          <w:lang w:val="en-US" w:eastAsia="zh-CN"/>
        </w:rPr>
        <w:t>产品标签明示要求的原因，可能是企业生产工艺控制不严或生产工艺水平较低，无法准确控制酒精度。</w:t>
      </w:r>
    </w:p>
    <w:p>
      <w:pPr>
        <w:pStyle w:val="9"/>
        <w:keepNext w:val="0"/>
        <w:keepLines w:val="0"/>
        <w:pageBreakBefore w:val="0"/>
        <w:kinsoku/>
        <w:wordWrap/>
        <w:overflowPunct/>
        <w:topLinePunct w:val="0"/>
        <w:bidi w:val="0"/>
        <w:snapToGrid/>
        <w:spacing w:line="240" w:lineRule="auto"/>
        <w:textAlignment w:val="auto"/>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lang w:val="en-US" w:eastAsia="zh-CN"/>
        </w:rPr>
      </w:pPr>
    </w:p>
    <w:p>
      <w:pPr>
        <w:pStyle w:val="9"/>
        <w:spacing w:line="240" w:lineRule="auto"/>
        <w:rPr>
          <w:rFonts w:hint="default" w:ascii="Times New Roman" w:hAnsi="Times New Roman" w:eastAsia="仿宋_GB2312" w:cs="Times New Roman"/>
          <w:sz w:val="32"/>
          <w:szCs w:val="32"/>
          <w:lang w:val="en-US" w:eastAsia="zh-CN"/>
        </w:rPr>
      </w:pPr>
    </w:p>
    <w:p>
      <w:pPr>
        <w:pStyle w:val="9"/>
        <w:keepNext w:val="0"/>
        <w:keepLines w:val="0"/>
        <w:pageBreakBefore w:val="0"/>
        <w:widowControl w:val="0"/>
        <w:kinsoku/>
        <w:wordWrap/>
        <w:overflowPunct/>
        <w:topLinePunct w:val="0"/>
        <w:bidi w:val="0"/>
        <w:adjustRightInd/>
        <w:snapToGrid/>
        <w:spacing w:after="0" w:line="240" w:lineRule="auto"/>
        <w:textAlignment w:val="auto"/>
        <w:rPr>
          <w:rFonts w:hint="default" w:ascii="Times New Roman" w:hAnsi="Times New Roman" w:eastAsia="仿宋_GB2312" w:cs="Times New Roman"/>
          <w:sz w:val="32"/>
          <w:szCs w:val="32"/>
          <w:lang w:val="en-US" w:eastAsia="zh-CN"/>
        </w:rPr>
      </w:pPr>
    </w:p>
    <w:p>
      <w:pPr>
        <w:pStyle w:val="9"/>
        <w:adjustRightInd/>
        <w:spacing w:after="0" w:line="594" w:lineRule="exact"/>
        <w:ind w:firstLine="640" w:firstLineChars="200"/>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7DC16F6"/>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BF4197"/>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BB447B"/>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CD272D"/>
    <w:rsid w:val="1CD94E78"/>
    <w:rsid w:val="1CE5696D"/>
    <w:rsid w:val="1D513069"/>
    <w:rsid w:val="1D6C2FCD"/>
    <w:rsid w:val="1DA014D7"/>
    <w:rsid w:val="1DA97C4C"/>
    <w:rsid w:val="1DF6698D"/>
    <w:rsid w:val="1E0B5C9C"/>
    <w:rsid w:val="1E1A3721"/>
    <w:rsid w:val="1E37319B"/>
    <w:rsid w:val="1E9157FB"/>
    <w:rsid w:val="1ECF2759"/>
    <w:rsid w:val="1EDF3CB7"/>
    <w:rsid w:val="1F961D6E"/>
    <w:rsid w:val="1FA03EF4"/>
    <w:rsid w:val="1FCF0608"/>
    <w:rsid w:val="1FF5604A"/>
    <w:rsid w:val="1FF77807"/>
    <w:rsid w:val="203D0B3D"/>
    <w:rsid w:val="20582274"/>
    <w:rsid w:val="2059449C"/>
    <w:rsid w:val="20BC665B"/>
    <w:rsid w:val="20C11697"/>
    <w:rsid w:val="20DF2D7E"/>
    <w:rsid w:val="20E97796"/>
    <w:rsid w:val="21372698"/>
    <w:rsid w:val="215701F0"/>
    <w:rsid w:val="21991D50"/>
    <w:rsid w:val="2298310D"/>
    <w:rsid w:val="22E67475"/>
    <w:rsid w:val="22FB7F7F"/>
    <w:rsid w:val="2340612E"/>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50154"/>
    <w:rsid w:val="2FDD066F"/>
    <w:rsid w:val="2FF4710F"/>
    <w:rsid w:val="302C3947"/>
    <w:rsid w:val="30706BFB"/>
    <w:rsid w:val="30730D18"/>
    <w:rsid w:val="308001C6"/>
    <w:rsid w:val="30AC7B38"/>
    <w:rsid w:val="31252E3F"/>
    <w:rsid w:val="318B5860"/>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63411B"/>
    <w:rsid w:val="37E01180"/>
    <w:rsid w:val="37E56DDC"/>
    <w:rsid w:val="37F900FD"/>
    <w:rsid w:val="38255FA2"/>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30740"/>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AE2F0F"/>
    <w:rsid w:val="4CB7255F"/>
    <w:rsid w:val="4D2968B7"/>
    <w:rsid w:val="4D5B1BD1"/>
    <w:rsid w:val="4D61085B"/>
    <w:rsid w:val="4D96357F"/>
    <w:rsid w:val="4DF711BF"/>
    <w:rsid w:val="4E196222"/>
    <w:rsid w:val="4E8159AF"/>
    <w:rsid w:val="4ED53EED"/>
    <w:rsid w:val="4EF14EDB"/>
    <w:rsid w:val="4EFB0F58"/>
    <w:rsid w:val="4F4819BC"/>
    <w:rsid w:val="4F69410F"/>
    <w:rsid w:val="4F864951"/>
    <w:rsid w:val="4FAF363F"/>
    <w:rsid w:val="4FDF48D9"/>
    <w:rsid w:val="4FE173F8"/>
    <w:rsid w:val="50147C53"/>
    <w:rsid w:val="509C264D"/>
    <w:rsid w:val="50B25B41"/>
    <w:rsid w:val="50BC54AF"/>
    <w:rsid w:val="514C2084"/>
    <w:rsid w:val="51861C65"/>
    <w:rsid w:val="51B24EEC"/>
    <w:rsid w:val="51B43769"/>
    <w:rsid w:val="51BC1E2A"/>
    <w:rsid w:val="51F05D16"/>
    <w:rsid w:val="528A11AE"/>
    <w:rsid w:val="52A07CC6"/>
    <w:rsid w:val="52F04014"/>
    <w:rsid w:val="52FD335B"/>
    <w:rsid w:val="532062CE"/>
    <w:rsid w:val="533407C0"/>
    <w:rsid w:val="5387412A"/>
    <w:rsid w:val="53FD2F44"/>
    <w:rsid w:val="53FF0DCE"/>
    <w:rsid w:val="54544D6D"/>
    <w:rsid w:val="545804DE"/>
    <w:rsid w:val="548D4260"/>
    <w:rsid w:val="549064CF"/>
    <w:rsid w:val="54D819BB"/>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625760"/>
    <w:rsid w:val="5FEB4A4B"/>
    <w:rsid w:val="6051475F"/>
    <w:rsid w:val="611E6C1C"/>
    <w:rsid w:val="613D1EB7"/>
    <w:rsid w:val="61C61E38"/>
    <w:rsid w:val="62331957"/>
    <w:rsid w:val="63213BB4"/>
    <w:rsid w:val="634D1122"/>
    <w:rsid w:val="63BA5678"/>
    <w:rsid w:val="63C45F36"/>
    <w:rsid w:val="64165519"/>
    <w:rsid w:val="643200F6"/>
    <w:rsid w:val="649D4B85"/>
    <w:rsid w:val="64CE046B"/>
    <w:rsid w:val="64D82E8B"/>
    <w:rsid w:val="653E7950"/>
    <w:rsid w:val="65C32FE2"/>
    <w:rsid w:val="661F7A8A"/>
    <w:rsid w:val="66D46B60"/>
    <w:rsid w:val="675A48DF"/>
    <w:rsid w:val="676770CE"/>
    <w:rsid w:val="679E2A0F"/>
    <w:rsid w:val="67FD322B"/>
    <w:rsid w:val="68A74C6B"/>
    <w:rsid w:val="69872FA0"/>
    <w:rsid w:val="69C7211C"/>
    <w:rsid w:val="69D70A50"/>
    <w:rsid w:val="69E34809"/>
    <w:rsid w:val="6A071B71"/>
    <w:rsid w:val="6AE05AA1"/>
    <w:rsid w:val="6B1E0678"/>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A95BE0"/>
    <w:rsid w:val="70CF7EE0"/>
    <w:rsid w:val="70F00C1D"/>
    <w:rsid w:val="71052DB8"/>
    <w:rsid w:val="71346E5A"/>
    <w:rsid w:val="716B2491"/>
    <w:rsid w:val="71A343C4"/>
    <w:rsid w:val="72404633"/>
    <w:rsid w:val="728D7A35"/>
    <w:rsid w:val="72DC3B2E"/>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574BE"/>
    <w:rsid w:val="78BF19EB"/>
    <w:rsid w:val="78FB4BB6"/>
    <w:rsid w:val="79043F06"/>
    <w:rsid w:val="79993017"/>
    <w:rsid w:val="79DE2FF1"/>
    <w:rsid w:val="7A7226AF"/>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5C2B1F"/>
    <w:rsid w:val="7EC40F71"/>
    <w:rsid w:val="7EF37C31"/>
    <w:rsid w:val="7EFA4C99"/>
    <w:rsid w:val="7F056143"/>
    <w:rsid w:val="7F362E0C"/>
    <w:rsid w:val="7F3A6B56"/>
    <w:rsid w:val="7F3C7129"/>
    <w:rsid w:val="7F413799"/>
    <w:rsid w:val="7F7F5721"/>
    <w:rsid w:val="7FBE329C"/>
    <w:rsid w:val="7FC3364F"/>
    <w:rsid w:val="7FD40BD5"/>
    <w:rsid w:val="FB7F7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next w:val="1"/>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7ffde35e-bbdb-44d8-af9d-34cbb8278d96</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57A504D2</paraID>
      <start xmlns="http://schemas.wps.cn/vas-ai-hub/contract-review">246</start>
      <end xmlns="http://schemas.wps.cn/vas-ai-hub/contract-review">250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2174f169-f717-4a2f-81c8-e36534f457dd</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31C820F8</paraID>
      <start xmlns="http://schemas.wps.cn/vas-ai-hub/contract-review">121</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951b093d-284c-4246-91fd-eb9518d39ec1</errorID>
      <errorWord xmlns="http://schemas.wps.cn/vas-ai-hub/contract-review">葵花籽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葵花子</item>
      </candidateList>
      <explain xmlns="http://schemas.wps.cn/vas-ai-hub/contract-review"/>
      <paraID xmlns="http://schemas.wps.cn/vas-ai-hub/contract-review">31C820F8</paraID>
      <start xmlns="http://schemas.wps.cn/vas-ai-hub/contract-review">220</start>
      <end xmlns="http://schemas.wps.cn/vas-ai-hub/contract-review">223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a7ac8aee-4fcf-43c1-89b9-5062d3d0d1f4</errorID>
      <errorWord xmlns="http://schemas.wps.cn/vas-ai-hub/contract-review">缺乏病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缺乏症</item>
      </candidateList>
      <explain xmlns="http://schemas.wps.cn/vas-ai-hub/contract-review"/>
      <paraID xmlns="http://schemas.wps.cn/vas-ai-hub/contract-review">5EAF02A2</paraID>
      <start xmlns="http://schemas.wps.cn/vas-ai-hub/contract-review">64</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0a96816e-a2f8-4947-813c-d375743ddd42</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46AA6EDD</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7f7bc8fa-7e54-4cb9-8a21-76015c169e26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46AA6EDD</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e85fca1-dbf0-45bd-a43a-1bc706e2ee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8294</Words>
  <Characters>9068</Characters>
  <Lines>9</Lines>
  <Paragraphs>2</Paragraphs>
  <TotalTime>198</TotalTime>
  <ScaleCrop>false</ScaleCrop>
  <LinksUpToDate>false</LinksUpToDate>
  <CharactersWithSpaces>9168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2021-01-12T17:57:00Z</dcterms:created>
  <dc:creator>ywk-rx</dc:creator>
  <cp:lastModifiedBy>greatwall</cp:lastModifiedBy>
  <cp:lastPrinted>2024-06-12T22:27:00Z</cp:lastPrinted>
  <dcterms:modified xsi:type="dcterms:W3CDTF">2026-05-07T10:50:37Z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02395458E772E4AFFDFDFB69D555B6FA</vt:lpwstr>
  </property>
  <property fmtid="{D5CDD505-2E9C-101B-9397-08002B2CF9AE}" pid="4" name="KSOTemplateDocerSaveRecord">
    <vt:lpwstr>eyJoZGlkIjoiMTg1Nzk0NGJjYjlhZTdmZjU0YmM5NTY3ODhkYTUwMzciLCJ1c2VySWQiOiI2NDk3NTE4MjIifQ==</vt:lpwstr>
  </property>
</Properties>
</file>