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val="0"/>
        <w:snapToGrid/>
        <w:spacing w:line="594" w:lineRule="exact"/>
        <w:jc w:val="center"/>
        <w:textAlignment w:val="auto"/>
        <w:rPr>
          <w:rFonts w:hint="default" w:ascii="Times New Roman" w:hAnsi="Times New Roman" w:eastAsia="黑体" w:cs="Times New Roman"/>
          <w:bCs/>
          <w:color w:val="000000"/>
          <w:kern w:val="2"/>
          <w:sz w:val="52"/>
          <w:szCs w:val="52"/>
        </w:rPr>
      </w:pPr>
      <w:r>
        <w:rPr>
          <w:rFonts w:hint="default" w:ascii="Times New Roman" w:hAnsi="Times New Roman" w:eastAsia="黑体" w:cs="Times New Roman"/>
          <w:bCs/>
          <w:color w:val="000000"/>
          <w:spacing w:val="30"/>
          <w:kern w:val="0"/>
          <w:sz w:val="52"/>
          <w:szCs w:val="52"/>
          <w:fitText w:val="5742" w:id="-470200899"/>
        </w:rPr>
        <w:t>国家市场监督管理总</w:t>
      </w:r>
      <w:r>
        <w:rPr>
          <w:rFonts w:hint="default" w:ascii="Times New Roman" w:hAnsi="Times New Roman" w:eastAsia="黑体" w:cs="Times New Roman"/>
          <w:bCs/>
          <w:color w:val="000000"/>
          <w:spacing w:val="1"/>
          <w:kern w:val="0"/>
          <w:sz w:val="52"/>
          <w:szCs w:val="52"/>
          <w:fitText w:val="5742" w:id="-470200899"/>
        </w:rPr>
        <w:t>局</w:t>
      </w:r>
    </w:p>
    <w:p>
      <w:pPr>
        <w:keepNext w:val="0"/>
        <w:keepLines w:val="0"/>
        <w:pageBreakBefore w:val="0"/>
        <w:widowControl w:val="0"/>
        <w:kinsoku/>
        <w:wordWrap/>
        <w:topLinePunct w:val="0"/>
        <w:bidi w:val="0"/>
        <w:adjustRightInd w:val="0"/>
        <w:snapToGrid/>
        <w:spacing w:line="594" w:lineRule="exact"/>
        <w:jc w:val="center"/>
        <w:textAlignment w:val="auto"/>
        <w:rPr>
          <w:rFonts w:hint="default" w:ascii="Times New Roman" w:hAnsi="Times New Roman" w:eastAsia="仿宋_GB2312" w:cs="Times New Roman"/>
          <w:color w:val="000000"/>
          <w:kern w:val="2"/>
          <w:sz w:val="44"/>
          <w:szCs w:val="44"/>
        </w:rPr>
      </w:pPr>
      <w:r>
        <w:rPr>
          <w:rFonts w:hint="default" w:ascii="Times New Roman" w:hAnsi="Times New Roman" w:eastAsia="黑体" w:cs="Times New Roman"/>
          <w:bCs/>
          <w:color w:val="000000"/>
          <w:spacing w:val="175"/>
          <w:kern w:val="0"/>
          <w:sz w:val="52"/>
          <w:szCs w:val="52"/>
          <w:fitText w:val="5742" w:id="2070319234"/>
        </w:rPr>
        <w:t>行政处罚决定</w:t>
      </w:r>
      <w:r>
        <w:rPr>
          <w:rFonts w:hint="default" w:ascii="Times New Roman" w:hAnsi="Times New Roman" w:eastAsia="黑体" w:cs="Times New Roman"/>
          <w:bCs/>
          <w:color w:val="000000"/>
          <w:spacing w:val="1"/>
          <w:kern w:val="0"/>
          <w:sz w:val="52"/>
          <w:szCs w:val="52"/>
          <w:fitText w:val="5742" w:id="2070319234"/>
        </w:rPr>
        <w:t>书</w:t>
      </w:r>
    </w:p>
    <w:p>
      <w:pPr>
        <w:keepNext w:val="0"/>
        <w:keepLines w:val="0"/>
        <w:pageBreakBefore w:val="0"/>
        <w:widowControl w:val="0"/>
        <w:kinsoku/>
        <w:wordWrap/>
        <w:topLinePunct w:val="0"/>
        <w:bidi w:val="0"/>
        <w:adjustRightInd w:val="0"/>
        <w:snapToGrid/>
        <w:spacing w:line="594" w:lineRule="exact"/>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国市监处</w:t>
      </w:r>
      <w:r>
        <w:rPr>
          <w:rFonts w:hint="default" w:ascii="Times New Roman" w:hAnsi="Times New Roman" w:eastAsia="仿宋_GB2312" w:cs="Times New Roman"/>
          <w:kern w:val="2"/>
          <w:sz w:val="32"/>
          <w:szCs w:val="32"/>
          <w:lang w:eastAsia="zh-CN"/>
        </w:rPr>
        <w:t>罚</w:t>
      </w: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w:t>
      </w:r>
      <w:r>
        <w:rPr>
          <w:rFonts w:hint="eastAsia" w:eastAsia="仿宋_GB2312" w:cs="Times New Roman"/>
          <w:kern w:val="2"/>
          <w:sz w:val="32"/>
          <w:szCs w:val="32"/>
          <w:highlight w:val="none"/>
          <w:lang w:val="en-US" w:eastAsia="zh-CN"/>
        </w:rPr>
        <w:t>27</w:t>
      </w:r>
      <w:r>
        <w:rPr>
          <w:rFonts w:hint="default" w:ascii="Times New Roman" w:hAnsi="Times New Roman" w:eastAsia="仿宋_GB2312" w:cs="Times New Roman"/>
          <w:kern w:val="2"/>
          <w:sz w:val="32"/>
          <w:szCs w:val="32"/>
        </w:rPr>
        <w:t>号</w:t>
      </w:r>
    </w:p>
    <w:p>
      <w:pPr>
        <w:keepNext w:val="0"/>
        <w:keepLines w:val="0"/>
        <w:pageBreakBefore w:val="0"/>
        <w:widowControl w:val="0"/>
        <w:kinsoku/>
        <w:wordWrap/>
        <w:topLinePunct w:val="0"/>
        <w:bidi w:val="0"/>
        <w:adjustRightInd w:val="0"/>
        <w:snapToGrid/>
        <w:spacing w:line="594" w:lineRule="exact"/>
        <w:jc w:val="center"/>
        <w:textAlignment w:val="auto"/>
        <w:rPr>
          <w:rFonts w:hint="default" w:ascii="Times New Roman" w:hAnsi="Times New Roman" w:eastAsia="仿宋_GB2312" w:cs="Times New Roman"/>
          <w:kern w:val="2"/>
          <w:sz w:val="28"/>
          <w:szCs w:val="28"/>
        </w:rPr>
      </w:pP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仿宋_GB2312" w:cs="Times New Roman"/>
          <w:bCs/>
          <w:kern w:val="2"/>
          <w:sz w:val="32"/>
          <w:szCs w:val="32"/>
          <w:u w:val="none"/>
          <w:lang w:val="en-US" w:eastAsia="zh-CN" w:bidi="ar-SA"/>
        </w:rPr>
      </w:pPr>
      <w:r>
        <w:rPr>
          <w:rFonts w:hint="default" w:ascii="Times New Roman" w:hAnsi="Times New Roman" w:eastAsia="黑体" w:cs="Times New Roman"/>
          <w:color w:val="auto"/>
          <w:kern w:val="2"/>
          <w:sz w:val="32"/>
          <w:szCs w:val="32"/>
        </w:rPr>
        <w:t>当事人：</w:t>
      </w:r>
      <w:r>
        <w:rPr>
          <w:rFonts w:hint="default" w:ascii="Times New Roman" w:hAnsi="Times New Roman" w:eastAsia="仿宋_GB2312" w:cs="Times New Roman"/>
          <w:kern w:val="2"/>
          <w:sz w:val="32"/>
          <w:szCs w:val="32"/>
          <w:highlight w:val="none"/>
          <w:lang w:val="en-US" w:eastAsia="zh-CN"/>
        </w:rPr>
        <w:t>中山火炬集团有限公司</w:t>
      </w:r>
      <w:bookmarkStart w:id="0" w:name="_GoBack"/>
      <w:bookmarkEnd w:id="0"/>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黑体" w:cs="Times New Roman"/>
          <w:color w:val="auto"/>
          <w:kern w:val="2"/>
          <w:sz w:val="32"/>
          <w:szCs w:val="32"/>
        </w:rPr>
        <w:t>主体资格证照名称：</w:t>
      </w:r>
      <w:r>
        <w:rPr>
          <w:rFonts w:hint="default" w:ascii="Times New Roman" w:hAnsi="Times New Roman" w:eastAsia="仿宋_GB2312" w:cs="Times New Roman"/>
          <w:bCs/>
          <w:color w:val="auto"/>
          <w:kern w:val="2"/>
          <w:sz w:val="32"/>
          <w:szCs w:val="32"/>
          <w:lang w:val="en-US" w:eastAsia="zh-CN" w:bidi="ar-SA"/>
        </w:rPr>
        <w:t>营业执照</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黑体" w:cs="Times New Roman"/>
          <w:bCs/>
          <w:color w:val="auto"/>
          <w:kern w:val="2"/>
          <w:sz w:val="32"/>
          <w:szCs w:val="32"/>
          <w:highlight w:val="yellow"/>
          <w:lang w:val="en-US" w:eastAsia="zh-CN" w:bidi="ar-SA"/>
        </w:rPr>
      </w:pPr>
      <w:r>
        <w:rPr>
          <w:rFonts w:hint="default" w:ascii="Times New Roman" w:hAnsi="Times New Roman" w:eastAsia="黑体" w:cs="Times New Roman"/>
          <w:color w:val="auto"/>
          <w:kern w:val="2"/>
          <w:sz w:val="32"/>
          <w:szCs w:val="32"/>
        </w:rPr>
        <w:t>统一社会信用代码：</w:t>
      </w:r>
      <w:r>
        <w:rPr>
          <w:rFonts w:hint="eastAsia" w:ascii="Times New Roman" w:hAnsi="Times New Roman" w:eastAsia="仿宋_GB2312" w:cs="Times New Roman"/>
          <w:kern w:val="2"/>
          <w:sz w:val="32"/>
          <w:szCs w:val="32"/>
          <w:highlight w:val="none"/>
          <w:lang w:val="en-US" w:eastAsia="zh-CN"/>
        </w:rPr>
        <w:t>91442000282055260P</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黑体" w:cs="Times New Roman"/>
          <w:color w:val="auto"/>
          <w:kern w:val="2"/>
          <w:sz w:val="32"/>
          <w:szCs w:val="32"/>
        </w:rPr>
        <w:t>住所：</w:t>
      </w:r>
      <w:r>
        <w:rPr>
          <w:rFonts w:hint="eastAsia" w:ascii="Times New Roman" w:hAnsi="Times New Roman" w:eastAsia="仿宋_GB2312" w:cs="Times New Roman"/>
          <w:kern w:val="2"/>
          <w:sz w:val="32"/>
          <w:szCs w:val="32"/>
          <w:highlight w:val="none"/>
          <w:lang w:val="en-US" w:eastAsia="zh-CN"/>
        </w:rPr>
        <w:t>中山市火炬开发区兴业路1号4楼412室</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eastAsia" w:ascii="Times New Roman" w:hAnsi="Times New Roman" w:eastAsia="黑体" w:cs="Times New Roman"/>
          <w:bCs/>
          <w:color w:val="auto"/>
          <w:kern w:val="2"/>
          <w:sz w:val="32"/>
          <w:szCs w:val="32"/>
          <w:lang w:val="en-US" w:eastAsia="zh-CN" w:bidi="ar-SA"/>
        </w:rPr>
      </w:pPr>
      <w:r>
        <w:rPr>
          <w:rFonts w:hint="default" w:ascii="Times New Roman" w:hAnsi="Times New Roman" w:eastAsia="黑体" w:cs="Times New Roman"/>
          <w:color w:val="auto"/>
          <w:kern w:val="2"/>
          <w:sz w:val="32"/>
          <w:szCs w:val="32"/>
        </w:rPr>
        <w:t>法定代表人：</w:t>
      </w:r>
      <w:r>
        <w:rPr>
          <w:rFonts w:hint="eastAsia" w:ascii="Times New Roman" w:hAnsi="Times New Roman" w:eastAsia="仿宋_GB2312" w:cs="Times New Roman"/>
          <w:kern w:val="2"/>
          <w:sz w:val="32"/>
          <w:szCs w:val="32"/>
          <w:highlight w:val="none"/>
          <w:lang w:val="en-US" w:eastAsia="zh-CN"/>
        </w:rPr>
        <w:t>（略）</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黑体" w:cs="Times New Roman"/>
          <w:color w:val="auto"/>
          <w:kern w:val="2"/>
          <w:sz w:val="32"/>
          <w:szCs w:val="32"/>
          <w:lang w:val="en-US" w:eastAsia="zh-CN"/>
        </w:rPr>
      </w:pPr>
      <w:r>
        <w:rPr>
          <w:rFonts w:hint="default" w:ascii="Times New Roman" w:hAnsi="Times New Roman" w:eastAsia="黑体" w:cs="Times New Roman"/>
          <w:color w:val="auto"/>
          <w:kern w:val="2"/>
          <w:sz w:val="32"/>
          <w:szCs w:val="32"/>
        </w:rPr>
        <w:t>身份证件号码：</w:t>
      </w:r>
      <w:r>
        <w:rPr>
          <w:rFonts w:hint="eastAsia" w:ascii="Times New Roman" w:hAnsi="Times New Roman" w:eastAsia="仿宋_GB2312" w:cs="Times New Roman"/>
          <w:kern w:val="2"/>
          <w:sz w:val="32"/>
          <w:szCs w:val="32"/>
          <w:highlight w:val="none"/>
          <w:lang w:val="en-US" w:eastAsia="zh-CN"/>
        </w:rPr>
        <w:t>（略）</w:t>
      </w:r>
    </w:p>
    <w:p>
      <w:pPr>
        <w:pStyle w:val="7"/>
        <w:keepNext w:val="0"/>
        <w:keepLines w:val="0"/>
        <w:pageBreakBefore w:val="0"/>
        <w:widowControl w:val="0"/>
        <w:kinsoku/>
        <w:wordWrap/>
        <w:topLinePunct w:val="0"/>
        <w:bidi w:val="0"/>
        <w:snapToGrid/>
        <w:spacing w:before="0" w:beforeLines="0" w:after="0" w:afterLines="0" w:line="594" w:lineRule="exact"/>
        <w:textAlignment w:val="auto"/>
        <w:rPr>
          <w:rFonts w:hint="default"/>
        </w:rPr>
      </w:pP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仿宋_GB2312" w:cs="Times New Roman"/>
          <w:bCs/>
          <w:kern w:val="2"/>
          <w:sz w:val="32"/>
          <w:szCs w:val="32"/>
          <w:u w:val="none"/>
          <w:lang w:val="en-US" w:eastAsia="zh-CN" w:bidi="ar-SA"/>
        </w:rPr>
      </w:pPr>
      <w:r>
        <w:rPr>
          <w:rFonts w:hint="default" w:ascii="Times New Roman" w:hAnsi="Times New Roman" w:eastAsia="黑体" w:cs="Times New Roman"/>
          <w:color w:val="auto"/>
          <w:kern w:val="2"/>
          <w:sz w:val="32"/>
          <w:szCs w:val="32"/>
        </w:rPr>
        <w:t>当事人：</w:t>
      </w:r>
      <w:r>
        <w:rPr>
          <w:rFonts w:hint="default" w:ascii="Times New Roman" w:hAnsi="Times New Roman" w:eastAsia="仿宋_GB2312" w:cs="Times New Roman"/>
          <w:kern w:val="2"/>
          <w:sz w:val="32"/>
          <w:szCs w:val="32"/>
          <w:highlight w:val="none"/>
          <w:lang w:val="en-US" w:eastAsia="zh-CN"/>
        </w:rPr>
        <w:t>上海鼎晖百孚投资管理有限公司</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黑体" w:cs="Times New Roman"/>
          <w:color w:val="auto"/>
          <w:kern w:val="2"/>
          <w:sz w:val="32"/>
          <w:szCs w:val="32"/>
        </w:rPr>
        <w:t>主体资格证照名称：</w:t>
      </w:r>
      <w:r>
        <w:rPr>
          <w:rFonts w:hint="default" w:ascii="Times New Roman" w:hAnsi="Times New Roman" w:eastAsia="仿宋_GB2312" w:cs="Times New Roman"/>
          <w:bCs/>
          <w:color w:val="auto"/>
          <w:kern w:val="2"/>
          <w:sz w:val="32"/>
          <w:szCs w:val="32"/>
          <w:lang w:val="en-US" w:eastAsia="zh-CN" w:bidi="ar-SA"/>
        </w:rPr>
        <w:t>营业执照</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黑体" w:cs="Times New Roman"/>
          <w:bCs/>
          <w:color w:val="auto"/>
          <w:kern w:val="2"/>
          <w:sz w:val="32"/>
          <w:szCs w:val="32"/>
          <w:highlight w:val="yellow"/>
          <w:lang w:val="en-US" w:eastAsia="zh-CN" w:bidi="ar-SA"/>
        </w:rPr>
      </w:pPr>
      <w:r>
        <w:rPr>
          <w:rFonts w:hint="default" w:ascii="Times New Roman" w:hAnsi="Times New Roman" w:eastAsia="黑体" w:cs="Times New Roman"/>
          <w:color w:val="auto"/>
          <w:kern w:val="2"/>
          <w:sz w:val="32"/>
          <w:szCs w:val="32"/>
        </w:rPr>
        <w:t>统一社会信用代码：</w:t>
      </w:r>
      <w:r>
        <w:rPr>
          <w:rFonts w:hint="eastAsia" w:ascii="Times New Roman" w:hAnsi="Times New Roman" w:eastAsia="仿宋_GB2312" w:cs="Times New Roman"/>
          <w:bCs/>
          <w:color w:val="auto"/>
          <w:kern w:val="2"/>
          <w:sz w:val="32"/>
          <w:szCs w:val="32"/>
          <w:lang w:val="en-US" w:eastAsia="zh-CN" w:bidi="ar-SA"/>
        </w:rPr>
        <w:t>91310101312106197J</w:t>
      </w:r>
    </w:p>
    <w:p>
      <w:pPr>
        <w:pStyle w:val="6"/>
        <w:keepNext w:val="0"/>
        <w:keepLines w:val="0"/>
        <w:pageBreakBefore w:val="0"/>
        <w:widowControl w:val="0"/>
        <w:kinsoku/>
        <w:wordWrap/>
        <w:topLinePunct w:val="0"/>
        <w:bidi w:val="0"/>
        <w:adjustRightInd w:val="0"/>
        <w:snapToGrid/>
        <w:spacing w:after="0" w:line="594" w:lineRule="exact"/>
        <w:ind w:left="1568" w:leftChars="304" w:hanging="948" w:hangingChars="302"/>
        <w:textAlignment w:val="auto"/>
        <w:rPr>
          <w:rFonts w:hint="default" w:ascii="Times New Roman" w:hAnsi="Times New Roman" w:eastAsia="黑体" w:cs="Times New Roman"/>
          <w:bCs/>
          <w:color w:val="auto"/>
          <w:kern w:val="2"/>
          <w:sz w:val="32"/>
          <w:szCs w:val="32"/>
          <w:lang w:val="en-US" w:eastAsia="zh-CN" w:bidi="ar-SA"/>
        </w:rPr>
      </w:pPr>
      <w:r>
        <w:rPr>
          <w:rFonts w:hint="default" w:ascii="Times New Roman" w:hAnsi="Times New Roman" w:eastAsia="黑体" w:cs="Times New Roman"/>
          <w:color w:val="auto"/>
          <w:kern w:val="2"/>
          <w:sz w:val="32"/>
          <w:szCs w:val="32"/>
        </w:rPr>
        <w:t>住所：</w:t>
      </w:r>
      <w:r>
        <w:rPr>
          <w:rFonts w:hint="eastAsia" w:ascii="Times New Roman" w:hAnsi="Times New Roman" w:eastAsia="仿宋_GB2312" w:cs="Times New Roman"/>
          <w:bCs/>
          <w:color w:val="auto"/>
          <w:kern w:val="2"/>
          <w:sz w:val="32"/>
          <w:szCs w:val="32"/>
          <w:lang w:val="en-US" w:eastAsia="zh-CN" w:bidi="ar-SA"/>
        </w:rPr>
        <w:t>上海市黄浦区湖滨路150号3003-3007室（实际楼层26楼，名义楼层30楼）</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eastAsia" w:ascii="Times New Roman" w:hAnsi="Times New Roman" w:eastAsia="黑体" w:cs="Times New Roman"/>
          <w:bCs/>
          <w:color w:val="auto"/>
          <w:kern w:val="2"/>
          <w:sz w:val="32"/>
          <w:szCs w:val="32"/>
          <w:lang w:val="en-US" w:eastAsia="zh-CN" w:bidi="ar-SA"/>
        </w:rPr>
      </w:pPr>
      <w:r>
        <w:rPr>
          <w:rFonts w:hint="default" w:ascii="Times New Roman" w:hAnsi="Times New Roman" w:eastAsia="黑体" w:cs="Times New Roman"/>
          <w:color w:val="auto"/>
          <w:kern w:val="2"/>
          <w:sz w:val="32"/>
          <w:szCs w:val="32"/>
        </w:rPr>
        <w:t>法定代表人：</w:t>
      </w:r>
      <w:r>
        <w:rPr>
          <w:rFonts w:hint="eastAsia" w:ascii="Times New Roman" w:hAnsi="Times New Roman" w:eastAsia="仿宋_GB2312" w:cs="Times New Roman"/>
          <w:kern w:val="2"/>
          <w:sz w:val="32"/>
          <w:szCs w:val="32"/>
          <w:highlight w:val="none"/>
          <w:lang w:val="en-US" w:eastAsia="zh-CN"/>
        </w:rPr>
        <w:t>（略）</w:t>
      </w:r>
    </w:p>
    <w:p>
      <w:pPr>
        <w:pStyle w:val="6"/>
        <w:keepNext w:val="0"/>
        <w:keepLines w:val="0"/>
        <w:pageBreakBefore w:val="0"/>
        <w:widowControl w:val="0"/>
        <w:kinsoku/>
        <w:wordWrap/>
        <w:topLinePunct w:val="0"/>
        <w:bidi w:val="0"/>
        <w:adjustRightInd w:val="0"/>
        <w:snapToGrid/>
        <w:spacing w:after="0" w:line="594" w:lineRule="exact"/>
        <w:ind w:left="0" w:leftChars="0" w:firstLine="619" w:firstLineChars="197"/>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黑体" w:cs="Times New Roman"/>
          <w:color w:val="auto"/>
          <w:kern w:val="2"/>
          <w:sz w:val="32"/>
          <w:szCs w:val="32"/>
        </w:rPr>
        <w:t>身份证件号码：</w:t>
      </w:r>
      <w:r>
        <w:rPr>
          <w:rFonts w:hint="eastAsia" w:ascii="Times New Roman" w:hAnsi="Times New Roman" w:eastAsia="仿宋_GB2312" w:cs="Times New Roman"/>
          <w:kern w:val="2"/>
          <w:sz w:val="32"/>
          <w:szCs w:val="32"/>
          <w:highlight w:val="none"/>
          <w:lang w:val="en-US" w:eastAsia="zh-CN"/>
        </w:rPr>
        <w:t>（略）</w:t>
      </w:r>
    </w:p>
    <w:p>
      <w:pPr>
        <w:pStyle w:val="13"/>
        <w:keepNext w:val="0"/>
        <w:keepLines w:val="0"/>
        <w:pageBreakBefore w:val="0"/>
        <w:widowControl w:val="0"/>
        <w:kinsoku/>
        <w:wordWrap/>
        <w:topLinePunct w:val="0"/>
        <w:bidi w:val="0"/>
        <w:adjustRightInd w:val="0"/>
        <w:snapToGrid/>
        <w:spacing w:after="0" w:line="594" w:lineRule="exact"/>
        <w:ind w:left="0" w:leftChars="0" w:firstLine="0" w:firstLineChars="0"/>
        <w:textAlignment w:val="auto"/>
        <w:rPr>
          <w:rFonts w:hint="default" w:ascii="Times New Roman" w:hAnsi="Times New Roman" w:cs="Times New Roman"/>
          <w:color w:val="auto"/>
          <w:lang w:eastAsia="zh-CN"/>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根据《中华人民共和国反垄断法》（以下简称《反垄断法》）、《经营者集中审查规定》，</w:t>
      </w:r>
      <w:r>
        <w:rPr>
          <w:rStyle w:val="17"/>
          <w:rFonts w:hint="default" w:ascii="Times New Roman" w:hAnsi="Times New Roman" w:eastAsia="仿宋_GB2312" w:cs="Times New Roman"/>
          <w:bCs/>
          <w:color w:val="auto"/>
          <w:sz w:val="32"/>
          <w:szCs w:val="32"/>
          <w:u w:val="none"/>
          <w:lang w:val="en-US" w:eastAsia="zh-CN"/>
        </w:rPr>
        <w:t>本机关</w:t>
      </w:r>
      <w:r>
        <w:rPr>
          <w:rFonts w:hint="default" w:ascii="Times New Roman" w:hAnsi="Times New Roman" w:eastAsia="仿宋_GB2312" w:cs="Times New Roman"/>
          <w:bCs/>
          <w:color w:val="auto"/>
          <w:kern w:val="2"/>
          <w:sz w:val="32"/>
          <w:szCs w:val="32"/>
          <w:lang w:val="en-US" w:eastAsia="zh-CN" w:bidi="ar-SA"/>
        </w:rPr>
        <w:t>于2025年12月31日</w:t>
      </w:r>
      <w:r>
        <w:rPr>
          <w:rFonts w:hint="default" w:ascii="Times New Roman" w:hAnsi="Times New Roman" w:eastAsia="仿宋_GB2312" w:cs="Times New Roman"/>
          <w:bCs/>
          <w:color w:val="auto"/>
          <w:sz w:val="32"/>
          <w:szCs w:val="32"/>
        </w:rPr>
        <w:t>对中山火炬集团有限公司（以下简称火炬集团）和上海鼎晖百孚投资管理有限公司（以下简称鼎晖百孚）通过其他方式取得中炬高新技术实业（集团）股份有限公司（以下简称中炬高新）控制权涉嫌违法实施经营者集中案</w:t>
      </w:r>
      <w:r>
        <w:rPr>
          <w:rFonts w:hint="default" w:ascii="Times New Roman" w:hAnsi="Times New Roman" w:eastAsia="仿宋_GB2312" w:cs="Times New Roman"/>
          <w:bCs/>
          <w:color w:val="auto"/>
          <w:kern w:val="2"/>
          <w:sz w:val="32"/>
          <w:szCs w:val="32"/>
          <w:lang w:val="en-US" w:eastAsia="zh-CN" w:bidi="ar-SA"/>
        </w:rPr>
        <w:t>进行立案调查。</w:t>
      </w:r>
    </w:p>
    <w:p>
      <w:pPr>
        <w:keepNext w:val="0"/>
        <w:keepLines w:val="0"/>
        <w:pageBreakBefore w:val="0"/>
        <w:widowControl w:val="0"/>
        <w:suppressAutoHyphens/>
        <w:kinsoku/>
        <w:wordWrap/>
        <w:overflowPunct/>
        <w:topLinePunct w:val="0"/>
        <w:autoSpaceDE/>
        <w:autoSpaceDN/>
        <w:bidi w:val="0"/>
        <w:adjustRightInd w:val="0"/>
        <w:snapToGrid/>
        <w:spacing w:line="594" w:lineRule="exact"/>
        <w:ind w:firstLine="628" w:firstLineChars="200"/>
        <w:jc w:val="both"/>
        <w:textAlignment w:val="auto"/>
        <w:outlineLvl w:val="0"/>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经查，该案构成违法实施经营者集中，但不具有排除、限制竞争的效果。</w:t>
      </w:r>
      <w:r>
        <w:rPr>
          <w:rStyle w:val="17"/>
          <w:rFonts w:hint="default" w:ascii="Times New Roman" w:hAnsi="Times New Roman" w:eastAsia="仿宋_GB2312" w:cs="Times New Roman"/>
          <w:bCs/>
          <w:color w:val="auto"/>
          <w:sz w:val="32"/>
          <w:szCs w:val="32"/>
          <w:u w:val="none"/>
          <w:lang w:val="en-US" w:eastAsia="zh-CN"/>
        </w:rPr>
        <w:t>本机关</w:t>
      </w:r>
      <w:r>
        <w:rPr>
          <w:rFonts w:hint="default" w:ascii="Times New Roman" w:hAnsi="Times New Roman" w:eastAsia="仿宋_GB2312" w:cs="Times New Roman"/>
          <w:bCs/>
          <w:color w:val="auto"/>
          <w:kern w:val="2"/>
          <w:sz w:val="32"/>
          <w:szCs w:val="32"/>
          <w:lang w:val="en-US" w:eastAsia="zh-CN" w:bidi="ar-SA"/>
        </w:rPr>
        <w:t>按照《中华人民共和国行政处罚法》（以下简称《行政处罚法》）的规定，向火炬集团和鼎晖百孚送达了《行政处罚告知书》，告知当事人拟作出的行政处罚内容及事实、理由、依据，并告知当事人依法享有的陈述、申辩、要求听证的权利。</w:t>
      </w:r>
      <w:r>
        <w:rPr>
          <w:rFonts w:hint="default" w:ascii="Times New Roman" w:hAnsi="Times New Roman" w:eastAsia="仿宋_GB2312" w:cs="Times New Roman"/>
          <w:bCs/>
          <w:color w:val="auto"/>
          <w:sz w:val="32"/>
          <w:szCs w:val="32"/>
        </w:rPr>
        <w:t>火炬集团</w:t>
      </w:r>
      <w:r>
        <w:rPr>
          <w:rFonts w:hint="eastAsia"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鼎晖百孚</w:t>
      </w:r>
      <w:r>
        <w:rPr>
          <w:rFonts w:hint="default" w:ascii="Times New Roman" w:hAnsi="Times New Roman" w:eastAsia="仿宋_GB2312" w:cs="Times New Roman"/>
          <w:bCs/>
          <w:color w:val="auto"/>
          <w:kern w:val="2"/>
          <w:sz w:val="32"/>
          <w:szCs w:val="32"/>
          <w:highlight w:val="none"/>
          <w:lang w:val="en-US" w:eastAsia="zh-CN" w:bidi="ar-SA"/>
        </w:rPr>
        <w:t>在规定期限内没有提出陈述、申辩意见或要求举行听证，本案现已调查终结。</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黑体" w:cs="Times New Roman"/>
          <w:color w:val="auto"/>
          <w:kern w:val="2"/>
          <w:sz w:val="32"/>
          <w:szCs w:val="32"/>
          <w:lang w:eastAsia="zh-CN"/>
        </w:rPr>
      </w:pPr>
      <w:r>
        <w:rPr>
          <w:rFonts w:hint="default" w:ascii="Times New Roman" w:hAnsi="Times New Roman" w:eastAsia="黑体" w:cs="Times New Roman"/>
          <w:color w:val="auto"/>
          <w:kern w:val="2"/>
          <w:sz w:val="32"/>
          <w:szCs w:val="32"/>
        </w:rPr>
        <w:t>一、</w:t>
      </w:r>
      <w:r>
        <w:rPr>
          <w:rFonts w:hint="default" w:ascii="Times New Roman" w:hAnsi="Times New Roman" w:eastAsia="黑体" w:cs="Times New Roman"/>
          <w:color w:val="auto"/>
          <w:kern w:val="2"/>
          <w:sz w:val="32"/>
          <w:szCs w:val="32"/>
          <w:lang w:eastAsia="zh-CN"/>
        </w:rPr>
        <w:t>案件来源及调查经过</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left="0" w:leftChars="0" w:firstLine="628" w:firstLineChars="200"/>
        <w:jc w:val="both"/>
        <w:textAlignment w:val="auto"/>
        <w:rPr>
          <w:rFonts w:hint="default" w:ascii="Times New Roman" w:hAnsi="Times New Roman" w:cs="Times New Roman"/>
        </w:rPr>
      </w:pPr>
      <w:r>
        <w:rPr>
          <w:rFonts w:hint="default" w:ascii="Times New Roman" w:hAnsi="Times New Roman" w:eastAsia="仿宋_GB2312" w:cs="Times New Roman"/>
          <w:bCs w:val="0"/>
          <w:color w:val="auto"/>
          <w:sz w:val="32"/>
          <w:szCs w:val="32"/>
          <w:lang w:val="en-US" w:eastAsia="zh-CN"/>
        </w:rPr>
        <w:t>2023年7月3日，本机关收到火炬集团和鼎晖百孚共同提交的经营者集中反垄断申报，同日委托上海市市场监管局审查。审查期间，发现中炬高新于7月24日召开临时股东大会改组董事会，火炬集团和鼎晖百孚在临时股东大会后取得中炬高新控制权，涉嫌违法实施经营者集中。2025年12月31日，对本案立案调查。2026年1月31日，实施进一步调查，对本案是否具有排除、限制竞争效果进行了评估。</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黑体" w:cs="Times New Roman"/>
          <w:color w:val="auto"/>
          <w:kern w:val="2"/>
          <w:sz w:val="32"/>
          <w:szCs w:val="32"/>
          <w:lang w:eastAsia="zh-CN"/>
        </w:rPr>
      </w:pPr>
      <w:r>
        <w:rPr>
          <w:rFonts w:hint="default" w:ascii="Times New Roman" w:hAnsi="Times New Roman" w:eastAsia="黑体" w:cs="Times New Roman"/>
          <w:color w:val="auto"/>
          <w:kern w:val="2"/>
          <w:sz w:val="32"/>
          <w:szCs w:val="32"/>
          <w:lang w:eastAsia="zh-CN"/>
        </w:rPr>
        <w:t>二</w:t>
      </w:r>
      <w:r>
        <w:rPr>
          <w:rFonts w:hint="default" w:ascii="Times New Roman" w:hAnsi="Times New Roman" w:eastAsia="黑体" w:cs="Times New Roman"/>
          <w:color w:val="auto"/>
          <w:kern w:val="2"/>
          <w:sz w:val="32"/>
          <w:szCs w:val="32"/>
        </w:rPr>
        <w:t>、</w:t>
      </w:r>
      <w:r>
        <w:rPr>
          <w:rFonts w:hint="default" w:ascii="Times New Roman" w:hAnsi="Times New Roman" w:eastAsia="黑体" w:cs="Times New Roman"/>
          <w:color w:val="auto"/>
          <w:kern w:val="2"/>
          <w:sz w:val="32"/>
          <w:szCs w:val="32"/>
          <w:lang w:eastAsia="zh-CN"/>
        </w:rPr>
        <w:t>基本情况</w:t>
      </w:r>
    </w:p>
    <w:p>
      <w:pPr>
        <w:pStyle w:val="18"/>
        <w:keepNext w:val="0"/>
        <w:keepLines w:val="0"/>
        <w:pageBreakBefore w:val="0"/>
        <w:widowControl w:val="0"/>
        <w:kinsoku/>
        <w:wordWrap/>
        <w:topLinePunct w:val="0"/>
        <w:bidi w:val="0"/>
        <w:adjustRightInd w:val="0"/>
        <w:snapToGrid/>
        <w:spacing w:line="594" w:lineRule="exact"/>
        <w:ind w:left="0" w:leftChars="0" w:firstLine="643"/>
        <w:jc w:val="both"/>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（一）</w:t>
      </w:r>
      <w:r>
        <w:rPr>
          <w:rFonts w:hint="default" w:ascii="Times New Roman" w:hAnsi="Times New Roman" w:eastAsia="楷体_GB2312" w:cs="Times New Roman"/>
          <w:b w:val="0"/>
          <w:bCs/>
          <w:color w:val="auto"/>
          <w:lang w:eastAsia="zh-CN"/>
        </w:rPr>
        <w:t>交易方</w:t>
      </w:r>
      <w:r>
        <w:rPr>
          <w:rFonts w:hint="default" w:ascii="Times New Roman" w:hAnsi="Times New Roman" w:eastAsia="楷体_GB2312" w:cs="Times New Roman"/>
          <w:b w:val="0"/>
          <w:bCs/>
          <w:color w:val="auto"/>
        </w:rPr>
        <w:t>。</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楷体_GB2312" w:cs="Times New Roman"/>
          <w:b w:val="0"/>
          <w:bCs/>
          <w:color w:val="auto"/>
          <w:kern w:val="2"/>
          <w:sz w:val="32"/>
          <w:szCs w:val="32"/>
          <w:lang w:val="en-US" w:eastAsia="zh-CN" w:bidi="ar-SA"/>
        </w:rPr>
        <w:t>当事人（取得控制权方）：火炬集团。</w:t>
      </w:r>
      <w:r>
        <w:rPr>
          <w:rFonts w:hint="default" w:ascii="Times New Roman" w:hAnsi="Times New Roman" w:eastAsia="仿宋_GB2312" w:cs="Times New Roman"/>
          <w:b w:val="0"/>
          <w:bCs w:val="0"/>
          <w:color w:val="auto"/>
          <w:kern w:val="2"/>
          <w:sz w:val="32"/>
          <w:szCs w:val="32"/>
          <w:highlight w:val="none"/>
          <w:u w:val="none"/>
          <w:lang w:val="en-US" w:eastAsia="zh-CN"/>
        </w:rPr>
        <w:t>1992年在广东省注册成立，</w:t>
      </w:r>
      <w:r>
        <w:rPr>
          <w:rFonts w:hint="default" w:ascii="Times New Roman" w:hAnsi="Times New Roman" w:eastAsia="仿宋_GB2312" w:cs="Times New Roman"/>
          <w:color w:val="auto"/>
          <w:kern w:val="2"/>
          <w:sz w:val="32"/>
          <w:szCs w:val="32"/>
          <w:highlight w:val="none"/>
          <w:lang w:eastAsia="zh-CN"/>
        </w:rPr>
        <w:t>最终控制人是</w:t>
      </w:r>
      <w:r>
        <w:rPr>
          <w:rFonts w:hint="eastAsia" w:ascii="Times New Roman" w:hAnsi="Times New Roman" w:eastAsia="仿宋_GB2312" w:cs="Times New Roman"/>
          <w:kern w:val="2"/>
          <w:sz w:val="32"/>
          <w:szCs w:val="32"/>
          <w:highlight w:val="none"/>
          <w:lang w:val="en-US" w:eastAsia="zh-CN"/>
        </w:rPr>
        <w:t>（略）</w:t>
      </w:r>
      <w:r>
        <w:rPr>
          <w:rFonts w:hint="default"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（略）</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主要从事土地开发、租赁及物业管理、房地产销售、自来水供应等业务。</w:t>
      </w:r>
      <w:r>
        <w:rPr>
          <w:rFonts w:hint="default" w:ascii="Times New Roman" w:hAnsi="Times New Roman" w:eastAsia="仿宋_GB2312" w:cs="Times New Roman"/>
          <w:color w:val="auto"/>
          <w:kern w:val="2"/>
          <w:sz w:val="32"/>
          <w:szCs w:val="32"/>
          <w:highlight w:val="none"/>
          <w:lang w:eastAsia="zh-CN"/>
        </w:rPr>
        <w:t>火炬集团主要从事厂房出租及其他建筑物出租业务。</w:t>
      </w:r>
      <w:r>
        <w:rPr>
          <w:rFonts w:hint="default" w:ascii="Times New Roman" w:hAnsi="Times New Roman" w:eastAsia="仿宋_GB2312" w:cs="Times New Roman"/>
          <w:color w:val="auto"/>
          <w:kern w:val="2"/>
          <w:sz w:val="32"/>
          <w:szCs w:val="32"/>
          <w:highlight w:val="none"/>
          <w:lang w:val="en-US" w:eastAsia="zh-CN"/>
        </w:rPr>
        <w:t>2022年，火炬集团（含关联方）全球（包括中国境内，下同）和中国境内营业额均为</w:t>
      </w:r>
      <w:r>
        <w:rPr>
          <w:rFonts w:hint="eastAsia" w:ascii="Times New Roman" w:hAnsi="Times New Roman" w:eastAsia="仿宋_GB2312" w:cs="Times New Roman"/>
          <w:kern w:val="2"/>
          <w:sz w:val="32"/>
          <w:szCs w:val="32"/>
          <w:highlight w:val="none"/>
          <w:lang w:val="en-US" w:eastAsia="zh-CN"/>
        </w:rPr>
        <w:t>（略）</w:t>
      </w:r>
      <w:r>
        <w:rPr>
          <w:rFonts w:hint="default" w:ascii="Times New Roman" w:hAnsi="Times New Roman" w:eastAsia="仿宋_GB2312" w:cs="Times New Roman"/>
          <w:color w:val="auto"/>
          <w:kern w:val="2"/>
          <w:sz w:val="32"/>
          <w:szCs w:val="32"/>
          <w:highlight w:val="none"/>
          <w:lang w:val="en-US" w:eastAsia="zh-CN"/>
        </w:rPr>
        <w:t>人民币</w:t>
      </w:r>
      <w:r>
        <w:rPr>
          <w:rFonts w:hint="default" w:ascii="Times New Roman" w:hAnsi="Times New Roman" w:eastAsia="仿宋_GB2312" w:cs="Times New Roman"/>
          <w:color w:val="auto"/>
          <w:kern w:val="2"/>
          <w:sz w:val="32"/>
          <w:szCs w:val="32"/>
          <w:highlight w:val="none"/>
        </w:rPr>
        <w:t>（币种下同）</w:t>
      </w:r>
      <w:r>
        <w:rPr>
          <w:rFonts w:hint="default" w:ascii="Times New Roman" w:hAnsi="Times New Roman" w:eastAsia="仿宋_GB2312" w:cs="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eastAsia="仿宋_GB2312" w:cs="Times New Roman"/>
          <w:bCs w:val="0"/>
          <w:color w:val="auto"/>
          <w:sz w:val="32"/>
          <w:szCs w:val="32"/>
          <w:lang w:val="en-US" w:eastAsia="zh-CN"/>
        </w:rPr>
      </w:pPr>
      <w:r>
        <w:rPr>
          <w:rFonts w:hint="default" w:ascii="Times New Roman" w:hAnsi="Times New Roman" w:eastAsia="楷体_GB2312" w:cs="Times New Roman"/>
          <w:b w:val="0"/>
          <w:bCs/>
          <w:color w:val="auto"/>
          <w:kern w:val="2"/>
          <w:sz w:val="32"/>
          <w:szCs w:val="32"/>
          <w:lang w:val="en-US" w:eastAsia="zh-CN" w:bidi="ar-SA"/>
        </w:rPr>
        <w:t>当事人（取得控制权方）：鼎晖百孚。</w:t>
      </w:r>
      <w:r>
        <w:rPr>
          <w:rFonts w:hint="default" w:ascii="Times New Roman" w:hAnsi="Times New Roman" w:eastAsia="仿宋_GB2312" w:cs="Times New Roman"/>
          <w:b w:val="0"/>
          <w:bCs w:val="0"/>
          <w:color w:val="auto"/>
          <w:kern w:val="0"/>
          <w:sz w:val="32"/>
          <w:szCs w:val="32"/>
          <w:highlight w:val="none"/>
          <w:u w:val="none"/>
          <w:lang w:val="en-US" w:eastAsia="zh-CN" w:bidi="ar-SA"/>
        </w:rPr>
        <w:t>2014年在上海市注册成立，最终控制人为</w:t>
      </w:r>
      <w:r>
        <w:rPr>
          <w:rFonts w:hint="eastAsia" w:ascii="Times New Roman" w:hAnsi="Times New Roman" w:eastAsia="仿宋_GB2312" w:cs="Times New Roman"/>
          <w:kern w:val="2"/>
          <w:sz w:val="32"/>
          <w:szCs w:val="32"/>
          <w:highlight w:val="none"/>
          <w:lang w:val="en-US" w:eastAsia="zh-CN"/>
        </w:rPr>
        <w:t>（略）</w:t>
      </w:r>
      <w:r>
        <w:rPr>
          <w:rFonts w:hint="default" w:ascii="Times New Roman" w:hAnsi="Times New Roman" w:eastAsia="仿宋_GB2312" w:cs="Times New Roman"/>
          <w:b w:val="0"/>
          <w:bCs w:val="0"/>
          <w:color w:val="auto"/>
          <w:kern w:val="0"/>
          <w:sz w:val="32"/>
          <w:szCs w:val="32"/>
          <w:highlight w:val="none"/>
          <w:u w:val="none"/>
          <w:lang w:val="en-US" w:eastAsia="zh-CN" w:bidi="ar-SA"/>
        </w:rPr>
        <w:t>。</w:t>
      </w:r>
      <w:r>
        <w:rPr>
          <w:rFonts w:hint="eastAsia" w:ascii="Times New Roman" w:hAnsi="Times New Roman" w:eastAsia="仿宋_GB2312" w:cs="Times New Roman"/>
          <w:kern w:val="2"/>
          <w:sz w:val="32"/>
          <w:szCs w:val="32"/>
          <w:highlight w:val="none"/>
          <w:lang w:val="en-US" w:eastAsia="zh-CN"/>
        </w:rPr>
        <w:t>（略）</w:t>
      </w:r>
      <w:r>
        <w:rPr>
          <w:rFonts w:hint="default" w:ascii="Times New Roman" w:hAnsi="Times New Roman" w:eastAsia="仿宋_GB2312" w:cs="Times New Roman"/>
          <w:b w:val="0"/>
          <w:bCs w:val="0"/>
          <w:color w:val="auto"/>
          <w:kern w:val="0"/>
          <w:sz w:val="32"/>
          <w:szCs w:val="32"/>
          <w:highlight w:val="none"/>
          <w:u w:val="none"/>
          <w:lang w:val="en-US" w:eastAsia="zh-CN" w:bidi="ar-SA"/>
        </w:rPr>
        <w:t>从事私募股权投资管理业务。鼎晖百孚主要从事投资管理业务。2022年，鼎晖百孚（含关联方）全球和中国境内营业额分别为</w:t>
      </w:r>
      <w:r>
        <w:rPr>
          <w:rFonts w:hint="eastAsia" w:ascii="Times New Roman" w:hAnsi="Times New Roman" w:eastAsia="仿宋_GB2312" w:cs="Times New Roman"/>
          <w:b w:val="0"/>
          <w:bCs w:val="0"/>
          <w:color w:val="auto"/>
          <w:kern w:val="0"/>
          <w:sz w:val="32"/>
          <w:szCs w:val="32"/>
          <w:highlight w:val="none"/>
          <w:u w:val="none"/>
          <w:lang w:val="en-US" w:eastAsia="zh-CN" w:bidi="ar-SA"/>
        </w:rPr>
        <w:t>（略）</w:t>
      </w:r>
      <w:r>
        <w:rPr>
          <w:rFonts w:hint="default" w:ascii="Times New Roman" w:hAnsi="Times New Roman" w:eastAsia="仿宋_GB2312" w:cs="Times New Roman"/>
          <w:b w:val="0"/>
          <w:bCs w:val="0"/>
          <w:color w:val="auto"/>
          <w:kern w:val="0"/>
          <w:sz w:val="32"/>
          <w:szCs w:val="32"/>
          <w:highlight w:val="none"/>
          <w:u w:val="none"/>
          <w:lang w:val="en-US" w:eastAsia="zh-CN" w:bidi="ar-SA"/>
        </w:rPr>
        <w:t>。</w:t>
      </w:r>
    </w:p>
    <w:p>
      <w:pPr>
        <w:pStyle w:val="18"/>
        <w:keepNext w:val="0"/>
        <w:keepLines w:val="0"/>
        <w:pageBreakBefore w:val="0"/>
        <w:widowControl w:val="0"/>
        <w:kinsoku/>
        <w:wordWrap/>
        <w:overflowPunct w:val="0"/>
        <w:topLinePunct w:val="0"/>
        <w:autoSpaceDE w:val="0"/>
        <w:autoSpaceDN w:val="0"/>
        <w:bidi w:val="0"/>
        <w:adjustRightInd w:val="0"/>
        <w:snapToGrid/>
        <w:spacing w:line="594" w:lineRule="exact"/>
        <w:ind w:firstLine="643"/>
        <w:jc w:val="both"/>
        <w:textAlignment w:val="auto"/>
        <w:rPr>
          <w:rFonts w:hint="default" w:ascii="Times New Roman" w:hAnsi="Times New Roman" w:eastAsia="仿宋_GB2312" w:cs="Times New Roman"/>
          <w:bCs w:val="0"/>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目标</w:t>
      </w:r>
      <w:r>
        <w:rPr>
          <w:rFonts w:hint="eastAsia" w:ascii="Times New Roman" w:hAnsi="Times New Roman" w:eastAsia="楷体_GB2312" w:cs="Times New Roman"/>
          <w:b w:val="0"/>
          <w:bCs/>
          <w:color w:val="auto"/>
          <w:kern w:val="2"/>
          <w:sz w:val="32"/>
          <w:szCs w:val="32"/>
          <w:lang w:val="en-US" w:eastAsia="zh-CN" w:bidi="ar-SA"/>
        </w:rPr>
        <w:t>公司</w:t>
      </w:r>
      <w:r>
        <w:rPr>
          <w:rFonts w:hint="default" w:ascii="Times New Roman" w:hAnsi="Times New Roman" w:eastAsia="楷体_GB2312" w:cs="Times New Roman"/>
          <w:b w:val="0"/>
          <w:bCs/>
          <w:color w:val="auto"/>
          <w:kern w:val="2"/>
          <w:sz w:val="32"/>
          <w:szCs w:val="32"/>
          <w:lang w:val="en-US" w:eastAsia="zh-CN" w:bidi="ar-SA"/>
        </w:rPr>
        <w:t>：中炬高新。</w:t>
      </w:r>
      <w:r>
        <w:rPr>
          <w:rFonts w:hint="default" w:ascii="Times New Roman" w:hAnsi="Times New Roman" w:eastAsia="仿宋_GB2312" w:cs="Times New Roman"/>
          <w:b w:val="0"/>
          <w:bCs w:val="0"/>
          <w:color w:val="auto"/>
          <w:kern w:val="2"/>
          <w:sz w:val="32"/>
          <w:szCs w:val="32"/>
          <w:highlight w:val="none"/>
          <w:u w:val="none"/>
          <w:lang w:val="en-US" w:eastAsia="zh-CN"/>
        </w:rPr>
        <w:t>1993年在广东省注册成立，</w:t>
      </w:r>
      <w:r>
        <w:rPr>
          <w:rFonts w:hint="default" w:ascii="Times New Roman" w:hAnsi="Times New Roman" w:eastAsia="仿宋_GB2312" w:cs="Times New Roman"/>
          <w:color w:val="auto"/>
          <w:kern w:val="2"/>
          <w:sz w:val="32"/>
          <w:szCs w:val="32"/>
          <w:highlight w:val="none"/>
          <w:lang w:eastAsia="zh-CN"/>
        </w:rPr>
        <w:t>为上海证券交易所上市公司，原最终控制人为</w:t>
      </w:r>
      <w:r>
        <w:rPr>
          <w:rFonts w:hint="eastAsia" w:ascii="Times New Roman" w:hAnsi="Times New Roman" w:eastAsia="仿宋_GB2312" w:cs="Times New Roman"/>
          <w:kern w:val="2"/>
          <w:sz w:val="32"/>
          <w:szCs w:val="32"/>
          <w:highlight w:val="none"/>
          <w:lang w:val="en-US" w:eastAsia="zh-CN"/>
        </w:rPr>
        <w:t>（略）</w:t>
      </w:r>
      <w:r>
        <w:rPr>
          <w:rFonts w:hint="default"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（略）</w:t>
      </w:r>
      <w:r>
        <w:rPr>
          <w:rFonts w:hint="default" w:ascii="Times New Roman" w:hAnsi="Times New Roman" w:eastAsia="仿宋_GB2312" w:cs="Times New Roman"/>
          <w:b w:val="0"/>
          <w:bCs w:val="0"/>
          <w:color w:val="auto"/>
          <w:kern w:val="2"/>
          <w:sz w:val="32"/>
          <w:szCs w:val="32"/>
          <w:highlight w:val="none"/>
          <w:lang w:eastAsia="zh-CN"/>
        </w:rPr>
        <w:t>从事</w:t>
      </w:r>
      <w:r>
        <w:rPr>
          <w:rFonts w:hint="default" w:ascii="Times New Roman" w:hAnsi="Times New Roman" w:eastAsia="仿宋_GB2312" w:cs="Times New Roman"/>
          <w:b w:val="0"/>
          <w:bCs w:val="0"/>
          <w:color w:val="auto"/>
          <w:kern w:val="2"/>
          <w:sz w:val="32"/>
          <w:szCs w:val="32"/>
          <w:highlight w:val="none"/>
          <w:lang w:val="en-US" w:eastAsia="zh-CN"/>
        </w:rPr>
        <w:t>制造、综合开发、民生服务等业务。</w:t>
      </w:r>
      <w:r>
        <w:rPr>
          <w:rFonts w:hint="default" w:ascii="Times New Roman" w:hAnsi="Times New Roman" w:eastAsia="仿宋_GB2312" w:cs="Times New Roman"/>
          <w:color w:val="auto"/>
          <w:kern w:val="2"/>
          <w:sz w:val="32"/>
          <w:szCs w:val="32"/>
          <w:highlight w:val="none"/>
          <w:lang w:eastAsia="zh-CN"/>
        </w:rPr>
        <w:t>中炬高新主要从事调味食品、产业园地产开发和运营、商品住宅开发和销售业务。</w:t>
      </w:r>
      <w:r>
        <w:rPr>
          <w:rFonts w:hint="default" w:ascii="Times New Roman" w:hAnsi="Times New Roman" w:eastAsia="仿宋_GB2312" w:cs="Times New Roman"/>
          <w:color w:val="auto"/>
          <w:kern w:val="2"/>
          <w:sz w:val="32"/>
          <w:szCs w:val="32"/>
          <w:highlight w:val="none"/>
          <w:lang w:val="en-US" w:eastAsia="zh-CN"/>
        </w:rPr>
        <w:t>2022年，</w:t>
      </w:r>
      <w:r>
        <w:rPr>
          <w:rFonts w:hint="default" w:ascii="Times New Roman" w:hAnsi="Times New Roman" w:eastAsia="仿宋_GB2312" w:cs="Times New Roman"/>
          <w:bCs/>
          <w:sz w:val="32"/>
          <w:szCs w:val="32"/>
        </w:rPr>
        <w:t>中炬高新（含关联方）</w:t>
      </w:r>
      <w:r>
        <w:rPr>
          <w:rFonts w:hint="default" w:ascii="Times New Roman" w:hAnsi="Times New Roman" w:eastAsia="仿宋_GB2312" w:cs="Times New Roman"/>
          <w:color w:val="auto"/>
          <w:kern w:val="2"/>
          <w:sz w:val="32"/>
          <w:szCs w:val="32"/>
          <w:highlight w:val="none"/>
          <w:lang w:val="en-US" w:eastAsia="zh-CN"/>
        </w:rPr>
        <w:t>全球和中国境内营业额均为</w:t>
      </w:r>
      <w:r>
        <w:rPr>
          <w:rFonts w:hint="eastAsia" w:ascii="Times New Roman" w:hAnsi="Times New Roman" w:eastAsia="仿宋_GB2312" w:cs="Times New Roman"/>
          <w:kern w:val="2"/>
          <w:sz w:val="32"/>
          <w:szCs w:val="32"/>
          <w:highlight w:val="none"/>
          <w:lang w:val="en-US" w:eastAsia="zh-CN"/>
        </w:rPr>
        <w:t>（略）</w:t>
      </w:r>
      <w:r>
        <w:rPr>
          <w:rFonts w:hint="default" w:ascii="Times New Roman" w:hAnsi="Times New Roman" w:eastAsia="仿宋_GB2312" w:cs="Times New Roman"/>
          <w:color w:val="auto"/>
          <w:kern w:val="2"/>
          <w:sz w:val="32"/>
          <w:szCs w:val="32"/>
          <w:highlight w:val="none"/>
          <w:lang w:eastAsia="zh-CN"/>
        </w:rPr>
        <w:t>。</w:t>
      </w:r>
    </w:p>
    <w:p>
      <w:pPr>
        <w:pStyle w:val="18"/>
        <w:keepNext w:val="0"/>
        <w:keepLines w:val="0"/>
        <w:pageBreakBefore w:val="0"/>
        <w:widowControl w:val="0"/>
        <w:kinsoku/>
        <w:wordWrap/>
        <w:topLinePunct w:val="0"/>
        <w:bidi w:val="0"/>
        <w:adjustRightInd w:val="0"/>
        <w:snapToGrid/>
        <w:spacing w:line="594" w:lineRule="exact"/>
        <w:ind w:left="0" w:leftChars="0" w:firstLine="643"/>
        <w:jc w:val="both"/>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（二）交易</w:t>
      </w:r>
      <w:r>
        <w:rPr>
          <w:rFonts w:hint="default" w:ascii="Times New Roman" w:hAnsi="Times New Roman" w:eastAsia="楷体_GB2312" w:cs="Times New Roman"/>
          <w:b w:val="0"/>
          <w:bCs/>
          <w:color w:val="auto"/>
          <w:lang w:eastAsia="zh-CN"/>
        </w:rPr>
        <w:t>情况</w:t>
      </w:r>
      <w:r>
        <w:rPr>
          <w:rFonts w:hint="default" w:ascii="Times New Roman" w:hAnsi="Times New Roman" w:eastAsia="楷体_GB2312" w:cs="Times New Roman"/>
          <w:b w:val="0"/>
          <w:bCs/>
          <w:color w:val="auto"/>
        </w:rPr>
        <w:t>。</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2023年1月18日，中炬高新发布公告，披露鼎晖百孚设立的上海鼎晖隽禺投资合伙企业（以下简称鼎晖隽禺）、嘉兴鼎晖桉邺股权投资合伙企业（以下简称鼎晖桉邺）和火炬集团为一致行动人。7月2日，火炬集团、鼎晖隽禺、鼎晖桉邺共同向中炬高新监事会提请召开临时股东大会，拟通过改组董事会方式取得中炬高新控制权</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7月24日，中炬高新召开临时股东大会，完成董事会改选，火炬集团和鼎晖百孚取得了中炬高新董事会超过半数席位（8名董事席位中占5名），</w:t>
      </w:r>
      <w:r>
        <w:rPr>
          <w:rFonts w:hint="default" w:ascii="Times New Roman" w:hAnsi="Times New Roman" w:eastAsia="仿宋_GB2312" w:cs="Times New Roman"/>
          <w:bCs/>
          <w:color w:val="auto"/>
          <w:kern w:val="2"/>
          <w:sz w:val="32"/>
          <w:szCs w:val="32"/>
          <w:highlight w:val="none"/>
          <w:lang w:val="en-US" w:eastAsia="zh-CN" w:bidi="ar-SA"/>
        </w:rPr>
        <w:t>在董事会层面取得中炬高新共同控制权</w:t>
      </w:r>
      <w:r>
        <w:rPr>
          <w:rFonts w:hint="default" w:ascii="Times New Roman" w:hAnsi="Times New Roman" w:eastAsia="宋体" w:cs="Times New Roman"/>
          <w:b w:val="0"/>
          <w:color w:val="auto"/>
          <w:kern w:val="0"/>
          <w:sz w:val="32"/>
          <w:szCs w:val="32"/>
          <w:highlight w:val="none"/>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黑体" w:cs="Times New Roman"/>
          <w:color w:val="auto"/>
          <w:kern w:val="2"/>
          <w:sz w:val="32"/>
          <w:szCs w:val="32"/>
          <w:lang w:eastAsia="zh-CN"/>
        </w:rPr>
      </w:pPr>
      <w:r>
        <w:rPr>
          <w:rFonts w:hint="default" w:ascii="Times New Roman" w:hAnsi="Times New Roman" w:eastAsia="黑体" w:cs="Times New Roman"/>
          <w:color w:val="auto"/>
          <w:kern w:val="2"/>
          <w:sz w:val="32"/>
          <w:szCs w:val="32"/>
          <w:lang w:eastAsia="zh-CN"/>
        </w:rPr>
        <w:t>三</w:t>
      </w:r>
      <w:r>
        <w:rPr>
          <w:rFonts w:hint="default" w:ascii="Times New Roman" w:hAnsi="Times New Roman" w:eastAsia="黑体" w:cs="Times New Roman"/>
          <w:color w:val="auto"/>
          <w:kern w:val="2"/>
          <w:sz w:val="32"/>
          <w:szCs w:val="32"/>
        </w:rPr>
        <w:t>、</w:t>
      </w:r>
      <w:r>
        <w:rPr>
          <w:rFonts w:hint="default" w:ascii="Times New Roman" w:hAnsi="Times New Roman" w:eastAsia="黑体" w:cs="Times New Roman"/>
          <w:color w:val="auto"/>
          <w:kern w:val="2"/>
          <w:sz w:val="32"/>
          <w:szCs w:val="32"/>
          <w:lang w:eastAsia="zh-CN"/>
        </w:rPr>
        <w:t>违法事实及相关证据</w:t>
      </w:r>
    </w:p>
    <w:p>
      <w:pPr>
        <w:keepNext w:val="0"/>
        <w:keepLines w:val="0"/>
        <w:pageBreakBefore w:val="0"/>
        <w:widowControl w:val="0"/>
        <w:kinsoku/>
        <w:wordWrap/>
        <w:topLinePunct w:val="0"/>
        <w:bidi w:val="0"/>
        <w:adjustRightInd w:val="0"/>
        <w:snapToGrid/>
        <w:spacing w:line="594" w:lineRule="exact"/>
        <w:ind w:left="0" w:firstLine="628" w:firstLineChars="200"/>
        <w:jc w:val="both"/>
        <w:textAlignment w:val="auto"/>
        <w:outlineLvl w:val="0"/>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（一）本案构成</w:t>
      </w:r>
      <w:r>
        <w:rPr>
          <w:rFonts w:hint="default" w:ascii="Times New Roman" w:hAnsi="Times New Roman" w:eastAsia="楷体_GB2312" w:cs="Times New Roman"/>
          <w:b w:val="0"/>
          <w:bCs w:val="0"/>
          <w:color w:val="auto"/>
          <w:sz w:val="32"/>
          <w:szCs w:val="32"/>
          <w:lang w:eastAsia="zh-CN"/>
        </w:rPr>
        <w:t>违法实施</w:t>
      </w:r>
      <w:r>
        <w:rPr>
          <w:rFonts w:hint="default" w:ascii="Times New Roman" w:hAnsi="Times New Roman" w:eastAsia="楷体_GB2312" w:cs="Times New Roman"/>
          <w:b w:val="0"/>
          <w:bCs w:val="0"/>
          <w:color w:val="auto"/>
          <w:sz w:val="32"/>
          <w:szCs w:val="32"/>
        </w:rPr>
        <w:t>经营者集中。</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根据《反垄断法》第二十五条规定</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经查，该交易为通过股东会完成目标公司董事会改选。临时股东大会召开前，</w:t>
      </w:r>
      <w:r>
        <w:rPr>
          <w:rFonts w:hint="eastAsia" w:ascii="Times New Roman" w:hAnsi="Times New Roman" w:eastAsia="仿宋_GB2312" w:cs="Times New Roman"/>
          <w:kern w:val="2"/>
          <w:sz w:val="32"/>
          <w:szCs w:val="32"/>
          <w:highlight w:val="none"/>
          <w:lang w:val="en-US" w:eastAsia="zh-CN"/>
        </w:rPr>
        <w:t>（略）</w:t>
      </w:r>
      <w:r>
        <w:rPr>
          <w:rFonts w:hint="default" w:ascii="Times New Roman" w:hAnsi="Times New Roman" w:eastAsia="仿宋_GB2312" w:cs="Times New Roman"/>
          <w:bCs/>
          <w:sz w:val="32"/>
          <w:szCs w:val="32"/>
        </w:rPr>
        <w:t>单独控制中炬高新；临时股东大会后，火炬集团和鼎晖百孚取得了中炬高新董事会超过半数席位（8名董事席位中占5名）。根据《中炬高新技术实业（集团）股份有限公司章程》，董事会对公司经营计划和投资方案、制定公司年度财务预算决算方案、聘任或者解聘公司总经理等高级管理人员等决议事项，须经过半数董事通过，火炬集团和鼎晖百孚在董事会层面取得中炬高新共同控制权，属于《反垄断法》第二十五条规定的经营者集中。</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2022年，火炬集团（含关联方）全球和中国境内营业额均为</w:t>
      </w:r>
      <w:r>
        <w:rPr>
          <w:rFonts w:hint="eastAsia" w:ascii="Times New Roman" w:hAnsi="Times New Roman" w:eastAsia="仿宋_GB2312" w:cs="Times New Roman"/>
          <w:kern w:val="2"/>
          <w:sz w:val="32"/>
          <w:szCs w:val="32"/>
          <w:highlight w:val="none"/>
          <w:lang w:val="en-US" w:eastAsia="zh-CN"/>
        </w:rPr>
        <w:t>（略）</w:t>
      </w:r>
      <w:r>
        <w:rPr>
          <w:rFonts w:hint="default" w:ascii="Times New Roman" w:hAnsi="Times New Roman" w:eastAsia="仿宋_GB2312" w:cs="Times New Roman"/>
          <w:bCs/>
          <w:sz w:val="32"/>
          <w:szCs w:val="32"/>
        </w:rPr>
        <w:t>，中炬高新（含关联方）全球和中国境内营业额均为</w:t>
      </w:r>
      <w:r>
        <w:rPr>
          <w:rFonts w:hint="eastAsia" w:ascii="Times New Roman" w:hAnsi="Times New Roman" w:eastAsia="仿宋_GB2312" w:cs="Times New Roman"/>
          <w:kern w:val="2"/>
          <w:sz w:val="32"/>
          <w:szCs w:val="32"/>
          <w:highlight w:val="none"/>
          <w:lang w:val="en-US" w:eastAsia="zh-CN"/>
        </w:rPr>
        <w:t>（略）</w:t>
      </w:r>
      <w:r>
        <w:rPr>
          <w:rFonts w:hint="default" w:ascii="Times New Roman" w:hAnsi="Times New Roman" w:eastAsia="仿宋_GB2312" w:cs="Times New Roman"/>
          <w:bCs/>
          <w:sz w:val="32"/>
          <w:szCs w:val="32"/>
        </w:rPr>
        <w:t>，达到《国务院关于经营者集中申报标准的规定》第三条规定的申报标准，属于应当申报的情形。</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color w:val="auto"/>
          <w:kern w:val="2"/>
          <w:sz w:val="32"/>
          <w:szCs w:val="32"/>
          <w:highlight w:val="none"/>
          <w:lang w:val="en-US" w:eastAsia="zh-CN"/>
        </w:rPr>
        <w:t>《反垄断法》第三十条规定，“国务院反垄断执法机构作出决定前，经营者不得实施集中”。2023年7月24日，中炬高新召开临时股东大会，火炬集团和鼎晖百孚取得中炬高新控制权，此前已进行经营者集中申报但未获得批准，违反《反垄断法》第三十条，构成违法实施经营者集中。</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楷体_GB2312" w:cs="Times New Roman"/>
          <w:b w:val="0"/>
          <w:bCs w:val="0"/>
          <w:color w:val="auto"/>
          <w:kern w:val="2"/>
          <w:sz w:val="32"/>
          <w:szCs w:val="32"/>
        </w:rPr>
      </w:pPr>
      <w:r>
        <w:rPr>
          <w:rFonts w:hint="default" w:ascii="Times New Roman" w:hAnsi="Times New Roman" w:eastAsia="楷体_GB2312" w:cs="Times New Roman"/>
          <w:b w:val="0"/>
          <w:bCs w:val="0"/>
          <w:color w:val="auto"/>
          <w:kern w:val="2"/>
          <w:sz w:val="32"/>
          <w:szCs w:val="32"/>
        </w:rPr>
        <w:t>（二）本案不具有排除、限制竞争的效果。</w:t>
      </w:r>
    </w:p>
    <w:p>
      <w:pPr>
        <w:keepNext w:val="0"/>
        <w:keepLines w:val="0"/>
        <w:pageBreakBefore w:val="0"/>
        <w:widowControl w:val="0"/>
        <w:kinsoku/>
        <w:wordWrap/>
        <w:topLinePunct w:val="0"/>
        <w:bidi w:val="0"/>
        <w:adjustRightInd w:val="0"/>
        <w:snapToGrid/>
        <w:spacing w:line="594" w:lineRule="exact"/>
        <w:ind w:firstLine="628" w:firstLineChars="200"/>
        <w:jc w:val="both"/>
        <w:textAlignment w:val="auto"/>
        <w:outlineLvl w:val="0"/>
        <w:rPr>
          <w:rStyle w:val="17"/>
          <w:rFonts w:hint="default" w:ascii="Times New Roman" w:hAnsi="Times New Roman" w:eastAsia="仿宋_GB2312" w:cs="Times New Roman"/>
          <w:color w:val="auto"/>
          <w:sz w:val="32"/>
          <w:szCs w:val="22"/>
          <w:u w:val="none"/>
          <w:lang w:val="en-US" w:eastAsia="zh-CN"/>
        </w:rPr>
      </w:pPr>
      <w:r>
        <w:rPr>
          <w:rStyle w:val="17"/>
          <w:rFonts w:hint="default" w:ascii="Times New Roman" w:hAnsi="Times New Roman" w:eastAsia="仿宋_GB2312" w:cs="Times New Roman"/>
          <w:color w:val="auto"/>
          <w:sz w:val="32"/>
          <w:szCs w:val="22"/>
          <w:u w:val="none"/>
          <w:lang w:val="en-US" w:eastAsia="zh-CN"/>
        </w:rPr>
        <w:t>本机关就火炬集团和鼎晖百孚通过其他方式取得中炬高新控制权对市场竞争的影响进行了评估，评估认为，该项经营者集中不会产生排除、限制竞争效果。</w:t>
      </w:r>
    </w:p>
    <w:p>
      <w:pPr>
        <w:keepNext w:val="0"/>
        <w:keepLines w:val="0"/>
        <w:pageBreakBefore w:val="0"/>
        <w:widowControl w:val="0"/>
        <w:kinsoku/>
        <w:wordWrap/>
        <w:topLinePunct w:val="0"/>
        <w:bidi w:val="0"/>
        <w:adjustRightInd w:val="0"/>
        <w:snapToGrid/>
        <w:spacing w:line="594" w:lineRule="exact"/>
        <w:ind w:firstLine="628" w:firstLineChars="200"/>
        <w:jc w:val="both"/>
        <w:textAlignment w:val="auto"/>
        <w:outlineLvl w:val="0"/>
        <w:rPr>
          <w:rStyle w:val="17"/>
          <w:rFonts w:hint="default" w:ascii="Times New Roman" w:hAnsi="Times New Roman" w:eastAsia="仿宋_GB2312" w:cs="Times New Roman"/>
          <w:color w:val="auto"/>
          <w:sz w:val="32"/>
          <w:szCs w:val="22"/>
          <w:u w:val="none"/>
          <w:lang w:val="en-US" w:eastAsia="zh-CN"/>
        </w:rPr>
      </w:pPr>
      <w:r>
        <w:rPr>
          <w:rStyle w:val="17"/>
          <w:rFonts w:hint="default" w:ascii="Times New Roman" w:hAnsi="Times New Roman" w:eastAsia="仿宋_GB2312" w:cs="Times New Roman"/>
          <w:color w:val="auto"/>
          <w:sz w:val="32"/>
          <w:szCs w:val="22"/>
          <w:u w:val="none"/>
          <w:lang w:val="en-US" w:eastAsia="zh-CN"/>
        </w:rPr>
        <w:t>上述事实，有火炬集团和鼎晖百孚提交的情况说明、中炬高新发布的公告、监事会决议公告和临时股东大会决议公告、中炬高新公司章程、2022年合并财务报告或财务报表等证据证明。</w:t>
      </w:r>
    </w:p>
    <w:p>
      <w:pPr>
        <w:keepNext w:val="0"/>
        <w:keepLines w:val="0"/>
        <w:pageBreakBefore w:val="0"/>
        <w:widowControl w:val="0"/>
        <w:numPr>
          <w:ilvl w:val="0"/>
          <w:numId w:val="0"/>
        </w:numPr>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eastAsia="zh-CN"/>
        </w:rPr>
        <w:t>四、</w:t>
      </w:r>
      <w:r>
        <w:rPr>
          <w:rFonts w:hint="default" w:ascii="Times New Roman" w:hAnsi="Times New Roman" w:eastAsia="黑体" w:cs="Times New Roman"/>
          <w:color w:val="auto"/>
          <w:kern w:val="2"/>
          <w:sz w:val="32"/>
          <w:szCs w:val="32"/>
        </w:rPr>
        <w:t>行政处罚依据和决定</w:t>
      </w:r>
    </w:p>
    <w:p>
      <w:pPr>
        <w:keepNext w:val="0"/>
        <w:keepLines w:val="0"/>
        <w:pageBreakBefore w:val="0"/>
        <w:widowControl w:val="0"/>
        <w:kinsoku/>
        <w:wordWrap/>
        <w:overflowPunct/>
        <w:topLinePunct w:val="0"/>
        <w:autoSpaceDE/>
        <w:autoSpaceDN/>
        <w:bidi w:val="0"/>
        <w:adjustRightInd w:val="0"/>
        <w:snapToGrid/>
        <w:spacing w:line="594" w:lineRule="exact"/>
        <w:ind w:firstLine="628" w:firstLineChars="200"/>
        <w:jc w:val="both"/>
        <w:textAlignment w:val="auto"/>
        <w:outlineLvl w:val="0"/>
        <w:rPr>
          <w:rStyle w:val="17"/>
          <w:rFonts w:hint="default" w:ascii="Times New Roman" w:hAnsi="Times New Roman" w:eastAsia="仿宋_GB2312" w:cs="Times New Roman"/>
          <w:color w:val="auto"/>
          <w:sz w:val="32"/>
          <w:szCs w:val="22"/>
          <w:u w:val="none"/>
          <w:lang w:val="en-US" w:eastAsia="zh-CN"/>
        </w:rPr>
      </w:pPr>
      <w:r>
        <w:rPr>
          <w:rStyle w:val="17"/>
          <w:rFonts w:hint="default" w:ascii="Times New Roman" w:hAnsi="Times New Roman" w:eastAsia="仿宋_GB2312" w:cs="Times New Roman"/>
          <w:color w:val="auto"/>
          <w:sz w:val="32"/>
          <w:szCs w:val="22"/>
          <w:u w:val="none"/>
          <w:lang w:val="en-US" w:eastAsia="zh-CN"/>
        </w:rPr>
        <w:t>本机关认为，火炬集团和鼎晖百孚负有依法申报经营者集中的法律义务，申报后获得批准前实施经营者集中，违反《反垄断法》第三十条规定，构成违法实施经营者集中。依据《反垄断法》第三十三条，评估认为本项集中不具有排除、限制竞争的效果。</w:t>
      </w:r>
    </w:p>
    <w:p>
      <w:pPr>
        <w:keepNext w:val="0"/>
        <w:keepLines w:val="0"/>
        <w:pageBreakBefore w:val="0"/>
        <w:widowControl w:val="0"/>
        <w:kinsoku/>
        <w:wordWrap/>
        <w:topLinePunct w:val="0"/>
        <w:bidi w:val="0"/>
        <w:adjustRightInd w:val="0"/>
        <w:snapToGrid/>
        <w:spacing w:line="594" w:lineRule="exact"/>
        <w:ind w:firstLine="628" w:firstLineChars="200"/>
        <w:jc w:val="both"/>
        <w:textAlignment w:val="auto"/>
        <w:outlineLvl w:val="0"/>
        <w:rPr>
          <w:rStyle w:val="17"/>
          <w:rFonts w:hint="default" w:ascii="Times New Roman" w:hAnsi="Times New Roman" w:cs="Times New Roman"/>
          <w:szCs w:val="22"/>
        </w:rPr>
      </w:pPr>
      <w:r>
        <w:rPr>
          <w:rFonts w:hint="default" w:ascii="Times New Roman" w:hAnsi="Times New Roman" w:eastAsia="仿宋_GB2312" w:cs="Times New Roman"/>
          <w:b w:val="0"/>
          <w:bCs w:val="0"/>
          <w:i w:val="0"/>
          <w:iCs w:val="0"/>
          <w:color w:val="auto"/>
          <w:sz w:val="32"/>
          <w:szCs w:val="32"/>
          <w:lang w:eastAsia="zh-CN"/>
        </w:rPr>
        <w:t>依据《反垄断法》第五十八条、第五十九条的规定以及《违法实施经营者集中行政处罚裁量权基准（试行）》第五条、第六条、第九条等规定，综合考虑当事人违法行为的性质、程度、持续时间和消除违法行为后果的情况。结合本案情况，考虑到火炬集团和鼎晖百孚及其关联方此前未因违法实施经营者集中受到过行政处罚，积极配合本机关调查，如实陈述违法事实并及时提供重要证据材料，建立反垄断合规管理制度并有效实施，</w:t>
      </w:r>
      <w:r>
        <w:rPr>
          <w:rFonts w:hint="eastAsia" w:eastAsia="仿宋_GB2312" w:cs="Times New Roman"/>
          <w:b w:val="0"/>
          <w:bCs w:val="0"/>
          <w:i w:val="0"/>
          <w:iCs w:val="0"/>
          <w:color w:val="auto"/>
          <w:sz w:val="32"/>
          <w:szCs w:val="32"/>
          <w:lang w:eastAsia="zh-CN"/>
        </w:rPr>
        <w:t>决定</w:t>
      </w:r>
      <w:r>
        <w:rPr>
          <w:rFonts w:hint="default" w:ascii="Times New Roman" w:hAnsi="Times New Roman" w:eastAsia="仿宋_GB2312" w:cs="Times New Roman"/>
          <w:b w:val="0"/>
          <w:bCs w:val="0"/>
          <w:i w:val="0"/>
          <w:iCs w:val="0"/>
          <w:color w:val="auto"/>
          <w:sz w:val="32"/>
          <w:szCs w:val="32"/>
          <w:lang w:eastAsia="zh-CN"/>
        </w:rPr>
        <w:t>对火炬集团和鼎晖百孚分别处以175万元罚款的行政处罚。</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行政处罚法》第六十七条规定“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当事人应当自收到本行政处罚决定书之日起十五日内，携缴款码到15家中央财政非税收入收缴代理银行（工、农、中、建、交、中信、光大、招商、邮储、华夏、平安、兴业、民生、广发、浙商）任一银行网点、网上银行缴纳罚款。缴款码：</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略</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bCs/>
          <w:color w:val="auto"/>
          <w:kern w:val="2"/>
          <w:sz w:val="32"/>
          <w:szCs w:val="32"/>
          <w:lang w:val="en-US" w:eastAsia="zh-CN" w:bidi="ar-SA"/>
        </w:rPr>
        <w:t>到期不缴纳罚款的，依据《行政处罚法》第七十二条的规定，本机关将每日按罚款数额的百分之三加处罚款，并依法申请人民法院强制执行。</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当事人如对上述行政处罚决定不服，可以自收到本行政处罚决定书之日起六十日内，向国家市场监督管理总局申请行政复议；或者自收到本行政处罚决定书之日起六个月内，依法向北京知识产权法院提起行政诉讼。行政复议或者行政诉讼期间，本行政处罚决定不停止执行。</w:t>
      </w:r>
    </w:p>
    <w:p>
      <w:pPr>
        <w:pStyle w:val="5"/>
        <w:keepNext w:val="0"/>
        <w:keepLines w:val="0"/>
        <w:pageBreakBefore w:val="0"/>
        <w:widowControl w:val="0"/>
        <w:kinsoku/>
        <w:wordWrap/>
        <w:topLinePunct w:val="0"/>
        <w:bidi w:val="0"/>
        <w:adjustRightInd w:val="0"/>
        <w:snapToGrid/>
        <w:spacing w:line="594" w:lineRule="exact"/>
        <w:jc w:val="left"/>
        <w:textAlignment w:val="auto"/>
        <w:rPr>
          <w:rFonts w:hint="default" w:ascii="Times New Roman" w:hAnsi="Times New Roman" w:cs="Times New Roman"/>
          <w:color w:val="auto"/>
          <w:lang w:eastAsia="zh-CN"/>
        </w:rPr>
      </w:pPr>
    </w:p>
    <w:p>
      <w:pPr>
        <w:keepNext w:val="0"/>
        <w:keepLines w:val="0"/>
        <w:pageBreakBefore w:val="0"/>
        <w:widowControl w:val="0"/>
        <w:kinsoku/>
        <w:wordWrap/>
        <w:topLinePunct w:val="0"/>
        <w:bidi w:val="0"/>
        <w:adjustRightInd w:val="0"/>
        <w:snapToGrid/>
        <w:spacing w:line="594" w:lineRule="exact"/>
        <w:ind w:firstLine="6280" w:firstLineChars="2000"/>
        <w:jc w:val="left"/>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eastAsia="zh-CN"/>
        </w:rPr>
        <w:t>市场监管总局</w:t>
      </w:r>
      <w:r>
        <w:rPr>
          <w:rFonts w:hint="default" w:ascii="Times New Roman" w:hAnsi="Times New Roman" w:eastAsia="仿宋_GB2312" w:cs="Times New Roman"/>
          <w:color w:val="auto"/>
          <w:kern w:val="2"/>
          <w:sz w:val="32"/>
          <w:szCs w:val="32"/>
          <w:lang w:val="en-US" w:eastAsia="zh-CN"/>
        </w:rPr>
        <w:t xml:space="preserve"> </w:t>
      </w:r>
    </w:p>
    <w:p>
      <w:pPr>
        <w:keepNext w:val="0"/>
        <w:keepLines w:val="0"/>
        <w:pageBreakBefore w:val="0"/>
        <w:widowControl w:val="0"/>
        <w:kinsoku/>
        <w:wordWrap/>
        <w:topLinePunct w:val="0"/>
        <w:bidi w:val="0"/>
        <w:adjustRightInd w:val="0"/>
        <w:snapToGrid/>
        <w:spacing w:line="594" w:lineRule="exact"/>
        <w:ind w:firstLine="6280" w:firstLineChars="2000"/>
        <w:jc w:val="left"/>
        <w:textAlignment w:val="auto"/>
        <w:rPr>
          <w:rFonts w:hint="default"/>
          <w:lang w:val="en-US" w:eastAsia="zh-CN"/>
        </w:rPr>
      </w:pPr>
      <w:r>
        <w:rPr>
          <w:rFonts w:hint="default" w:ascii="Times New Roman" w:hAnsi="Times New Roman" w:eastAsia="仿宋_GB2312" w:cs="Times New Roman"/>
          <w:color w:val="auto"/>
          <w:kern w:val="2"/>
          <w:sz w:val="32"/>
          <w:szCs w:val="32"/>
        </w:rPr>
        <w:t>202</w:t>
      </w:r>
      <w:r>
        <w:rPr>
          <w:rFonts w:hint="default" w:ascii="Times New Roman" w:hAnsi="Times New Roman"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rPr>
        <w:t>年</w:t>
      </w:r>
      <w:r>
        <w:rPr>
          <w:rFonts w:hint="eastAsia"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rPr>
        <w:t>月</w:t>
      </w:r>
      <w:r>
        <w:rPr>
          <w:rFonts w:hint="eastAsia" w:eastAsia="仿宋_GB2312" w:cs="Times New Roman"/>
          <w:color w:val="auto"/>
          <w:kern w:val="2"/>
          <w:sz w:val="32"/>
          <w:szCs w:val="32"/>
          <w:highlight w:val="none"/>
          <w:lang w:val="en-US" w:eastAsia="zh-CN"/>
        </w:rPr>
        <w:t>17</w:t>
      </w:r>
      <w:r>
        <w:rPr>
          <w:rFonts w:hint="default" w:ascii="Times New Roman" w:hAnsi="Times New Roman" w:eastAsia="仿宋_GB2312" w:cs="Times New Roman"/>
          <w:color w:val="auto"/>
          <w:kern w:val="2"/>
          <w:sz w:val="32"/>
          <w:szCs w:val="32"/>
        </w:rPr>
        <w:t>日</w:t>
      </w:r>
    </w:p>
    <w:p>
      <w:pPr>
        <w:pStyle w:val="6"/>
        <w:keepNext w:val="0"/>
        <w:keepLines w:val="0"/>
        <w:pageBreakBefore w:val="0"/>
        <w:widowControl w:val="0"/>
        <w:kinsoku/>
        <w:wordWrap/>
        <w:topLinePunct w:val="0"/>
        <w:bidi w:val="0"/>
        <w:snapToGrid/>
        <w:spacing w:after="0" w:line="594" w:lineRule="exact"/>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2"/>
          <w:sz w:val="32"/>
          <w:szCs w:val="32"/>
          <w:lang w:val="en-US" w:eastAsia="zh-CN"/>
        </w:rPr>
        <w:t>（市场监督管理部门将依法向社会公开行政处罚决定信息）</w:t>
      </w:r>
    </w:p>
    <w:sectPr>
      <w:footerReference r:id="rId3" w:type="default"/>
      <w:footerReference r:id="rId4" w:type="even"/>
      <w:pgSz w:w="11906" w:h="16838"/>
      <w:pgMar w:top="1984" w:right="1474" w:bottom="1644" w:left="1474" w:header="851" w:footer="1814" w:gutter="0"/>
      <w:pgNumType w:fmt="decimal"/>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315" w:leftChars="150" w:right="315" w:rightChars="150"/>
                            <w:rPr>
                              <w:rStyle w:val="16"/>
                              <w:rFonts w:hint="eastAsia" w:ascii="宋体" w:hAnsi="宋体"/>
                              <w:sz w:val="28"/>
                              <w:szCs w:val="28"/>
                            </w:rPr>
                          </w:pPr>
                          <w:r>
                            <w:rPr>
                              <w:rStyle w:val="16"/>
                              <w:rFonts w:hint="eastAsia" w:ascii="宋体" w:hAnsi="宋体"/>
                              <w:sz w:val="28"/>
                              <w:szCs w:val="28"/>
                            </w:rPr>
                            <w:t xml:space="preserve">— </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w:t>
                          </w:r>
                          <w:r>
                            <w:rPr>
                              <w:rStyle w:val="16"/>
                              <w:rFonts w:ascii="宋体" w:hAnsi="宋体"/>
                              <w:sz w:val="28"/>
                              <w:szCs w:val="28"/>
                            </w:rPr>
                            <w:fldChar w:fldCharType="end"/>
                          </w:r>
                          <w:r>
                            <w:rPr>
                              <w:rStyle w:val="16"/>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ind w:left="315" w:leftChars="150" w:right="315" w:rightChars="150"/>
                      <w:rPr>
                        <w:rStyle w:val="16"/>
                        <w:rFonts w:hint="eastAsia" w:ascii="宋体" w:hAnsi="宋体"/>
                        <w:sz w:val="28"/>
                        <w:szCs w:val="28"/>
                      </w:rPr>
                    </w:pPr>
                    <w:r>
                      <w:rPr>
                        <w:rStyle w:val="16"/>
                        <w:rFonts w:hint="eastAsia" w:ascii="宋体" w:hAnsi="宋体"/>
                        <w:sz w:val="28"/>
                        <w:szCs w:val="28"/>
                      </w:rPr>
                      <w:t xml:space="preserve">— </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w:t>
                    </w:r>
                    <w:r>
                      <w:rPr>
                        <w:rStyle w:val="16"/>
                        <w:rFonts w:ascii="宋体" w:hAnsi="宋体"/>
                        <w:sz w:val="28"/>
                        <w:szCs w:val="28"/>
                      </w:rPr>
                      <w:fldChar w:fldCharType="end"/>
                    </w:r>
                    <w:r>
                      <w:rPr>
                        <w:rStyle w:val="1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EFE08"/>
    <w:rsid w:val="0DF84766"/>
    <w:rsid w:val="11EF36AD"/>
    <w:rsid w:val="13AF1086"/>
    <w:rsid w:val="17F33774"/>
    <w:rsid w:val="19B234C1"/>
    <w:rsid w:val="19FB531F"/>
    <w:rsid w:val="1A4B90B2"/>
    <w:rsid w:val="1FFF23AB"/>
    <w:rsid w:val="2BEF1D62"/>
    <w:rsid w:val="2C6D3623"/>
    <w:rsid w:val="2DDD3BA2"/>
    <w:rsid w:val="2EEEA39A"/>
    <w:rsid w:val="2FBDD19D"/>
    <w:rsid w:val="2FECE000"/>
    <w:rsid w:val="3359F9C9"/>
    <w:rsid w:val="3367735E"/>
    <w:rsid w:val="337F6ABF"/>
    <w:rsid w:val="33BFAC91"/>
    <w:rsid w:val="37794285"/>
    <w:rsid w:val="37AEF9AB"/>
    <w:rsid w:val="37BE7508"/>
    <w:rsid w:val="37FE773D"/>
    <w:rsid w:val="38C47169"/>
    <w:rsid w:val="38F9DEFB"/>
    <w:rsid w:val="3BBE963B"/>
    <w:rsid w:val="3BFE2CA0"/>
    <w:rsid w:val="3C8FD37C"/>
    <w:rsid w:val="3CC8AFF4"/>
    <w:rsid w:val="3D9C6153"/>
    <w:rsid w:val="3DFFF242"/>
    <w:rsid w:val="3E3CEBD9"/>
    <w:rsid w:val="3E6FC02E"/>
    <w:rsid w:val="3E6FC2A7"/>
    <w:rsid w:val="3E9FE5E7"/>
    <w:rsid w:val="3EE761BB"/>
    <w:rsid w:val="3FAD7B7E"/>
    <w:rsid w:val="3FBBEE3A"/>
    <w:rsid w:val="3FCF9D11"/>
    <w:rsid w:val="3FFEC119"/>
    <w:rsid w:val="43A10EC0"/>
    <w:rsid w:val="477FF1EF"/>
    <w:rsid w:val="4930080F"/>
    <w:rsid w:val="4D7BA474"/>
    <w:rsid w:val="4EEC2386"/>
    <w:rsid w:val="4EFDE423"/>
    <w:rsid w:val="53CF77BE"/>
    <w:rsid w:val="53ECABC9"/>
    <w:rsid w:val="57FD7257"/>
    <w:rsid w:val="57FE0AD8"/>
    <w:rsid w:val="5AEF7684"/>
    <w:rsid w:val="5BA752D7"/>
    <w:rsid w:val="5BBF0DFA"/>
    <w:rsid w:val="5BFD573F"/>
    <w:rsid w:val="5D7F53B5"/>
    <w:rsid w:val="5FAFAC47"/>
    <w:rsid w:val="5FC7F7F3"/>
    <w:rsid w:val="5FEB7C42"/>
    <w:rsid w:val="5FFF4DF7"/>
    <w:rsid w:val="61DF284B"/>
    <w:rsid w:val="62DDF1EE"/>
    <w:rsid w:val="67EF4BF5"/>
    <w:rsid w:val="67F776A2"/>
    <w:rsid w:val="67FDC857"/>
    <w:rsid w:val="67FFA0F9"/>
    <w:rsid w:val="6A3DD988"/>
    <w:rsid w:val="6BF78C2B"/>
    <w:rsid w:val="6BF7A145"/>
    <w:rsid w:val="6BFEE971"/>
    <w:rsid w:val="6BFF4402"/>
    <w:rsid w:val="6D47C7AE"/>
    <w:rsid w:val="6DBDD20F"/>
    <w:rsid w:val="6DFE78FC"/>
    <w:rsid w:val="6E912A6C"/>
    <w:rsid w:val="6F430F17"/>
    <w:rsid w:val="6F7FD209"/>
    <w:rsid w:val="6F97BD0A"/>
    <w:rsid w:val="6FCDA66B"/>
    <w:rsid w:val="6FDF2E28"/>
    <w:rsid w:val="6FFDD058"/>
    <w:rsid w:val="6FFFBF06"/>
    <w:rsid w:val="737DD35D"/>
    <w:rsid w:val="73FF3E85"/>
    <w:rsid w:val="767698BB"/>
    <w:rsid w:val="76AFADF2"/>
    <w:rsid w:val="76FD91AA"/>
    <w:rsid w:val="775A948F"/>
    <w:rsid w:val="775F66B5"/>
    <w:rsid w:val="77E7DBDE"/>
    <w:rsid w:val="77EE3309"/>
    <w:rsid w:val="77F75D27"/>
    <w:rsid w:val="77FEDC12"/>
    <w:rsid w:val="77FF3196"/>
    <w:rsid w:val="78FFC56E"/>
    <w:rsid w:val="7A9765D1"/>
    <w:rsid w:val="7AEF918C"/>
    <w:rsid w:val="7B356C76"/>
    <w:rsid w:val="7BDE9F64"/>
    <w:rsid w:val="7BE498C1"/>
    <w:rsid w:val="7BF938CF"/>
    <w:rsid w:val="7BFF0514"/>
    <w:rsid w:val="7C7BD097"/>
    <w:rsid w:val="7CDE1711"/>
    <w:rsid w:val="7D7EF07B"/>
    <w:rsid w:val="7D7F092B"/>
    <w:rsid w:val="7D7F5511"/>
    <w:rsid w:val="7D7FE814"/>
    <w:rsid w:val="7DBF9E22"/>
    <w:rsid w:val="7DCD5200"/>
    <w:rsid w:val="7DF34F69"/>
    <w:rsid w:val="7DF73D04"/>
    <w:rsid w:val="7DF9188B"/>
    <w:rsid w:val="7DFADC6D"/>
    <w:rsid w:val="7DFB4D5C"/>
    <w:rsid w:val="7DFF09E6"/>
    <w:rsid w:val="7E7B2DBC"/>
    <w:rsid w:val="7E7EE178"/>
    <w:rsid w:val="7EEDAF9B"/>
    <w:rsid w:val="7EFF4889"/>
    <w:rsid w:val="7F5F427B"/>
    <w:rsid w:val="7F5F4EC4"/>
    <w:rsid w:val="7F64C61B"/>
    <w:rsid w:val="7F774241"/>
    <w:rsid w:val="7F778327"/>
    <w:rsid w:val="7F970612"/>
    <w:rsid w:val="7F9FCB59"/>
    <w:rsid w:val="7FB7AFAF"/>
    <w:rsid w:val="7FBB0B29"/>
    <w:rsid w:val="7FBF37D2"/>
    <w:rsid w:val="7FD7BECB"/>
    <w:rsid w:val="7FDD40CE"/>
    <w:rsid w:val="7FE589C8"/>
    <w:rsid w:val="7FEBADA3"/>
    <w:rsid w:val="7FEE308E"/>
    <w:rsid w:val="7FF1238B"/>
    <w:rsid w:val="7FFAAAFF"/>
    <w:rsid w:val="7FFB0E75"/>
    <w:rsid w:val="7FFEB8DE"/>
    <w:rsid w:val="7FFF3331"/>
    <w:rsid w:val="7FFFADF8"/>
    <w:rsid w:val="83B6E6F6"/>
    <w:rsid w:val="877FFFB7"/>
    <w:rsid w:val="889B8339"/>
    <w:rsid w:val="8DB77C9D"/>
    <w:rsid w:val="8DD92DE4"/>
    <w:rsid w:val="9BFB5660"/>
    <w:rsid w:val="9BFD9914"/>
    <w:rsid w:val="9F71977D"/>
    <w:rsid w:val="9FFB8718"/>
    <w:rsid w:val="A79701D9"/>
    <w:rsid w:val="A7F7DF4B"/>
    <w:rsid w:val="ADAEAB02"/>
    <w:rsid w:val="ADE714E2"/>
    <w:rsid w:val="AEF76066"/>
    <w:rsid w:val="AFCF0792"/>
    <w:rsid w:val="B2BEAC6F"/>
    <w:rsid w:val="B2DF1272"/>
    <w:rsid w:val="B3FB5074"/>
    <w:rsid w:val="B7BB19F9"/>
    <w:rsid w:val="B7C77C72"/>
    <w:rsid w:val="B7FFA3E2"/>
    <w:rsid w:val="BBFBA0F0"/>
    <w:rsid w:val="BD7BBB0C"/>
    <w:rsid w:val="BEF2ED60"/>
    <w:rsid w:val="BEFF3D8C"/>
    <w:rsid w:val="BF7A37D2"/>
    <w:rsid w:val="BF9F6E97"/>
    <w:rsid w:val="BF9FB57A"/>
    <w:rsid w:val="BFEAA90E"/>
    <w:rsid w:val="BFF53725"/>
    <w:rsid w:val="BFFA8AA6"/>
    <w:rsid w:val="C4DF2717"/>
    <w:rsid w:val="C5EF0E35"/>
    <w:rsid w:val="C5F656C1"/>
    <w:rsid w:val="C6F77952"/>
    <w:rsid w:val="CB6BE00C"/>
    <w:rsid w:val="CB7F3279"/>
    <w:rsid w:val="CBFDA9E4"/>
    <w:rsid w:val="CDFB017A"/>
    <w:rsid w:val="CEFFD071"/>
    <w:rsid w:val="CFD7844E"/>
    <w:rsid w:val="CFFEFE08"/>
    <w:rsid w:val="D4E02AD2"/>
    <w:rsid w:val="D79F79DD"/>
    <w:rsid w:val="D9FB546E"/>
    <w:rsid w:val="DA7B63E8"/>
    <w:rsid w:val="DD6E5EF2"/>
    <w:rsid w:val="DD7D4CB6"/>
    <w:rsid w:val="DE7FC25C"/>
    <w:rsid w:val="DEF63B06"/>
    <w:rsid w:val="DF8FAE16"/>
    <w:rsid w:val="DFBFE9DA"/>
    <w:rsid w:val="DFF7F0FE"/>
    <w:rsid w:val="DFFBFA13"/>
    <w:rsid w:val="E71C0858"/>
    <w:rsid w:val="E7EE94A9"/>
    <w:rsid w:val="E9FFA89D"/>
    <w:rsid w:val="EB6570DC"/>
    <w:rsid w:val="EB9E3F63"/>
    <w:rsid w:val="EBEF757C"/>
    <w:rsid w:val="ECF5A9EC"/>
    <w:rsid w:val="EDFB9291"/>
    <w:rsid w:val="EE752A16"/>
    <w:rsid w:val="EE7A3633"/>
    <w:rsid w:val="EEECDE48"/>
    <w:rsid w:val="EF5FC160"/>
    <w:rsid w:val="EF6F2F93"/>
    <w:rsid w:val="EF7EF502"/>
    <w:rsid w:val="EF9E3E68"/>
    <w:rsid w:val="EF9F2B76"/>
    <w:rsid w:val="EFDDC123"/>
    <w:rsid w:val="EFED9BA6"/>
    <w:rsid w:val="EFFD3D3D"/>
    <w:rsid w:val="EFFF6DC1"/>
    <w:rsid w:val="F07F1E6D"/>
    <w:rsid w:val="F15C2990"/>
    <w:rsid w:val="F1CE07CB"/>
    <w:rsid w:val="F3FCB998"/>
    <w:rsid w:val="F463B6B9"/>
    <w:rsid w:val="F5C7F15D"/>
    <w:rsid w:val="F76FA4FA"/>
    <w:rsid w:val="F7DB7914"/>
    <w:rsid w:val="F7E3C930"/>
    <w:rsid w:val="F7F4D8C6"/>
    <w:rsid w:val="F7FF4BED"/>
    <w:rsid w:val="F91B25E9"/>
    <w:rsid w:val="F9FD5C37"/>
    <w:rsid w:val="FA7A8AD4"/>
    <w:rsid w:val="FAEADE66"/>
    <w:rsid w:val="FAFF5F9C"/>
    <w:rsid w:val="FB4B0D3F"/>
    <w:rsid w:val="FB9FC4CE"/>
    <w:rsid w:val="FBD8E4E8"/>
    <w:rsid w:val="FC698DB5"/>
    <w:rsid w:val="FCAF1414"/>
    <w:rsid w:val="FD76B032"/>
    <w:rsid w:val="FD87A559"/>
    <w:rsid w:val="FDBF132C"/>
    <w:rsid w:val="FDDB9741"/>
    <w:rsid w:val="FDDCCE9F"/>
    <w:rsid w:val="FDFBE34E"/>
    <w:rsid w:val="FE1BF700"/>
    <w:rsid w:val="FE3A6880"/>
    <w:rsid w:val="FEBFEFD2"/>
    <w:rsid w:val="FEEFBFA9"/>
    <w:rsid w:val="FEFE7FEA"/>
    <w:rsid w:val="FF1D596D"/>
    <w:rsid w:val="FF2EF58C"/>
    <w:rsid w:val="FF4DD843"/>
    <w:rsid w:val="FF7E09BB"/>
    <w:rsid w:val="FF7F5837"/>
    <w:rsid w:val="FF7F8832"/>
    <w:rsid w:val="FFB90940"/>
    <w:rsid w:val="FFCD57E3"/>
    <w:rsid w:val="FFD3999A"/>
    <w:rsid w:val="FFD77F22"/>
    <w:rsid w:val="FFDF31E5"/>
    <w:rsid w:val="FFEE12AF"/>
    <w:rsid w:val="FFF7DFD4"/>
    <w:rsid w:val="FFF9ABB3"/>
    <w:rsid w:val="FFFE4AB4"/>
    <w:rsid w:val="FFFF0282"/>
    <w:rsid w:val="FFFF0E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after="156" w:afterLines="50" w:line="640" w:lineRule="exact"/>
      <w:jc w:val="center"/>
      <w:outlineLvl w:val="0"/>
    </w:pPr>
    <w:rPr>
      <w:rFonts w:ascii="方正小标宋简体" w:hAnsi="Times New Roman" w:eastAsia="方正小标宋简体"/>
      <w:kern w:val="0"/>
      <w:sz w:val="44"/>
      <w:szCs w:val="36"/>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名称2"/>
    <w:basedOn w:val="4"/>
    <w:qFormat/>
    <w:uiPriority w:val="0"/>
    <w:pPr>
      <w:spacing w:after="312" w:afterLines="100"/>
    </w:pPr>
    <w:rPr>
      <w:b w:val="0"/>
      <w:sz w:val="20"/>
    </w:rPr>
  </w:style>
  <w:style w:type="paragraph" w:customStyle="1" w:styleId="4">
    <w:name w:val="名称"/>
    <w:basedOn w:val="1"/>
    <w:qFormat/>
    <w:uiPriority w:val="0"/>
    <w:pPr>
      <w:spacing w:line="240" w:lineRule="auto"/>
      <w:ind w:firstLine="200" w:firstLineChars="200"/>
      <w:jc w:val="center"/>
    </w:pPr>
    <w:rPr>
      <w:rFonts w:ascii="宋体" w:hAnsi="宋体"/>
      <w:b/>
      <w:color w:val="000000"/>
      <w:kern w:val="0"/>
      <w:sz w:val="44"/>
      <w:szCs w:val="20"/>
    </w:rPr>
  </w:style>
  <w:style w:type="paragraph" w:styleId="5">
    <w:name w:val="Normal Indent"/>
    <w:basedOn w:val="1"/>
    <w:qFormat/>
    <w:uiPriority w:val="0"/>
    <w:pPr>
      <w:spacing w:line="360" w:lineRule="exact"/>
      <w:ind w:firstLine="420" w:firstLineChars="200"/>
    </w:pPr>
    <w:rPr>
      <w:szCs w:val="20"/>
    </w:rPr>
  </w:style>
  <w:style w:type="paragraph" w:styleId="6">
    <w:name w:val="Body Text"/>
    <w:basedOn w:val="1"/>
    <w:next w:val="7"/>
    <w:unhideWhenUsed/>
    <w:qFormat/>
    <w:uiPriority w:val="0"/>
    <w:pPr>
      <w:spacing w:after="120"/>
    </w:pPr>
    <w:rPr>
      <w:rFonts w:ascii="Calibri" w:hAnsi="Calibri" w:eastAsia="宋体" w:cs="Times New Roman"/>
      <w:szCs w:val="22"/>
    </w:rPr>
  </w:style>
  <w:style w:type="paragraph" w:styleId="7">
    <w:name w:val="Title"/>
    <w:basedOn w:val="8"/>
    <w:next w:val="1"/>
    <w:qFormat/>
    <w:uiPriority w:val="0"/>
    <w:pPr>
      <w:spacing w:before="50" w:beforeLines="50" w:after="50" w:afterLines="50" w:line="594" w:lineRule="exact"/>
      <w:ind w:firstLine="0" w:firstLineChars="0"/>
      <w:jc w:val="center"/>
      <w:outlineLvl w:val="0"/>
    </w:pPr>
    <w:rPr>
      <w:rFonts w:ascii="Calibri Light" w:hAnsi="Calibri Light" w:eastAsia="黑体" w:cs="Times New Roman"/>
      <w:bCs/>
      <w:szCs w:val="32"/>
    </w:rPr>
  </w:style>
  <w:style w:type="paragraph" w:styleId="8">
    <w:name w:val="Plain Text"/>
    <w:basedOn w:val="1"/>
    <w:unhideWhenUsed/>
    <w:qFormat/>
    <w:uiPriority w:val="0"/>
    <w:rPr>
      <w:rFonts w:ascii="宋体" w:hAnsi="Courier New" w:eastAsia="宋体"/>
      <w:szCs w:val="20"/>
    </w:rPr>
  </w:style>
  <w:style w:type="paragraph" w:styleId="9">
    <w:name w:val="Body Text Indent"/>
    <w:basedOn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w:basedOn w:val="6"/>
    <w:qFormat/>
    <w:uiPriority w:val="0"/>
    <w:pPr>
      <w:ind w:firstLine="420" w:firstLineChars="100"/>
    </w:p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 w:type="paragraph" w:customStyle="1" w:styleId="19">
    <w:name w:val="KWMCN-标准"/>
    <w:qFormat/>
    <w:uiPriority w:val="0"/>
    <w:pPr>
      <w:adjustRightInd w:val="0"/>
      <w:snapToGrid w:val="0"/>
      <w:spacing w:after="360" w:line="320" w:lineRule="atLeast"/>
      <w:jc w:val="both"/>
    </w:pPr>
    <w:rPr>
      <w:rFonts w:ascii="Arial" w:hAnsi="Arial" w:eastAsia="楷体_GB2312"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2023-07-11T02:24:00Z</dcterms:created>
  <dc:creator>oa</dc:creator>
  <cp:lastModifiedBy>greatwall</cp:lastModifiedBy>
  <cp:lastPrinted>2026-06-29T16:58:00Z</cp:lastPrinted>
  <dcterms:modified xsi:type="dcterms:W3CDTF">2026-06-29T14:31:27Z</dcterms:modified>
  <dc:title>国家市场监督管理总局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8893A2D2DF79B8127583056A9D2CCC11</vt:lpwstr>
  </property>
</Properties>
</file>