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rPr>
          <w:rFonts w:hint="eastAsia" w:ascii="Times New Roman" w:hAnsi="Times New Roman" w:eastAsia="黑体" w:cs="Times New Roman"/>
          <w:sz w:val="32"/>
          <w:szCs w:val="32"/>
          <w:lang w:val="en-US"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1</w:t>
      </w:r>
    </w:p>
    <w:p>
      <w:pPr>
        <w:snapToGrid w:val="0"/>
        <w:spacing w:line="594" w:lineRule="exact"/>
        <w:jc w:val="left"/>
        <w:rPr>
          <w:rFonts w:hint="default" w:ascii="Times New Roman" w:hAnsi="Times New Roman" w:eastAsia="方正小标宋简体" w:cs="Times New Roman"/>
          <w:sz w:val="44"/>
          <w:szCs w:val="44"/>
        </w:rPr>
      </w:pPr>
    </w:p>
    <w:p>
      <w:pPr>
        <w:snapToGrid w:val="0"/>
        <w:spacing w:line="594"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珠宝首饰检验检测机构资质认定</w:t>
      </w:r>
    </w:p>
    <w:p>
      <w:pPr>
        <w:snapToGrid w:val="0"/>
        <w:spacing w:line="594"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评审补充要求</w:t>
      </w:r>
    </w:p>
    <w:p>
      <w:pPr>
        <w:snapToGrid w:val="0"/>
        <w:spacing w:line="360" w:lineRule="auto"/>
        <w:ind w:firstLine="3200" w:firstLineChars="1000"/>
        <w:rPr>
          <w:rFonts w:hint="default" w:ascii="Times New Roman" w:hAnsi="Times New Roman" w:eastAsia="方正黑体简体" w:cs="Times New Roman"/>
          <w:sz w:val="32"/>
          <w:szCs w:val="32"/>
        </w:rPr>
      </w:pP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征求意见稿</w:t>
      </w:r>
      <w:bookmarkStart w:id="0" w:name="_GoBack"/>
      <w:bookmarkEnd w:id="0"/>
      <w:r>
        <w:rPr>
          <w:rFonts w:hint="default" w:ascii="Times New Roman" w:hAnsi="Times New Roman" w:eastAsia="仿宋_GB2312" w:cs="Times New Roman"/>
          <w:color w:val="auto"/>
          <w:sz w:val="32"/>
          <w:szCs w:val="32"/>
          <w:lang w:val="en-US" w:eastAsia="zh-CN"/>
        </w:rPr>
        <w:t>）</w:t>
      </w:r>
    </w:p>
    <w:p>
      <w:pPr>
        <w:snapToGrid w:val="0"/>
        <w:spacing w:line="360" w:lineRule="auto"/>
        <w:ind w:firstLine="2880" w:firstLineChars="9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第一章 总则</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第一条【制定目的与依据】 为规范珠宝首饰检验检测机构资质认定管理，依据《中华人民共和国产品质量法》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《中华人民共和国计量法》及其实施细则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《中华人民共和国认证认可条例》、《检验检测机构资质认定管理办法》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rPr>
        <w:t>《检验检测机构监督管理办法》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rPr>
        <w:t>《检验检测机构资质认定评审准则》及相关国家标准、技术规范，制定本补充要求。</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第二条【机构定义】 本补充要求所称珠宝首饰检验检测机构，是指依法成立，依据相关标准或技术规范，利用仪器设备、环境设施等技术条件和专业技能，</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珠宝玉石、贵金属及其镶嵌首饰、</w:t>
      </w:r>
      <w:r>
        <w:rPr>
          <w:rFonts w:ascii="Times New Roman" w:hAnsi="Times New Roman" w:eastAsia="仿宋_GB2312" w:cs="Times New Roman"/>
          <w:color w:val="auto"/>
          <w:sz w:val="32"/>
          <w:szCs w:val="32"/>
        </w:rPr>
        <w:t>饰品</w:t>
      </w:r>
      <w:r>
        <w:rPr>
          <w:rFonts w:hint="default" w:ascii="Times New Roman" w:hAnsi="Times New Roman" w:eastAsia="仿宋_GB2312" w:cs="Times New Roman"/>
          <w:sz w:val="32"/>
          <w:szCs w:val="32"/>
        </w:rPr>
        <w:t>开展检验检测活动的专业技术机构。</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第三条【检验检测人员定义】 本补充要求所称珠宝首饰检验检测人员（以下简称检验检测人员），是指与珠宝首饰检验检测工作相关的</w:t>
      </w:r>
      <w:r>
        <w:rPr>
          <w:rFonts w:ascii="Times New Roman" w:hAnsi="Times New Roman" w:eastAsia="仿宋_GB2312" w:cs="Times New Roman"/>
          <w:color w:val="auto"/>
          <w:sz w:val="32"/>
          <w:szCs w:val="32"/>
        </w:rPr>
        <w:t>技术管理人员、质量管理人员、测试分析人员</w:t>
      </w:r>
      <w:r>
        <w:rPr>
          <w:rFonts w:hint="default" w:ascii="Times New Roman" w:hAnsi="Times New Roman" w:eastAsia="仿宋_GB2312" w:cs="Times New Roman"/>
          <w:sz w:val="32"/>
          <w:szCs w:val="32"/>
        </w:rPr>
        <w:t>、报告审核人员和授权签字人等人员的总称。</w:t>
      </w:r>
    </w:p>
    <w:p>
      <w:pPr>
        <w:snapToGrid w:val="0"/>
        <w:spacing w:line="360" w:lineRule="auto"/>
        <w:ind w:firstLine="2560" w:firstLineChars="800"/>
        <w:rPr>
          <w:rFonts w:ascii="Times New Roman" w:hAnsi="Times New Roman" w:eastAsia="仿宋_GB2312" w:cs="Times New Roman"/>
          <w:sz w:val="32"/>
          <w:szCs w:val="32"/>
        </w:rPr>
      </w:pPr>
    </w:p>
    <w:p>
      <w:pPr>
        <w:snapToGrid w:val="0"/>
        <w:spacing w:line="360" w:lineRule="auto"/>
        <w:ind w:firstLine="2560" w:firstLineChars="8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法律地位</w:t>
      </w:r>
    </w:p>
    <w:p>
      <w:pPr>
        <w:snapToGrid w:val="0"/>
        <w:spacing w:line="360" w:lineRule="auto"/>
        <w:ind w:firstLine="640" w:firstLineChars="200"/>
        <w:rPr>
          <w:rFonts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第四条【主体资格与独立运营】</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珠宝首饰检验检测机构应当是依法成立、能够独立承担相应法律责任的法人组织。</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珠宝首饰检验检测机构应当独立运行，不得从事珠宝首饰生产、销售等经营性活动，不得与珠宝首饰生产、经营主体存在可能影响检验检测公正性的经济利益或者其他关联。</w:t>
      </w:r>
    </w:p>
    <w:p>
      <w:pPr>
        <w:snapToGrid w:val="0"/>
        <w:spacing w:line="360" w:lineRule="auto"/>
        <w:ind w:firstLine="2880" w:firstLineChars="900"/>
        <w:rPr>
          <w:rFonts w:ascii="Times New Roman" w:hAnsi="Times New Roman" w:eastAsia="仿宋_GB2312" w:cs="Times New Roman"/>
          <w:sz w:val="32"/>
          <w:szCs w:val="32"/>
        </w:rPr>
      </w:pPr>
    </w:p>
    <w:p>
      <w:pPr>
        <w:snapToGrid w:val="0"/>
        <w:spacing w:line="360" w:lineRule="auto"/>
        <w:ind w:firstLine="2560" w:firstLineChars="8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人员要求</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第五条【检验检测人员配置与从业条件】 珠宝首饰检验检测机构应当具备充足的检验检测人员，其数量、专业技术背景、工作经历、检验检测能力等应与所开展的检验检测活动相匹配，并符合以下要求：</w:t>
      </w:r>
    </w:p>
    <w:p>
      <w:pPr>
        <w:snapToGrid w:val="0"/>
        <w:spacing w:line="360" w:lineRule="auto"/>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（一）检验检测人员总人数不少于</w:t>
      </w:r>
      <w:r>
        <w:rPr>
          <w:rFonts w:ascii="Times New Roman" w:hAnsi="Times New Roman" w:eastAsia="仿宋_GB2312" w:cs="Times New Roman"/>
          <w:color w:val="auto"/>
          <w:sz w:val="32"/>
          <w:szCs w:val="32"/>
        </w:rPr>
        <w:t>1</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sz w:val="32"/>
          <w:szCs w:val="32"/>
        </w:rPr>
        <w:t>人（含统一管理体系下的分场所）。开设分场所的，每个分场所人数不少于5人</w:t>
      </w:r>
      <w:r>
        <w:rPr>
          <w:rFonts w:hint="default" w:ascii="Times New Roman" w:hAnsi="Times New Roman" w:eastAsia="仿宋_GB2312" w:cs="Times New Roman"/>
          <w:color w:val="auto"/>
          <w:sz w:val="32"/>
          <w:szCs w:val="32"/>
        </w:rPr>
        <w:t>。行政、财务、后勤等综合管理人员不得超过</w:t>
      </w:r>
      <w:r>
        <w:rPr>
          <w:rFonts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rPr>
        <w:t>。</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（二）从事化学分析检测的人员应具有化学或相关专业专科及以上学历；</w:t>
      </w:r>
      <w:r>
        <w:rPr>
          <w:rFonts w:hint="default" w:ascii="Times New Roman" w:hAnsi="Times New Roman" w:eastAsia="仿宋_GB2312" w:cs="Times New Roman"/>
          <w:sz w:val="32"/>
          <w:szCs w:val="32"/>
          <w:highlight w:val="none"/>
        </w:rPr>
        <w:t>从事</w:t>
      </w:r>
      <w:r>
        <w:rPr>
          <w:rFonts w:hint="default" w:ascii="Times New Roman" w:hAnsi="Times New Roman" w:eastAsia="仿宋_GB2312" w:cs="Times New Roman"/>
          <w:sz w:val="32"/>
          <w:szCs w:val="32"/>
          <w:highlight w:val="none"/>
          <w:lang w:val="en-US" w:eastAsia="zh-CN"/>
        </w:rPr>
        <w:t>其他</w:t>
      </w:r>
      <w:r>
        <w:rPr>
          <w:rFonts w:hint="default" w:ascii="Times New Roman" w:hAnsi="Times New Roman" w:eastAsia="仿宋_GB2312" w:cs="Times New Roman"/>
          <w:sz w:val="32"/>
          <w:szCs w:val="32"/>
          <w:highlight w:val="none"/>
        </w:rPr>
        <w:t>检测的人员应具有</w:t>
      </w:r>
      <w:r>
        <w:rPr>
          <w:rFonts w:hint="default" w:ascii="Times New Roman" w:hAnsi="Times New Roman" w:eastAsia="仿宋_GB2312" w:cs="Times New Roman"/>
          <w:sz w:val="32"/>
          <w:szCs w:val="32"/>
          <w:highlight w:val="none"/>
          <w:lang w:eastAsia="zh-CN"/>
        </w:rPr>
        <w:t>珠宝、地质矿产、</w:t>
      </w:r>
      <w:r>
        <w:rPr>
          <w:rFonts w:hint="default" w:ascii="Times New Roman" w:hAnsi="Times New Roman" w:eastAsia="仿宋_GB2312" w:cs="Times New Roman"/>
          <w:sz w:val="32"/>
          <w:szCs w:val="32"/>
          <w:highlight w:val="none"/>
        </w:rPr>
        <w:t>材料等相关专业专科及以上学历。</w:t>
      </w:r>
    </w:p>
    <w:p>
      <w:pPr>
        <w:snapToGrid w:val="0"/>
        <w:spacing w:line="360" w:lineRule="auto"/>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（三）具有中级及以上技术职称或</w:t>
      </w:r>
      <w:r>
        <w:rPr>
          <w:rFonts w:ascii="Times New Roman" w:hAnsi="Times New Roman" w:eastAsia="仿宋_GB2312" w:cs="Times New Roman"/>
          <w:color w:val="auto"/>
          <w:sz w:val="32"/>
          <w:szCs w:val="32"/>
        </w:rPr>
        <w:t>同等能力</w:t>
      </w:r>
      <w:r>
        <w:rPr>
          <w:rFonts w:hint="default" w:ascii="Times New Roman" w:hAnsi="Times New Roman" w:eastAsia="仿宋_GB2312" w:cs="Times New Roman"/>
          <w:sz w:val="32"/>
          <w:szCs w:val="32"/>
        </w:rPr>
        <w:t>的人员数量应当不少于检验检测人员总数的</w:t>
      </w:r>
      <w:r>
        <w:rPr>
          <w:rFonts w:ascii="Times New Roman" w:hAnsi="Times New Roman" w:eastAsia="仿宋_GB2312" w:cs="Times New Roman"/>
          <w:color w:val="auto"/>
          <w:sz w:val="32"/>
          <w:szCs w:val="32"/>
        </w:rPr>
        <w:t>30%。</w:t>
      </w:r>
    </w:p>
    <w:p>
      <w:pPr>
        <w:snapToGrid w:val="0"/>
        <w:spacing w:line="360" w:lineRule="auto"/>
        <w:ind w:firstLine="640" w:firstLineChars="200"/>
        <w:rPr>
          <w:rFonts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（四）珠宝首饰检验检测机构应当与检验检测人员签订劳动合同，并为其办理社会保险。</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（五）检验检测人员不得同时在两家以上机构受聘或兼职从事检测活动。</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（六）检验检测人员在机构工作</w:t>
      </w:r>
      <w:r>
        <w:rPr>
          <w:rFonts w:ascii="Times New Roman" w:hAnsi="Times New Roman" w:eastAsia="仿宋_GB2312" w:cs="Times New Roman"/>
          <w:sz w:val="32"/>
          <w:szCs w:val="32"/>
        </w:rPr>
        <w:t>6</w:t>
      </w:r>
      <w:r>
        <w:rPr>
          <w:rFonts w:hint="default" w:ascii="Times New Roman" w:hAnsi="Times New Roman" w:eastAsia="仿宋_GB2312" w:cs="Times New Roman"/>
          <w:sz w:val="32"/>
          <w:szCs w:val="32"/>
        </w:rPr>
        <w:t>个月</w:t>
      </w:r>
      <w:r>
        <w:rPr>
          <w:rFonts w:hint="default" w:ascii="Times New Roman" w:hAnsi="Times New Roman" w:eastAsia="仿宋_GB2312" w:cs="Times New Roman"/>
          <w:sz w:val="32"/>
          <w:szCs w:val="32"/>
          <w:highlight w:val="none"/>
        </w:rPr>
        <w:t>以上</w:t>
      </w:r>
      <w:r>
        <w:rPr>
          <w:rFonts w:hint="default" w:ascii="Times New Roman" w:hAnsi="Times New Roman" w:eastAsia="仿宋_GB2312" w:cs="Times New Roman"/>
          <w:sz w:val="32"/>
          <w:szCs w:val="32"/>
        </w:rPr>
        <w:t>，方可独立从事检验检测工作。</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第六条【授权签字人条件】 珠宝首饰检验检测机构</w:t>
      </w:r>
      <w:r>
        <w:rPr>
          <w:rFonts w:hint="default" w:ascii="Times New Roman" w:hAnsi="Times New Roman" w:eastAsia="仿宋_GB2312" w:cs="Times New Roman"/>
          <w:sz w:val="32"/>
          <w:szCs w:val="32"/>
          <w:lang w:eastAsia="zh-CN"/>
        </w:rPr>
        <w:t>应当</w:t>
      </w:r>
      <w:r>
        <w:rPr>
          <w:rFonts w:hint="default" w:ascii="Times New Roman" w:hAnsi="Times New Roman" w:eastAsia="仿宋_GB2312" w:cs="Times New Roman"/>
          <w:sz w:val="32"/>
          <w:szCs w:val="32"/>
        </w:rPr>
        <w:t>至少配备两名授权签字人。授权签字人应熟悉授权范围内专业知识，具备相应专业背景、中级及以上技术职称或同等能力。</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第七条【技术负责人条件】 珠宝首饰检验检测机构技术负责人应全面掌握本机构检验检测范围内专业知识，具备相关专业背景、中级及以上技术职称或同等能力。</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第八条【质量负责人条件】 珠宝首饰检验检测机构质量负责人应熟悉本机构检验检测专业知识和质量管理要求，具</w:t>
      </w:r>
      <w:r>
        <w:rPr>
          <w:rFonts w:ascii="Times New Roman" w:hAnsi="Times New Roman" w:eastAsia="仿宋_GB2312" w:cs="Times New Roman"/>
          <w:sz w:val="32"/>
          <w:szCs w:val="32"/>
        </w:rPr>
        <w:t>备中级及以上技术职称</w:t>
      </w:r>
      <w:r>
        <w:rPr>
          <w:rFonts w:hint="default" w:ascii="Times New Roman" w:hAnsi="Times New Roman" w:eastAsia="仿宋_GB2312" w:cs="Times New Roman"/>
          <w:sz w:val="32"/>
          <w:szCs w:val="32"/>
        </w:rPr>
        <w:t>或同等能力。</w:t>
      </w:r>
    </w:p>
    <w:p>
      <w:pPr>
        <w:pStyle w:val="4"/>
        <w:snapToGrid w:val="0"/>
        <w:spacing w:line="360" w:lineRule="auto"/>
        <w:ind w:firstLine="640" w:firstLineChars="200"/>
        <w:jc w:val="both"/>
        <w:rPr>
          <w:rFonts w:ascii="Times New Roman" w:hAnsi="Times New Roman" w:eastAsia="仿宋_GB2312" w:cs="Times New Roman"/>
          <w:color w:val="FF0000"/>
          <w:sz w:val="32"/>
          <w:szCs w:val="32"/>
        </w:rPr>
      </w:pPr>
      <w:r>
        <w:rPr>
          <w:rFonts w:ascii="Times New Roman" w:hAnsi="Times New Roman" w:eastAsia="仿宋_GB2312" w:cs="Times New Roman"/>
          <w:color w:val="auto"/>
          <w:sz w:val="32"/>
          <w:szCs w:val="32"/>
        </w:rPr>
        <w:t>上述条款中“具备同等能力”是指人员的教育背景、工作经历具备以下条件：</w:t>
      </w:r>
      <w:r>
        <w:rPr>
          <w:rFonts w:hint="default" w:ascii="Times New Roman" w:hAnsi="Times New Roman" w:eastAsia="仿宋_GB2312" w:cs="Times New Roman"/>
          <w:sz w:val="32"/>
          <w:szCs w:val="32"/>
        </w:rPr>
        <w:t>博士研究生毕业，且从事相关专业检验检测活动1年及以上；硕士研究生毕业，且从事相关专业检验检测活动3年及以上；大学本科毕业，且从事相关专业检验检测活动5年及以上；大学专科毕业，且从事相关专业检验检测活动8年及以上</w:t>
      </w:r>
      <w:r>
        <w:rPr>
          <w:rFonts w:hint="default" w:ascii="Times New Roman" w:hAnsi="Times New Roman" w:eastAsia="仿宋_GB2312" w:cs="Times New Roman"/>
          <w:color w:val="auto"/>
          <w:sz w:val="32"/>
          <w:szCs w:val="32"/>
        </w:rPr>
        <w:t>。</w:t>
      </w:r>
    </w:p>
    <w:p>
      <w:pPr>
        <w:snapToGrid w:val="0"/>
        <w:spacing w:line="360" w:lineRule="auto"/>
        <w:ind w:firstLine="1920" w:firstLineChars="600"/>
        <w:rPr>
          <w:rFonts w:ascii="Times New Roman" w:hAnsi="Times New Roman" w:eastAsia="仿宋_GB2312" w:cs="Times New Roman"/>
          <w:sz w:val="32"/>
          <w:szCs w:val="32"/>
        </w:rPr>
      </w:pPr>
    </w:p>
    <w:p>
      <w:pPr>
        <w:snapToGrid w:val="0"/>
        <w:spacing w:line="360" w:lineRule="auto"/>
        <w:ind w:firstLine="1920" w:firstLineChars="6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场所、环境和设施要求</w:t>
      </w:r>
    </w:p>
    <w:p>
      <w:pPr>
        <w:snapToGrid w:val="0"/>
        <w:spacing w:line="360" w:lineRule="auto"/>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第九条【场所权属与使用要求】 珠宝首饰检验检测机构应当对工作场所拥有完全、独立的使用权，并提供合法有效的权属或使用证明。</w:t>
      </w:r>
      <w:r>
        <w:rPr>
          <w:rFonts w:ascii="Times New Roman" w:hAnsi="Times New Roman" w:eastAsia="仿宋_GB2312" w:cs="Times New Roman"/>
          <w:color w:val="auto"/>
          <w:sz w:val="32"/>
          <w:szCs w:val="32"/>
        </w:rPr>
        <w:t>不得在民宅</w:t>
      </w:r>
      <w:r>
        <w:rPr>
          <w:rFonts w:hint="default" w:ascii="Times New Roman" w:hAnsi="Times New Roman" w:eastAsia="仿宋_GB2312" w:cs="Times New Roman"/>
          <w:color w:val="auto"/>
          <w:sz w:val="32"/>
          <w:szCs w:val="32"/>
          <w:lang w:eastAsia="zh-CN"/>
        </w:rPr>
        <w:t>或</w:t>
      </w:r>
      <w:r>
        <w:rPr>
          <w:rFonts w:ascii="Times New Roman" w:hAnsi="Times New Roman" w:eastAsia="仿宋_GB2312" w:cs="Times New Roman"/>
          <w:color w:val="auto"/>
          <w:sz w:val="32"/>
          <w:szCs w:val="32"/>
        </w:rPr>
        <w:t>对开办</w:t>
      </w:r>
      <w:r>
        <w:rPr>
          <w:rFonts w:hint="default" w:ascii="Times New Roman" w:hAnsi="Times New Roman" w:eastAsia="仿宋_GB2312" w:cs="Times New Roman"/>
          <w:color w:val="auto"/>
          <w:sz w:val="32"/>
          <w:szCs w:val="32"/>
          <w:lang w:eastAsia="zh-CN"/>
        </w:rPr>
        <w:t>经营性场所</w:t>
      </w:r>
      <w:r>
        <w:rPr>
          <w:rFonts w:ascii="Times New Roman" w:hAnsi="Times New Roman" w:eastAsia="仿宋_GB2312" w:cs="Times New Roman"/>
          <w:color w:val="auto"/>
          <w:sz w:val="32"/>
          <w:szCs w:val="32"/>
        </w:rPr>
        <w:t>有禁止性规定的场所开办珠宝首饰检验检测机构。</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以租用、借用场地申请资质认定的，租用借用期限不少于3年。资质认定证书有效期不足3年的，租用或借用场所合同应当不低于资质认定有效期。</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第十条【实验室环境要求】 珠宝首饰检验检测实验室应合理分区布局。化学实验室应配备相应安全防护设施和环境保护设施；痕量分析实验室应采取有效措施避免交叉污染与相互干扰。</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第十一条【全过程视频监控】 珠宝首饰检验检测机构应实现检验检测全过程视频监控，监控范围包括样品受理、存储、标识、样品内部流转、测试、报告出具等全流程。视频数据保存期限不少于</w:t>
      </w:r>
      <w:r>
        <w:rPr>
          <w:rFonts w:ascii="Times New Roman" w:hAnsi="Times New Roman" w:eastAsia="仿宋_GB2312" w:cs="Times New Roman"/>
          <w:sz w:val="32"/>
          <w:szCs w:val="32"/>
        </w:rPr>
        <w:t>60</w:t>
      </w:r>
      <w:r>
        <w:rPr>
          <w:rFonts w:hint="default" w:ascii="Times New Roman" w:hAnsi="Times New Roman" w:eastAsia="仿宋_GB2312" w:cs="Times New Roman"/>
          <w:sz w:val="32"/>
          <w:szCs w:val="32"/>
        </w:rPr>
        <w:t>天，确保检验检测全过程可追溯、可核查。</w:t>
      </w:r>
    </w:p>
    <w:p>
      <w:pPr>
        <w:snapToGrid w:val="0"/>
        <w:spacing w:line="360" w:lineRule="auto"/>
        <w:ind w:firstLine="640" w:firstLineChars="200"/>
        <w:rPr>
          <w:rFonts w:ascii="Times New Roman" w:hAnsi="Times New Roman" w:eastAsia="仿宋_GB2312" w:cs="Times New Roman"/>
          <w:sz w:val="32"/>
          <w:szCs w:val="32"/>
        </w:rPr>
      </w:pPr>
    </w:p>
    <w:p>
      <w:pPr>
        <w:snapToGrid w:val="0"/>
        <w:spacing w:line="360" w:lineRule="auto"/>
        <w:ind w:firstLine="0" w:firstLineChars="0"/>
        <w:jc w:val="center"/>
        <w:rPr>
          <w:rFonts w:ascii="Times New Roman" w:hAnsi="Times New Roman" w:eastAsia="仿宋_GB2312" w:cs="Times New Roman"/>
          <w:sz w:val="32"/>
          <w:szCs w:val="32"/>
        </w:rPr>
      </w:pPr>
      <w:r>
        <w:rPr>
          <w:rFonts w:hint="default" w:ascii="Times New Roman" w:hAnsi="Times New Roman" w:eastAsia="黑体" w:cs="Times New Roman"/>
          <w:sz w:val="32"/>
          <w:szCs w:val="32"/>
        </w:rPr>
        <w:t>第五章 信息系统</w:t>
      </w:r>
      <w:r>
        <w:rPr>
          <w:rStyle w:val="12"/>
          <w:rFonts w:hint="default" w:ascii="Times New Roman" w:hAnsi="Times New Roman" w:eastAsia="黑体" w:cs="Times New Roman"/>
          <w:sz w:val="32"/>
          <w:szCs w:val="32"/>
        </w:rPr>
        <w:t>要求</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第十二条【信息管理系统】 珠宝首饰检验检测机构应建立覆盖检验检测全过程的信息管理系统，采取数据防篡改、信息安全及网络安全管理措施。</w:t>
      </w:r>
    </w:p>
    <w:p>
      <w:pPr>
        <w:snapToGrid w:val="0"/>
        <w:spacing w:line="360" w:lineRule="auto"/>
        <w:ind w:firstLine="640" w:firstLineChars="200"/>
        <w:rPr>
          <w:rFonts w:hint="default" w:ascii="Times New Roman" w:hAnsi="Times New Roman" w:eastAsia="方正仿宋_GBK" w:cs="Times New Roman"/>
          <w:color w:val="FF0000"/>
          <w:sz w:val="32"/>
          <w:szCs w:val="32"/>
        </w:rPr>
      </w:pPr>
      <w:r>
        <w:rPr>
          <w:rFonts w:hint="default" w:ascii="Times New Roman" w:hAnsi="Times New Roman" w:eastAsia="仿宋_GB2312" w:cs="Times New Roman"/>
          <w:sz w:val="32"/>
          <w:szCs w:val="32"/>
        </w:rPr>
        <w:t>第十三条【公共查询】</w:t>
      </w:r>
      <w:r>
        <w:rPr>
          <w:rFonts w:hint="default" w:ascii="Times New Roman" w:hAnsi="Times New Roman" w:eastAsia="仿宋_GB2312" w:cs="Times New Roman"/>
          <w:sz w:val="32"/>
          <w:szCs w:val="32"/>
          <w:lang w:val="en-US" w:eastAsia="zh-CN"/>
        </w:rPr>
        <w:t xml:space="preserve"> </w:t>
      </w:r>
      <w:r>
        <w:rPr>
          <w:rFonts w:ascii="Times New Roman" w:hAnsi="Times New Roman" w:eastAsia="仿宋_GB2312" w:cs="Times New Roman"/>
          <w:color w:val="auto"/>
          <w:sz w:val="32"/>
          <w:szCs w:val="32"/>
          <w:highlight w:val="none"/>
        </w:rPr>
        <w:t>珠宝首饰检验检测机构</w:t>
      </w:r>
      <w:r>
        <w:rPr>
          <w:rFonts w:hint="default" w:ascii="Times New Roman" w:hAnsi="Times New Roman" w:eastAsia="仿宋_GB2312" w:cs="Times New Roman"/>
          <w:color w:val="auto"/>
          <w:sz w:val="32"/>
          <w:szCs w:val="32"/>
          <w:highlight w:val="none"/>
          <w:lang w:eastAsia="zh-CN"/>
        </w:rPr>
        <w:t>的官方网站</w:t>
      </w:r>
      <w:r>
        <w:rPr>
          <w:rFonts w:ascii="Times New Roman" w:hAnsi="Times New Roman" w:eastAsia="仿宋_GB2312" w:cs="Times New Roman"/>
          <w:color w:val="auto"/>
          <w:sz w:val="32"/>
          <w:szCs w:val="32"/>
          <w:highlight w:val="none"/>
        </w:rPr>
        <w:t>应当依法</w:t>
      </w:r>
      <w:r>
        <w:rPr>
          <w:rFonts w:hint="default" w:ascii="Times New Roman" w:hAnsi="Times New Roman" w:eastAsia="仿宋_GB2312" w:cs="Times New Roman"/>
          <w:color w:val="auto"/>
          <w:sz w:val="32"/>
          <w:szCs w:val="32"/>
          <w:highlight w:val="none"/>
          <w:lang w:eastAsia="zh-CN"/>
        </w:rPr>
        <w:t>取得</w:t>
      </w:r>
      <w:r>
        <w:rPr>
          <w:rFonts w:ascii="Times New Roman" w:hAnsi="Times New Roman" w:eastAsia="仿宋_GB2312" w:cs="Times New Roman"/>
          <w:color w:val="auto"/>
          <w:sz w:val="32"/>
          <w:szCs w:val="32"/>
          <w:highlight w:val="none"/>
          <w:lang w:bidi="ar"/>
        </w:rPr>
        <w:t>ICP（互联网信息服务备案）及公安联网备案，</w:t>
      </w:r>
      <w:r>
        <w:rPr>
          <w:rFonts w:hint="default" w:ascii="Times New Roman" w:hAnsi="Times New Roman" w:eastAsia="仿宋_GB2312" w:cs="Times New Roman"/>
          <w:sz w:val="32"/>
          <w:szCs w:val="32"/>
        </w:rPr>
        <w:t>公开资质认定证书、能力范围以及办公地址、检测场所、联系方式、受理举报投诉渠道等信息，确保公开信息准确、客观、真实、可追溯。</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color w:val="FF0000"/>
          <w:sz w:val="32"/>
          <w:szCs w:val="32"/>
        </w:rPr>
        <w:t xml:space="preserve"> </w:t>
      </w:r>
    </w:p>
    <w:p>
      <w:pPr>
        <w:snapToGrid w:val="0"/>
        <w:spacing w:line="360" w:lineRule="auto"/>
        <w:ind w:firstLine="2560" w:firstLineChars="8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第六章 仪器设备要求</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第十四条【仪器设备权属】 珠宝首饰检验检测机构应对仪器设备（含标准物质）拥有完全、独立的使用权，并提供合法有效的权属或使用证明。</w:t>
      </w:r>
    </w:p>
    <w:p>
      <w:pPr>
        <w:snapToGrid w:val="0"/>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机构首次申请资质认定的，不得租用、借用仪器设备；办理其他资质认定事项时，租用、借用仪器设备台套数不</w:t>
      </w:r>
      <w:r>
        <w:rPr>
          <w:rFonts w:hint="default" w:ascii="Times New Roman" w:hAnsi="Times New Roman" w:eastAsia="仿宋_GB2312" w:cs="Times New Roman"/>
          <w:sz w:val="32"/>
          <w:szCs w:val="32"/>
          <w:lang w:eastAsia="zh-CN"/>
        </w:rPr>
        <w:t>得</w:t>
      </w:r>
      <w:r>
        <w:rPr>
          <w:rFonts w:ascii="Times New Roman" w:hAnsi="Times New Roman" w:eastAsia="仿宋_GB2312" w:cs="Times New Roman"/>
          <w:sz w:val="32"/>
          <w:szCs w:val="32"/>
        </w:rPr>
        <w:t>超过总台套数的20%，且独立使用期限不低于一个资质认定周期。</w:t>
      </w:r>
    </w:p>
    <w:p>
      <w:pPr>
        <w:snapToGrid w:val="0"/>
        <w:spacing w:line="360" w:lineRule="auto"/>
        <w:ind w:firstLine="640" w:firstLineChars="200"/>
        <w:rPr>
          <w:rFonts w:ascii="Times New Roman" w:hAnsi="Times New Roman" w:eastAsia="仿宋_GB2312" w:cs="Times New Roman"/>
          <w:color w:val="auto"/>
          <w:sz w:val="32"/>
          <w:szCs w:val="32"/>
          <w:highlight w:val="yellow"/>
        </w:rPr>
      </w:pPr>
      <w:r>
        <w:rPr>
          <w:rFonts w:ascii="Times New Roman" w:hAnsi="Times New Roman" w:eastAsia="仿宋_GB2312" w:cs="Times New Roman"/>
          <w:color w:val="auto"/>
          <w:sz w:val="32"/>
          <w:szCs w:val="32"/>
        </w:rPr>
        <w:t>第十五条【仪器设备基本配置】 珠宝首饰检验检测机构开展珠宝玉石、贵金属、饰品检测，应至少满足以下配置要求：</w:t>
      </w:r>
    </w:p>
    <w:p>
      <w:pPr>
        <w:snapToGrid w:val="0"/>
        <w:spacing w:line="360" w:lineRule="auto"/>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sz w:val="32"/>
          <w:szCs w:val="32"/>
        </w:rPr>
        <w:t>开展</w:t>
      </w:r>
      <w:r>
        <w:rPr>
          <w:rFonts w:ascii="Times New Roman" w:hAnsi="Times New Roman" w:eastAsia="仿宋_GB2312" w:cs="Times New Roman"/>
          <w:color w:val="auto"/>
          <w:sz w:val="32"/>
          <w:szCs w:val="32"/>
        </w:rPr>
        <w:t>珠宝玉石检测：应按检测标准要求配备显微镜、折射仪、二色镜、</w:t>
      </w:r>
      <w:r>
        <w:rPr>
          <w:rFonts w:ascii="Times New Roman" w:hAnsi="Times New Roman" w:eastAsia="仿宋_GB2312" w:cs="Times New Roman"/>
          <w:sz w:val="32"/>
          <w:szCs w:val="32"/>
        </w:rPr>
        <w:t>分光</w:t>
      </w:r>
      <w:r>
        <w:rPr>
          <w:rFonts w:hint="default" w:ascii="Times New Roman" w:hAnsi="Times New Roman" w:eastAsia="仿宋_GB2312" w:cs="Times New Roman"/>
          <w:sz w:val="32"/>
          <w:szCs w:val="32"/>
        </w:rPr>
        <w:t>镜、</w:t>
      </w:r>
      <w:r>
        <w:rPr>
          <w:rFonts w:ascii="Times New Roman" w:hAnsi="Times New Roman" w:eastAsia="仿宋_GB2312" w:cs="Times New Roman"/>
          <w:color w:val="auto"/>
          <w:sz w:val="32"/>
          <w:szCs w:val="32"/>
        </w:rPr>
        <w:t>偏光镜、紫外荧光灯、电子天平、红外光谱仪、</w:t>
      </w:r>
      <w:r>
        <w:rPr>
          <w:rFonts w:hint="default" w:ascii="Times New Roman" w:hAnsi="Times New Roman" w:eastAsia="仿宋_GB2312" w:cs="Times New Roman"/>
          <w:sz w:val="32"/>
          <w:szCs w:val="32"/>
        </w:rPr>
        <w:t>紫外可见分光光度计</w:t>
      </w:r>
      <w:r>
        <w:rPr>
          <w:rFonts w:ascii="Times New Roman" w:hAnsi="Times New Roman" w:eastAsia="仿宋_GB2312" w:cs="Times New Roman"/>
          <w:color w:val="auto"/>
          <w:sz w:val="32"/>
          <w:szCs w:val="32"/>
        </w:rPr>
        <w:t>等</w:t>
      </w:r>
      <w:r>
        <w:rPr>
          <w:rFonts w:hint="default" w:ascii="Times New Roman" w:hAnsi="Times New Roman" w:eastAsia="仿宋_GB2312" w:cs="Times New Roman"/>
          <w:sz w:val="32"/>
          <w:szCs w:val="32"/>
        </w:rPr>
        <w:t>。</w:t>
      </w:r>
    </w:p>
    <w:p>
      <w:pPr>
        <w:snapToGrid w:val="0"/>
        <w:spacing w:line="360" w:lineRule="auto"/>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（二）用无损检测法开展贵金属（金、银、铂、钯等）检测：应按检测标准要求配备X荧光光谱仪以及覆盖金、银、铂等常见种类的贵金属标准物质。</w:t>
      </w:r>
    </w:p>
    <w:p>
      <w:pPr>
        <w:snapToGrid w:val="0"/>
        <w:spacing w:line="360" w:lineRule="auto"/>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（三）用化学法开展贵金属（金、银、铂、钯等）检测：</w:t>
      </w:r>
      <w:r>
        <w:rPr>
          <w:rFonts w:hint="default" w:ascii="Times New Roman" w:hAnsi="Times New Roman" w:eastAsia="仿宋_GB2312" w:cs="Times New Roman"/>
          <w:color w:val="auto"/>
          <w:sz w:val="32"/>
          <w:szCs w:val="32"/>
          <w:highlight w:val="none"/>
        </w:rPr>
        <w:t>应按检测标准要求，配备灰吹炉</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电位滴定仪</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电感耦合等离子体光谱仪</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马弗炉等仪器设备</w:t>
      </w:r>
      <w:r>
        <w:rPr>
          <w:rFonts w:hint="default" w:ascii="Times New Roman" w:hAnsi="Times New Roman" w:eastAsia="仿宋_GB2312" w:cs="Times New Roman"/>
          <w:color w:val="auto"/>
          <w:sz w:val="32"/>
          <w:szCs w:val="32"/>
          <w:highlight w:val="none"/>
          <w:lang w:eastAsia="zh-CN"/>
        </w:rPr>
        <w:t>以及标准样品</w:t>
      </w:r>
      <w:r>
        <w:rPr>
          <w:rFonts w:hint="default" w:ascii="Times New Roman" w:hAnsi="Times New Roman" w:eastAsia="仿宋_GB2312" w:cs="Times New Roman"/>
          <w:color w:val="auto"/>
          <w:sz w:val="32"/>
          <w:szCs w:val="32"/>
          <w:highlight w:val="none"/>
        </w:rPr>
        <w:t>。</w:t>
      </w:r>
    </w:p>
    <w:p>
      <w:pPr>
        <w:snapToGrid w:val="0"/>
        <w:spacing w:line="360" w:lineRule="auto"/>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（四）开展饰品检测：应按照检测标准要求配备电感耦合等离子体光谱仪、</w:t>
      </w:r>
      <w:r>
        <w:rPr>
          <w:rFonts w:hint="eastAsia" w:ascii="Times New Roman" w:hAnsi="Times New Roman" w:eastAsia="仿宋_GB2312" w:cs="Times New Roman"/>
          <w:color w:val="auto"/>
          <w:sz w:val="32"/>
          <w:szCs w:val="32"/>
          <w:lang w:val="en-US" w:eastAsia="zh-CN"/>
        </w:rPr>
        <w:t>p</w:t>
      </w:r>
      <w:r>
        <w:rPr>
          <w:rFonts w:hint="default" w:ascii="Times New Roman" w:hAnsi="Times New Roman" w:eastAsia="仿宋_GB2312" w:cs="Times New Roman"/>
          <w:color w:val="auto"/>
          <w:sz w:val="32"/>
          <w:szCs w:val="32"/>
        </w:rPr>
        <w:t>H计、分光光度计等仪器设备。</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第十六条【计量溯源】 珠宝首饰检验检测机构应评估仪器设备对检测结果有效性与溯源性的影响，确定计量溯源需求。</w:t>
      </w:r>
    </w:p>
    <w:p>
      <w:pPr>
        <w:pStyle w:val="4"/>
        <w:spacing w:line="360" w:lineRule="auto"/>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需要计量溯源的仪器设备，应制定包含计量溯源参数、测量范围、不确定度、周期等内容的方案，并依据</w:t>
      </w:r>
      <w:r>
        <w:rPr>
          <w:rFonts w:hint="default" w:ascii="Times New Roman" w:hAnsi="Times New Roman" w:eastAsia="仿宋_GB2312" w:cs="Times New Roman"/>
          <w:sz w:val="32"/>
          <w:szCs w:val="32"/>
          <w:lang w:eastAsia="zh-CN"/>
        </w:rPr>
        <w:t>计量溯源</w:t>
      </w:r>
      <w:r>
        <w:rPr>
          <w:rFonts w:hint="default" w:ascii="Times New Roman" w:hAnsi="Times New Roman" w:eastAsia="仿宋_GB2312" w:cs="Times New Roman"/>
          <w:sz w:val="32"/>
          <w:szCs w:val="32"/>
        </w:rPr>
        <w:t>证书确认是否满足方法要求。</w:t>
      </w:r>
      <w:r>
        <w:rPr>
          <w:rFonts w:hint="default" w:ascii="Times New Roman" w:hAnsi="Times New Roman" w:eastAsia="仿宋_GB2312" w:cs="Times New Roman"/>
          <w:sz w:val="32"/>
          <w:szCs w:val="32"/>
          <w:highlight w:val="none"/>
          <w:lang w:eastAsia="zh-CN"/>
        </w:rPr>
        <w:t>属于《市场监管总局关于调整实施强制管理的计量器具目录的公告》的仪器设备，应强制实施检定；</w:t>
      </w:r>
      <w:r>
        <w:rPr>
          <w:rFonts w:hint="default" w:ascii="Times New Roman" w:hAnsi="Times New Roman" w:eastAsia="仿宋_GB2312" w:cs="Times New Roman"/>
          <w:sz w:val="32"/>
          <w:szCs w:val="32"/>
        </w:rPr>
        <w:t>不属于</w:t>
      </w:r>
      <w:r>
        <w:rPr>
          <w:rFonts w:hint="default" w:ascii="Times New Roman" w:hAnsi="Times New Roman" w:eastAsia="仿宋_GB2312" w:cs="Times New Roman"/>
          <w:sz w:val="32"/>
          <w:szCs w:val="32"/>
          <w:lang w:eastAsia="zh-CN"/>
        </w:rPr>
        <w:t>上述公告</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仪器</w:t>
      </w:r>
      <w:r>
        <w:rPr>
          <w:rFonts w:hint="default" w:ascii="Times New Roman" w:hAnsi="Times New Roman" w:eastAsia="仿宋_GB2312" w:cs="Times New Roman"/>
          <w:sz w:val="32"/>
          <w:szCs w:val="32"/>
        </w:rPr>
        <w:t>设备应定期校准或核查，保证数据、结果满足计量溯源要求。</w:t>
      </w:r>
    </w:p>
    <w:p>
      <w:pPr>
        <w:snapToGrid w:val="0"/>
        <w:spacing w:line="360" w:lineRule="auto"/>
        <w:rPr>
          <w:rFonts w:ascii="Times New Roman" w:hAnsi="Times New Roman" w:eastAsia="仿宋_GB2312" w:cs="Times New Roman"/>
          <w:sz w:val="32"/>
          <w:szCs w:val="32"/>
        </w:rPr>
      </w:pPr>
      <w:r>
        <w:rPr>
          <w:rFonts w:hint="default" w:ascii="Times New Roman" w:hAnsi="Times New Roman" w:eastAsia="仿宋_GB2312" w:cs="Times New Roman"/>
          <w:color w:val="FF0000"/>
          <w:sz w:val="32"/>
          <w:szCs w:val="32"/>
        </w:rPr>
        <w:t xml:space="preserve"> </w:t>
      </w:r>
    </w:p>
    <w:p>
      <w:pPr>
        <w:snapToGrid w:val="0"/>
        <w:spacing w:line="360" w:lineRule="auto"/>
        <w:ind w:firstLine="2240" w:firstLineChars="700"/>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第七章 管理体系要求</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第十七条【管理体系建立与运行】 珠宝首饰检验检测机构应建立与业务范围相适应的管理体系，覆盖所有场所及全部活动，包括但不限于：方法验证与确认、抽样、样品管理、检验检测、记录控制、报告编制、质量控制等。</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第十八条【多场所管理要求】 珠宝首饰检验检测机构设立分场所的，每个场所应配备与所申请的检测能力相匹配的人员(包括至少有一名不与其他分场所共用的授权签字人）、设备与环境条件。</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第十九条【作业指导书管理】 珠宝首饰检验检测机构应</w:t>
      </w:r>
      <w:r>
        <w:rPr>
          <w:rFonts w:hint="default" w:ascii="Times New Roman" w:hAnsi="Times New Roman" w:eastAsia="仿宋_GB2312" w:cs="Times New Roman"/>
          <w:sz w:val="32"/>
          <w:szCs w:val="32"/>
          <w:lang w:eastAsia="zh-CN"/>
        </w:rPr>
        <w:t>当</w:t>
      </w:r>
      <w:r>
        <w:rPr>
          <w:rFonts w:hint="default" w:ascii="Times New Roman" w:hAnsi="Times New Roman" w:eastAsia="仿宋_GB2312" w:cs="Times New Roman"/>
          <w:sz w:val="32"/>
          <w:szCs w:val="32"/>
        </w:rPr>
        <w:t>制定覆盖其</w:t>
      </w:r>
      <w:r>
        <w:rPr>
          <w:rFonts w:hint="default" w:ascii="Times New Roman" w:hAnsi="Times New Roman" w:eastAsia="仿宋_GB2312" w:cs="Times New Roman"/>
          <w:sz w:val="32"/>
          <w:szCs w:val="32"/>
          <w:lang w:eastAsia="zh-CN"/>
        </w:rPr>
        <w:t>全部活动</w:t>
      </w:r>
      <w:r>
        <w:rPr>
          <w:rFonts w:hint="default" w:ascii="Times New Roman" w:hAnsi="Times New Roman" w:eastAsia="仿宋_GB2312" w:cs="Times New Roman"/>
          <w:sz w:val="32"/>
          <w:szCs w:val="32"/>
        </w:rPr>
        <w:t>的作业指导书。作业指导书应至少包括：适用范围、检测流程、环境设施、仪器设备、结果控制等内容。</w:t>
      </w:r>
    </w:p>
    <w:p>
      <w:pPr>
        <w:snapToGrid w:val="0"/>
        <w:spacing w:line="360" w:lineRule="auto"/>
        <w:ind w:firstLine="2560" w:firstLineChars="800"/>
        <w:rPr>
          <w:rFonts w:hint="default" w:ascii="Times New Roman" w:hAnsi="Times New Roman" w:eastAsia="黑体" w:cs="Times New Roman"/>
          <w:sz w:val="32"/>
          <w:szCs w:val="32"/>
        </w:rPr>
      </w:pPr>
    </w:p>
    <w:p>
      <w:pPr>
        <w:snapToGrid w:val="0"/>
        <w:spacing w:line="360" w:lineRule="auto"/>
        <w:ind w:firstLine="2560" w:firstLineChars="8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第八章 检验检测能力要求</w:t>
      </w:r>
    </w:p>
    <w:p>
      <w:pPr>
        <w:snapToGrid w:val="0"/>
        <w:spacing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第二十条【检验检测能力要求】 珠宝首饰检验检测机构申请资质认定，应至少具备</w:t>
      </w:r>
      <w:r>
        <w:rPr>
          <w:rFonts w:hint="default" w:ascii="Times New Roman" w:hAnsi="Times New Roman" w:eastAsia="仿宋_GB2312" w:cs="Times New Roman"/>
          <w:sz w:val="32"/>
          <w:szCs w:val="32"/>
          <w:lang w:eastAsia="zh-CN"/>
        </w:rPr>
        <w:t>以下一项类别中的全部检测能力</w:t>
      </w:r>
      <w:r>
        <w:rPr>
          <w:rFonts w:hint="default" w:ascii="Times New Roman" w:hAnsi="Times New Roman" w:eastAsia="仿宋_GB2312" w:cs="Times New Roman"/>
          <w:sz w:val="32"/>
          <w:szCs w:val="32"/>
        </w:rPr>
        <w:t>：</w:t>
      </w:r>
    </w:p>
    <w:p>
      <w:pPr>
        <w:numPr>
          <w:ilvl w:val="0"/>
          <w:numId w:val="1"/>
        </w:numPr>
        <w:snapToGrid w:val="0"/>
        <w:spacing w:line="360" w:lineRule="auto"/>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开展珠宝玉石检测：应具备</w:t>
      </w:r>
      <w:r>
        <w:rPr>
          <w:rFonts w:ascii="Times New Roman" w:hAnsi="Times New Roman" w:eastAsia="仿宋_GB2312" w:cs="Times New Roman"/>
          <w:color w:val="auto"/>
          <w:sz w:val="32"/>
          <w:szCs w:val="32"/>
        </w:rPr>
        <w:t>GB/T 16552</w:t>
      </w:r>
      <w:r>
        <w:rPr>
          <w:rFonts w:hint="default"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GB/T 16553</w:t>
      </w:r>
      <w:r>
        <w:rPr>
          <w:rFonts w:hint="default" w:ascii="Times New Roman" w:hAnsi="Times New Roman" w:eastAsia="仿宋_GB2312" w:cs="Times New Roman"/>
          <w:color w:val="auto"/>
          <w:sz w:val="32"/>
          <w:szCs w:val="32"/>
        </w:rPr>
        <w:t>标准规定的检验检测能力。</w:t>
      </w:r>
    </w:p>
    <w:p>
      <w:pPr>
        <w:numPr>
          <w:ilvl w:val="0"/>
          <w:numId w:val="1"/>
        </w:numPr>
        <w:snapToGrid w:val="0"/>
        <w:spacing w:line="360" w:lineRule="auto"/>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用无损检测法</w:t>
      </w:r>
      <w:r>
        <w:rPr>
          <w:rFonts w:ascii="Times New Roman" w:hAnsi="Times New Roman" w:eastAsia="仿宋_GB2312" w:cs="Times New Roman"/>
          <w:color w:val="auto"/>
          <w:sz w:val="32"/>
          <w:szCs w:val="32"/>
        </w:rPr>
        <w:t>开展贵金属检测：应具备GB/T</w:t>
      </w:r>
      <w:r>
        <w:rPr>
          <w:rFonts w:hint="default" w:ascii="Times New Roman" w:hAnsi="Times New Roman" w:eastAsia="仿宋_GB2312" w:cs="Times New Roman"/>
          <w:color w:val="auto"/>
          <w:sz w:val="32"/>
          <w:szCs w:val="32"/>
        </w:rPr>
        <w:t xml:space="preserve"> </w:t>
      </w:r>
      <w:r>
        <w:rPr>
          <w:rFonts w:ascii="Times New Roman" w:hAnsi="Times New Roman" w:eastAsia="仿宋_GB2312" w:cs="Times New Roman"/>
          <w:color w:val="auto"/>
          <w:sz w:val="32"/>
          <w:szCs w:val="32"/>
        </w:rPr>
        <w:t>18043规定的检验检测能力</w:t>
      </w:r>
      <w:r>
        <w:rPr>
          <w:rFonts w:hint="default" w:ascii="Times New Roman" w:hAnsi="Times New Roman" w:eastAsia="仿宋_GB2312" w:cs="Times New Roman"/>
          <w:color w:val="auto"/>
          <w:sz w:val="32"/>
          <w:szCs w:val="32"/>
        </w:rPr>
        <w:t>。</w:t>
      </w:r>
    </w:p>
    <w:p>
      <w:pPr>
        <w:numPr>
          <w:ilvl w:val="0"/>
          <w:numId w:val="1"/>
        </w:numPr>
        <w:snapToGrid w:val="0"/>
        <w:spacing w:line="360" w:lineRule="auto"/>
        <w:ind w:firstLine="640" w:firstLineChars="20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用</w:t>
      </w:r>
      <w:r>
        <w:rPr>
          <w:rFonts w:ascii="Times New Roman" w:hAnsi="Times New Roman" w:eastAsia="仿宋_GB2312" w:cs="Times New Roman"/>
          <w:color w:val="auto"/>
          <w:sz w:val="32"/>
          <w:szCs w:val="32"/>
        </w:rPr>
        <w:t>化学法</w:t>
      </w:r>
      <w:r>
        <w:rPr>
          <w:rFonts w:hint="default" w:ascii="Times New Roman" w:hAnsi="Times New Roman" w:eastAsia="仿宋_GB2312" w:cs="Times New Roman"/>
          <w:color w:val="auto"/>
          <w:sz w:val="32"/>
          <w:szCs w:val="32"/>
        </w:rPr>
        <w:t>开展贵金属</w:t>
      </w:r>
      <w:r>
        <w:rPr>
          <w:rFonts w:ascii="Times New Roman" w:hAnsi="Times New Roman" w:eastAsia="仿宋_GB2312" w:cs="Times New Roman"/>
          <w:color w:val="auto"/>
          <w:sz w:val="32"/>
          <w:szCs w:val="32"/>
        </w:rPr>
        <w:t>检测</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应当分别具备GB/T</w:t>
      </w:r>
      <w:r>
        <w:rPr>
          <w:rFonts w:hint="default" w:ascii="Times New Roman" w:hAnsi="Times New Roman" w:eastAsia="仿宋_GB2312" w:cs="Times New Roman"/>
          <w:color w:val="auto"/>
          <w:sz w:val="32"/>
          <w:szCs w:val="32"/>
        </w:rPr>
        <w:t xml:space="preserve"> </w:t>
      </w:r>
      <w:r>
        <w:rPr>
          <w:rFonts w:ascii="Times New Roman" w:hAnsi="Times New Roman" w:eastAsia="仿宋_GB2312" w:cs="Times New Roman"/>
          <w:color w:val="auto"/>
          <w:sz w:val="32"/>
          <w:szCs w:val="32"/>
        </w:rPr>
        <w:t>9288、GB/T</w:t>
      </w:r>
      <w:r>
        <w:rPr>
          <w:rFonts w:hint="default" w:ascii="Times New Roman" w:hAnsi="Times New Roman" w:eastAsia="仿宋_GB2312" w:cs="Times New Roman"/>
          <w:color w:val="auto"/>
          <w:sz w:val="32"/>
          <w:szCs w:val="32"/>
        </w:rPr>
        <w:t xml:space="preserve"> </w:t>
      </w:r>
      <w:r>
        <w:rPr>
          <w:rFonts w:ascii="Times New Roman" w:hAnsi="Times New Roman" w:eastAsia="仿宋_GB2312" w:cs="Times New Roman"/>
          <w:color w:val="auto"/>
          <w:sz w:val="32"/>
          <w:szCs w:val="32"/>
        </w:rPr>
        <w:t>17832、GB/T</w:t>
      </w:r>
      <w:r>
        <w:rPr>
          <w:rFonts w:hint="default" w:ascii="Times New Roman" w:hAnsi="Times New Roman" w:eastAsia="仿宋_GB2312" w:cs="Times New Roman"/>
          <w:color w:val="auto"/>
          <w:sz w:val="32"/>
          <w:szCs w:val="32"/>
        </w:rPr>
        <w:t xml:space="preserve"> </w:t>
      </w:r>
      <w:r>
        <w:rPr>
          <w:rFonts w:ascii="Times New Roman" w:hAnsi="Times New Roman" w:eastAsia="仿宋_GB2312" w:cs="Times New Roman"/>
          <w:color w:val="auto"/>
          <w:sz w:val="32"/>
          <w:szCs w:val="32"/>
        </w:rPr>
        <w:t>19720、GB/T</w:t>
      </w:r>
      <w:r>
        <w:rPr>
          <w:rFonts w:hint="default" w:ascii="Times New Roman" w:hAnsi="Times New Roman" w:eastAsia="仿宋_GB2312" w:cs="Times New Roman"/>
          <w:color w:val="auto"/>
          <w:sz w:val="32"/>
          <w:szCs w:val="32"/>
        </w:rPr>
        <w:t xml:space="preserve"> </w:t>
      </w:r>
      <w:r>
        <w:rPr>
          <w:rFonts w:ascii="Times New Roman" w:hAnsi="Times New Roman" w:eastAsia="仿宋_GB2312" w:cs="Times New Roman"/>
          <w:color w:val="auto"/>
          <w:sz w:val="32"/>
          <w:szCs w:val="32"/>
        </w:rPr>
        <w:t>43719等标准规定的金含量、银含量、铂含量、钯含量的检验检测能力。可单独申请金、银、铂、钯任意一种或多种元素的含量检测能力。</w:t>
      </w:r>
    </w:p>
    <w:p>
      <w:pPr>
        <w:numPr>
          <w:ilvl w:val="0"/>
          <w:numId w:val="1"/>
        </w:numPr>
        <w:snapToGrid w:val="0"/>
        <w:spacing w:line="360" w:lineRule="auto"/>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开展饰品检测</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应具备GB/T 19719、GB/T 28019、GB/T 2802</w:t>
      </w:r>
      <w:r>
        <w:rPr>
          <w:rFonts w:hint="default"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GB/T 28021等标准规定的检验检测能力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以及饰品材质的检测能力</w:t>
      </w:r>
      <w:r>
        <w:rPr>
          <w:rFonts w:ascii="Times New Roman" w:hAnsi="Times New Roman" w:eastAsia="仿宋_GB2312" w:cs="Times New Roman"/>
          <w:color w:val="auto"/>
          <w:sz w:val="32"/>
          <w:szCs w:val="32"/>
        </w:rPr>
        <w:t>。</w:t>
      </w:r>
    </w:p>
    <w:p>
      <w:pPr>
        <w:snapToGrid w:val="0"/>
        <w:spacing w:line="360" w:lineRule="auto"/>
        <w:ind w:firstLine="640" w:firstLineChars="200"/>
        <w:rPr>
          <w:rFonts w:ascii="Times New Roman" w:hAnsi="Times New Roman" w:eastAsia="仿宋_GB2312" w:cs="Times New Roman"/>
          <w:sz w:val="32"/>
          <w:szCs w:val="32"/>
        </w:rPr>
      </w:pPr>
    </w:p>
    <w:p>
      <w:pPr>
        <w:snapToGrid w:val="0"/>
        <w:spacing w:line="360" w:lineRule="auto"/>
        <w:ind w:firstLine="2240" w:firstLineChars="7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第九章 检验检测报告要求</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第二十一条【报告基本内容】</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珠宝首饰检验检测报告内容应当符合《评审准则》相关要求，名称应当使用“检验检测报告”“检验检测证书”</w:t>
      </w:r>
      <w:r>
        <w:rPr>
          <w:rFonts w:hint="default" w:ascii="Times New Roman" w:hAnsi="Times New Roman" w:eastAsia="仿宋_GB2312" w:cs="Times New Roman"/>
          <w:sz w:val="32"/>
          <w:szCs w:val="32"/>
          <w:lang w:eastAsia="zh-CN"/>
        </w:rPr>
        <w:t>“检验证书”</w:t>
      </w:r>
      <w:r>
        <w:rPr>
          <w:rFonts w:hint="default" w:ascii="Times New Roman" w:hAnsi="Times New Roman" w:eastAsia="仿宋_GB2312" w:cs="Times New Roman"/>
          <w:sz w:val="32"/>
          <w:szCs w:val="32"/>
        </w:rPr>
        <w:t>“检测证书”，不得</w:t>
      </w:r>
      <w:r>
        <w:rPr>
          <w:rFonts w:hint="default"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lang w:val="en-US" w:eastAsia="zh-CN"/>
        </w:rPr>
        <w:t>CMA标识用于</w:t>
      </w:r>
      <w:r>
        <w:rPr>
          <w:rFonts w:hint="default" w:ascii="Times New Roman" w:hAnsi="Times New Roman" w:eastAsia="仿宋_GB2312" w:cs="Times New Roman"/>
          <w:sz w:val="32"/>
          <w:szCs w:val="32"/>
        </w:rPr>
        <w:t>“鉴定证书”</w:t>
      </w:r>
      <w:r>
        <w:rPr>
          <w:rFonts w:hint="default" w:ascii="Times New Roman" w:hAnsi="Times New Roman" w:eastAsia="仿宋_GB2312" w:cs="Times New Roman"/>
          <w:sz w:val="32"/>
          <w:szCs w:val="32"/>
          <w:lang w:eastAsia="zh-CN"/>
        </w:rPr>
        <w:t>“鉴定报告”</w:t>
      </w:r>
      <w:r>
        <w:rPr>
          <w:rFonts w:hint="default" w:ascii="Times New Roman" w:hAnsi="Times New Roman" w:eastAsia="仿宋_GB2312" w:cs="Times New Roman"/>
          <w:sz w:val="32"/>
          <w:szCs w:val="32"/>
        </w:rPr>
        <w:t>或者类似名称</w:t>
      </w:r>
      <w:r>
        <w:rPr>
          <w:rFonts w:hint="default" w:ascii="Times New Roman" w:hAnsi="Times New Roman" w:eastAsia="仿宋_GB2312" w:cs="Times New Roman"/>
          <w:sz w:val="32"/>
          <w:szCs w:val="32"/>
          <w:lang w:eastAsia="zh-CN"/>
        </w:rPr>
        <w:t>的报告中</w:t>
      </w:r>
      <w:r>
        <w:rPr>
          <w:rFonts w:hint="default" w:ascii="Times New Roman" w:hAnsi="Times New Roman" w:eastAsia="仿宋_GB2312" w:cs="Times New Roman"/>
          <w:sz w:val="32"/>
          <w:szCs w:val="32"/>
        </w:rPr>
        <w:t>。</w:t>
      </w:r>
    </w:p>
    <w:p>
      <w:pPr>
        <w:snapToGrid w:val="0"/>
        <w:spacing w:line="360" w:lineRule="auto"/>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根据客户的要求，</w:t>
      </w:r>
      <w:r>
        <w:rPr>
          <w:rFonts w:hint="default" w:ascii="Times New Roman" w:hAnsi="Times New Roman" w:eastAsia="仿宋_GB2312" w:cs="Times New Roman"/>
          <w:sz w:val="32"/>
          <w:szCs w:val="32"/>
        </w:rPr>
        <w:t>检验检测</w:t>
      </w:r>
      <w:r>
        <w:rPr>
          <w:rFonts w:hint="default" w:ascii="Times New Roman" w:hAnsi="Times New Roman" w:eastAsia="仿宋_GB2312" w:cs="Times New Roman"/>
          <w:color w:val="auto"/>
          <w:sz w:val="32"/>
          <w:szCs w:val="32"/>
        </w:rPr>
        <w:t>报告内容可以简化，但至少应包括</w:t>
      </w:r>
      <w:r>
        <w:rPr>
          <w:rFonts w:hint="default" w:ascii="Times New Roman" w:hAnsi="Times New Roman" w:eastAsia="仿宋_GB2312" w:cs="Times New Roman"/>
          <w:color w:val="auto"/>
          <w:sz w:val="32"/>
          <w:szCs w:val="32"/>
          <w:lang w:eastAsia="zh-CN"/>
        </w:rPr>
        <w:t>资质认定标志、检验检测机构公章或者检验检测专用章、检验检测</w:t>
      </w:r>
      <w:r>
        <w:rPr>
          <w:rFonts w:hint="default" w:ascii="Times New Roman" w:hAnsi="Times New Roman" w:eastAsia="仿宋_GB2312" w:cs="Times New Roman"/>
          <w:color w:val="auto"/>
          <w:sz w:val="32"/>
          <w:szCs w:val="32"/>
        </w:rPr>
        <w:t>机构名称</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地址、</w:t>
      </w:r>
      <w:r>
        <w:rPr>
          <w:rFonts w:hint="default" w:ascii="Times New Roman" w:hAnsi="Times New Roman" w:eastAsia="仿宋_GB2312" w:cs="Times New Roman"/>
          <w:color w:val="auto"/>
          <w:sz w:val="32"/>
          <w:szCs w:val="32"/>
          <w:lang w:eastAsia="zh-CN"/>
        </w:rPr>
        <w:t>检验检测</w:t>
      </w:r>
      <w:r>
        <w:rPr>
          <w:rFonts w:hint="default" w:ascii="Times New Roman" w:hAnsi="Times New Roman" w:eastAsia="仿宋_GB2312" w:cs="Times New Roman"/>
          <w:color w:val="auto"/>
          <w:sz w:val="32"/>
          <w:szCs w:val="32"/>
        </w:rPr>
        <w:t>报告编号、</w:t>
      </w:r>
      <w:r>
        <w:rPr>
          <w:rFonts w:hint="default" w:ascii="Times New Roman" w:hAnsi="Times New Roman" w:eastAsia="仿宋_GB2312" w:cs="Times New Roman"/>
          <w:color w:val="auto"/>
          <w:sz w:val="32"/>
          <w:szCs w:val="32"/>
          <w:lang w:eastAsia="zh-CN"/>
        </w:rPr>
        <w:t>检验检测对象名称及数量、检验</w:t>
      </w:r>
      <w:r>
        <w:rPr>
          <w:rFonts w:hint="default" w:ascii="Times New Roman" w:hAnsi="Times New Roman" w:eastAsia="仿宋_GB2312" w:cs="Times New Roman"/>
          <w:color w:val="auto"/>
          <w:sz w:val="32"/>
          <w:szCs w:val="32"/>
        </w:rPr>
        <w:t>检测依据、</w:t>
      </w:r>
      <w:r>
        <w:rPr>
          <w:rFonts w:hint="default" w:ascii="Times New Roman" w:hAnsi="Times New Roman" w:eastAsia="仿宋_GB2312" w:cs="Times New Roman"/>
          <w:color w:val="auto"/>
          <w:sz w:val="32"/>
          <w:szCs w:val="32"/>
          <w:lang w:eastAsia="zh-CN"/>
        </w:rPr>
        <w:t>检验检测日期、检验</w:t>
      </w:r>
      <w:r>
        <w:rPr>
          <w:rFonts w:hint="default" w:ascii="Times New Roman" w:hAnsi="Times New Roman" w:eastAsia="仿宋_GB2312" w:cs="Times New Roman"/>
          <w:color w:val="auto"/>
          <w:sz w:val="32"/>
          <w:szCs w:val="32"/>
        </w:rPr>
        <w:t>检测</w:t>
      </w:r>
      <w:r>
        <w:rPr>
          <w:rFonts w:hint="default" w:ascii="Times New Roman" w:hAnsi="Times New Roman" w:eastAsia="仿宋_GB2312" w:cs="Times New Roman"/>
          <w:color w:val="auto"/>
          <w:sz w:val="32"/>
          <w:szCs w:val="32"/>
          <w:lang w:eastAsia="zh-CN"/>
        </w:rPr>
        <w:t>结果以及签发人</w:t>
      </w:r>
      <w:r>
        <w:rPr>
          <w:rFonts w:hint="default" w:ascii="Times New Roman" w:hAnsi="Times New Roman" w:eastAsia="仿宋_GB2312" w:cs="Times New Roman"/>
          <w:color w:val="auto"/>
          <w:sz w:val="32"/>
          <w:szCs w:val="32"/>
        </w:rPr>
        <w:t>等基本内容。</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第二十二条【报告用语与格式】 检验检测报告应当</w:t>
      </w:r>
      <w:r>
        <w:rPr>
          <w:rFonts w:hint="default" w:ascii="Times New Roman" w:hAnsi="Times New Roman" w:eastAsia="仿宋_GB2312" w:cs="Times New Roman"/>
          <w:sz w:val="32"/>
          <w:szCs w:val="32"/>
          <w:lang w:eastAsia="zh-CN"/>
        </w:rPr>
        <w:t>规范使用</w:t>
      </w:r>
      <w:r>
        <w:rPr>
          <w:rFonts w:hint="default" w:ascii="Times New Roman" w:hAnsi="Times New Roman" w:eastAsia="仿宋_GB2312" w:cs="Times New Roman"/>
          <w:sz w:val="32"/>
          <w:szCs w:val="32"/>
        </w:rPr>
        <w:t>中文，不得单独使用外文。报告</w:t>
      </w:r>
      <w:r>
        <w:rPr>
          <w:rFonts w:ascii="Times New Roman" w:hAnsi="Times New Roman" w:eastAsia="仿宋_GB2312" w:cs="Times New Roman"/>
          <w:sz w:val="32"/>
          <w:szCs w:val="32"/>
        </w:rPr>
        <w:t>用语</w:t>
      </w:r>
      <w:r>
        <w:rPr>
          <w:rFonts w:hint="default" w:ascii="Times New Roman" w:hAnsi="Times New Roman" w:eastAsia="仿宋_GB2312" w:cs="Times New Roman"/>
          <w:sz w:val="32"/>
          <w:szCs w:val="32"/>
        </w:rPr>
        <w:t>应当表述科学准确</w:t>
      </w:r>
      <w:r>
        <w:rPr>
          <w:rFonts w:hint="default" w:ascii="Times New Roman" w:hAnsi="Times New Roman" w:eastAsia="仿宋_GB2312" w:cs="Times New Roman"/>
          <w:sz w:val="32"/>
          <w:szCs w:val="32"/>
          <w:lang w:eastAsia="zh-CN"/>
        </w:rPr>
        <w:t>、规范严谨</w:t>
      </w:r>
      <w:r>
        <w:rPr>
          <w:rFonts w:hint="default" w:ascii="Times New Roman" w:hAnsi="Times New Roman" w:eastAsia="仿宋_GB2312" w:cs="Times New Roman"/>
          <w:sz w:val="32"/>
          <w:szCs w:val="32"/>
        </w:rPr>
        <w:t>，不得使用误导性语言，</w:t>
      </w:r>
      <w:r>
        <w:rPr>
          <w:rFonts w:ascii="Times New Roman" w:hAnsi="Times New Roman" w:eastAsia="仿宋_GB2312" w:cs="Times New Roman"/>
          <w:color w:val="auto"/>
          <w:sz w:val="32"/>
          <w:szCs w:val="32"/>
        </w:rPr>
        <w:t>不得使用容易产生歧义的用语。</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第二十三条【电子报告管理】</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珠宝首饰检验检测机构出具电子报告的，应使用符合法律法规要求的电子印章，采用数据加密与防篡改技术，支持在线真伪查验，规范存储备份并严格控制访问权限。电子报告应与纸质版格式、内容保持一致。</w:t>
      </w:r>
    </w:p>
    <w:p>
      <w:pPr>
        <w:snapToGrid w:val="0"/>
        <w:spacing w:line="360" w:lineRule="auto"/>
        <w:ind w:firstLine="2880" w:firstLineChars="900"/>
        <w:rPr>
          <w:rFonts w:ascii="Times New Roman" w:hAnsi="Times New Roman" w:eastAsia="仿宋_GB2312" w:cs="Times New Roman"/>
          <w:sz w:val="32"/>
          <w:szCs w:val="32"/>
        </w:rPr>
      </w:pPr>
    </w:p>
    <w:p>
      <w:pPr>
        <w:snapToGrid w:val="0"/>
        <w:spacing w:line="360" w:lineRule="auto"/>
        <w:ind w:firstLine="2880" w:firstLineChars="900"/>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第十章 附则</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第二十四条【解释权】 本补充要求由市场监管总局认可检测司负责解释。</w:t>
      </w:r>
    </w:p>
    <w:p>
      <w:pPr>
        <w:snapToGrid w:val="0"/>
        <w:spacing w:line="360" w:lineRule="auto"/>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第二十五条【实施日期】 本补充要求自2026年 月 日起施行。</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Liberation Sans">
    <w:panose1 w:val="020B0604020202020204"/>
    <w:charset w:val="00"/>
    <w:family w:val="swiss"/>
    <w:pitch w:val="default"/>
    <w:sig w:usb0="A00002AF" w:usb1="500078FB" w:usb2="00000000" w:usb3="00000000" w:csb0="6000009F" w:csb1="DFD70000"/>
  </w:font>
  <w:font w:name="Noto Sans CJK SC Regular">
    <w:panose1 w:val="020B0500000000000000"/>
    <w:charset w:val="86"/>
    <w:family w:val="auto"/>
    <w:pitch w:val="default"/>
    <w:sig w:usb0="3000000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方正黑体简体">
    <w:altName w:val="方正小标宋简体"/>
    <w:panose1 w:val="03000509000000000000"/>
    <w:charset w:val="86"/>
    <w:family w:val="auto"/>
    <w:pitch w:val="default"/>
    <w:sig w:usb0="00000000" w:usb1="00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DED882"/>
    <w:multiLevelType w:val="singleLevel"/>
    <w:tmpl w:val="DEDED88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displayBackgroundShape w:val="true"/>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
  <w:drawingGridVerticalSpacing w:val="1"/>
  <w:displayHorizontalDrawingGridEvery w:val="0"/>
  <w:displayVerticalDrawingGridEvery w:val="2"/>
  <w:doNotUseMarginsForDrawingGridOrigin w:val="true"/>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AAD"/>
    <w:rsid w:val="000427D0"/>
    <w:rsid w:val="0005330A"/>
    <w:rsid w:val="000D5480"/>
    <w:rsid w:val="001616DB"/>
    <w:rsid w:val="00201A11"/>
    <w:rsid w:val="002363EA"/>
    <w:rsid w:val="00251BBC"/>
    <w:rsid w:val="00262CAA"/>
    <w:rsid w:val="002E26CC"/>
    <w:rsid w:val="00342917"/>
    <w:rsid w:val="0036337C"/>
    <w:rsid w:val="004668D2"/>
    <w:rsid w:val="004968FA"/>
    <w:rsid w:val="005813D6"/>
    <w:rsid w:val="005F6A25"/>
    <w:rsid w:val="00640720"/>
    <w:rsid w:val="00640D65"/>
    <w:rsid w:val="00670719"/>
    <w:rsid w:val="006C71EF"/>
    <w:rsid w:val="006E26DE"/>
    <w:rsid w:val="00731A47"/>
    <w:rsid w:val="007D26AE"/>
    <w:rsid w:val="007D5739"/>
    <w:rsid w:val="008B751E"/>
    <w:rsid w:val="0091510B"/>
    <w:rsid w:val="00A033A8"/>
    <w:rsid w:val="00A12B18"/>
    <w:rsid w:val="00A52EC8"/>
    <w:rsid w:val="00A659D6"/>
    <w:rsid w:val="00AC2DF0"/>
    <w:rsid w:val="00B32E03"/>
    <w:rsid w:val="00B67AAD"/>
    <w:rsid w:val="00BC0F9E"/>
    <w:rsid w:val="00C03C55"/>
    <w:rsid w:val="00C04647"/>
    <w:rsid w:val="00C72DB7"/>
    <w:rsid w:val="00CE0A5B"/>
    <w:rsid w:val="00D02631"/>
    <w:rsid w:val="00DF4E2E"/>
    <w:rsid w:val="00EC02AE"/>
    <w:rsid w:val="00F61E72"/>
    <w:rsid w:val="00F85E23"/>
    <w:rsid w:val="00F931F9"/>
    <w:rsid w:val="02832A46"/>
    <w:rsid w:val="08CD39FE"/>
    <w:rsid w:val="09735491"/>
    <w:rsid w:val="09AE656F"/>
    <w:rsid w:val="0AA20101"/>
    <w:rsid w:val="13C060BE"/>
    <w:rsid w:val="15D12ED7"/>
    <w:rsid w:val="16301FF7"/>
    <w:rsid w:val="184C41F6"/>
    <w:rsid w:val="197752D7"/>
    <w:rsid w:val="1D767D65"/>
    <w:rsid w:val="1DCC6233"/>
    <w:rsid w:val="21525AB7"/>
    <w:rsid w:val="28256D6A"/>
    <w:rsid w:val="2BE1588C"/>
    <w:rsid w:val="2FFDF1A3"/>
    <w:rsid w:val="3C8D1383"/>
    <w:rsid w:val="3D3E5E82"/>
    <w:rsid w:val="3F7D2FDB"/>
    <w:rsid w:val="3FA376F7"/>
    <w:rsid w:val="3FDD077E"/>
    <w:rsid w:val="437370B7"/>
    <w:rsid w:val="46AC576A"/>
    <w:rsid w:val="470E1E21"/>
    <w:rsid w:val="47E40B80"/>
    <w:rsid w:val="4A1A65A1"/>
    <w:rsid w:val="4B926E78"/>
    <w:rsid w:val="53AB241F"/>
    <w:rsid w:val="55EEDD30"/>
    <w:rsid w:val="57FE0C30"/>
    <w:rsid w:val="5A7C5A73"/>
    <w:rsid w:val="5D140643"/>
    <w:rsid w:val="5D3A4FFF"/>
    <w:rsid w:val="61C83E7A"/>
    <w:rsid w:val="62B98C9C"/>
    <w:rsid w:val="64474689"/>
    <w:rsid w:val="653EBA50"/>
    <w:rsid w:val="6BAF4D8F"/>
    <w:rsid w:val="6C077347"/>
    <w:rsid w:val="6E137FC3"/>
    <w:rsid w:val="6E6DDCF2"/>
    <w:rsid w:val="6E9E31D9"/>
    <w:rsid w:val="71B95DD2"/>
    <w:rsid w:val="71EB8D26"/>
    <w:rsid w:val="73911752"/>
    <w:rsid w:val="73CB876F"/>
    <w:rsid w:val="74C85C27"/>
    <w:rsid w:val="76FF4FAB"/>
    <w:rsid w:val="77FFD2C2"/>
    <w:rsid w:val="7BFF64B3"/>
    <w:rsid w:val="7D7F96B2"/>
    <w:rsid w:val="7DFFD1C5"/>
    <w:rsid w:val="7E940D40"/>
    <w:rsid w:val="7EA6F98D"/>
    <w:rsid w:val="7EBE3629"/>
    <w:rsid w:val="7FF16B61"/>
    <w:rsid w:val="8BFB9CE0"/>
    <w:rsid w:val="9BB30DC4"/>
    <w:rsid w:val="9FB35D21"/>
    <w:rsid w:val="AB5A1A66"/>
    <w:rsid w:val="AFBF5019"/>
    <w:rsid w:val="B5EFC4A6"/>
    <w:rsid w:val="BFAB3087"/>
    <w:rsid w:val="BFFF4202"/>
    <w:rsid w:val="CDEF7047"/>
    <w:rsid w:val="D82F6AC1"/>
    <w:rsid w:val="E2EE0C8B"/>
    <w:rsid w:val="E7CF5A78"/>
    <w:rsid w:val="EF7D3C7F"/>
    <w:rsid w:val="EF8BCEB0"/>
    <w:rsid w:val="EFDD9609"/>
    <w:rsid w:val="F0F7A8AD"/>
    <w:rsid w:val="F9C41A05"/>
    <w:rsid w:val="FB76C4B4"/>
    <w:rsid w:val="FBBDEDBA"/>
    <w:rsid w:val="FBFC596D"/>
    <w:rsid w:val="FEE739A7"/>
    <w:rsid w:val="FEFE1722"/>
    <w:rsid w:val="FF3FC96F"/>
    <w:rsid w:val="FF7A1302"/>
    <w:rsid w:val="FFAD9708"/>
    <w:rsid w:val="FFBF5603"/>
    <w:rsid w:val="FFD9AB6B"/>
    <w:rsid w:val="FFF47F7F"/>
    <w:rsid w:val="FFFF5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rPr>
      <w:rFonts w:ascii="Times New Roman" w:hAnsi="Times New Roman" w:eastAsia="宋体" w:cs="Times New Roman"/>
      <w:sz w:val="30"/>
    </w:rPr>
  </w:style>
  <w:style w:type="paragraph" w:styleId="3">
    <w:name w:val="caption"/>
    <w:basedOn w:val="1"/>
    <w:next w:val="1"/>
    <w:qFormat/>
    <w:uiPriority w:val="0"/>
    <w:pPr>
      <w:suppressLineNumbers/>
      <w:spacing w:before="120" w:after="120"/>
    </w:pPr>
    <w:rPr>
      <w:i/>
      <w:iCs/>
      <w:sz w:val="24"/>
    </w:rPr>
  </w:style>
  <w:style w:type="paragraph" w:styleId="4">
    <w:name w:val="annotation text"/>
    <w:basedOn w:val="1"/>
    <w:qFormat/>
    <w:uiPriority w:val="0"/>
    <w:pPr>
      <w:jc w:val="left"/>
    </w:pPr>
  </w:style>
  <w:style w:type="paragraph" w:styleId="5">
    <w:name w:val="Body Text"/>
    <w:basedOn w:val="1"/>
    <w:qFormat/>
    <w:uiPriority w:val="0"/>
    <w:pPr>
      <w:spacing w:after="140" w:line="276" w:lineRule="auto"/>
    </w:pPr>
  </w:style>
  <w:style w:type="paragraph" w:styleId="6">
    <w:name w:val="Balloon Text"/>
    <w:basedOn w:val="1"/>
    <w:link w:val="16"/>
    <w:qFormat/>
    <w:uiPriority w:val="0"/>
    <w:rPr>
      <w:sz w:val="18"/>
      <w:szCs w:val="18"/>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List"/>
    <w:basedOn w:val="5"/>
    <w:qFormat/>
    <w:uiPriority w:val="0"/>
  </w:style>
  <w:style w:type="character" w:styleId="12">
    <w:name w:val="annotation reference"/>
    <w:basedOn w:val="11"/>
    <w:qFormat/>
    <w:uiPriority w:val="0"/>
    <w:rPr>
      <w:sz w:val="21"/>
      <w:szCs w:val="21"/>
    </w:rPr>
  </w:style>
  <w:style w:type="character" w:customStyle="1" w:styleId="13">
    <w:name w:val="默认段落字体1"/>
    <w:qFormat/>
    <w:uiPriority w:val="0"/>
  </w:style>
  <w:style w:type="paragraph" w:customStyle="1" w:styleId="14">
    <w:name w:val="Heading"/>
    <w:basedOn w:val="1"/>
    <w:next w:val="5"/>
    <w:qFormat/>
    <w:uiPriority w:val="0"/>
    <w:pPr>
      <w:keepNext/>
      <w:spacing w:before="240" w:after="120"/>
    </w:pPr>
    <w:rPr>
      <w:rFonts w:ascii="Liberation Sans" w:hAnsi="Liberation Sans" w:eastAsia="Noto Sans CJK SC Regular" w:cs="Noto Sans CJK SC Regular"/>
      <w:sz w:val="28"/>
      <w:szCs w:val="28"/>
    </w:rPr>
  </w:style>
  <w:style w:type="paragraph" w:customStyle="1" w:styleId="15">
    <w:name w:val="Index"/>
    <w:basedOn w:val="1"/>
    <w:qFormat/>
    <w:uiPriority w:val="0"/>
    <w:pPr>
      <w:suppressLineNumbers/>
    </w:pPr>
  </w:style>
  <w:style w:type="character" w:customStyle="1" w:styleId="16">
    <w:name w:val="批注框文本 字符"/>
    <w:basedOn w:val="11"/>
    <w:link w:val="6"/>
    <w:qFormat/>
    <w:uiPriority w:val="0"/>
    <w:rPr>
      <w:rFonts w:ascii="Calibri" w:hAnsi="Calibri"/>
      <w:kern w:val="2"/>
      <w:sz w:val="18"/>
      <w:szCs w:val="18"/>
    </w:rPr>
  </w:style>
  <w:style w:type="character" w:customStyle="1" w:styleId="17">
    <w:name w:val="页眉 字符"/>
    <w:basedOn w:val="11"/>
    <w:link w:val="8"/>
    <w:qFormat/>
    <w:uiPriority w:val="0"/>
    <w:rPr>
      <w:rFonts w:ascii="Calibri" w:hAnsi="Calibri"/>
      <w:kern w:val="2"/>
      <w:sz w:val="18"/>
      <w:szCs w:val="18"/>
    </w:rPr>
  </w:style>
  <w:style w:type="character" w:customStyle="1" w:styleId="18">
    <w:name w:val="页脚 字符"/>
    <w:basedOn w:val="11"/>
    <w:link w:val="7"/>
    <w:qFormat/>
    <w:uiPriority w:val="0"/>
    <w:rPr>
      <w:rFonts w:ascii="Calibri" w:hAnsi="Calibri"/>
      <w:kern w:val="2"/>
      <w:sz w:val="18"/>
      <w:szCs w:val="18"/>
    </w:rPr>
  </w:style>
  <w:style w:type="paragraph" w:customStyle="1" w:styleId="19">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435</Words>
  <Characters>445</Characters>
  <Lines>112</Lines>
  <Paragraphs>72</Paragraphs>
  <TotalTime>28</TotalTime>
  <ScaleCrop>false</ScaleCrop>
  <LinksUpToDate>false</LinksUpToDate>
  <CharactersWithSpaces>463</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2026-06-22T02:27:00Z</dcterms:created>
  <dc:creator>scj</dc:creator>
  <cp:lastModifiedBy>oa</cp:lastModifiedBy>
  <cp:lastPrinted>2026-07-20T16:17:00Z</cp:lastPrinted>
  <dcterms:modified xsi:type="dcterms:W3CDTF">2026-08-19T10:54:19Z</dcterms:modified>
  <dc:title>附件1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F05F4D80AC6EB0E94820636A089BB97A</vt:lpwstr>
  </property>
  <property fmtid="{D5CDD505-2E9C-101B-9397-08002B2CF9AE}" pid="4" name="KSOTemplateDocerSaveRecord">
    <vt:lpwstr>eyJoZGlkIjoiMDJkY2VjYjY4MDEwN2ExZTVhMmU4ZjlhODFiMzQ3MDQiLCJ1c2VySWQiOiI0MjU1MjI1MTUifQ==</vt:lpwstr>
  </property>
</Properties>
</file>