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3068B">
      <w:pPr>
        <w:keepNext w:val="0"/>
        <w:keepLines w:val="0"/>
        <w:pageBreakBefore w:val="0"/>
        <w:widowControl w:val="0"/>
        <w:kinsoku/>
        <w:wordWrap/>
        <w:overflowPunct/>
        <w:topLinePunct w:val="0"/>
        <w:autoSpaceDE/>
        <w:autoSpaceDN/>
        <w:bidi w:val="0"/>
        <w:snapToGrid/>
        <w:spacing w:line="594" w:lineRule="exact"/>
        <w:ind w:leftChars="0"/>
        <w:jc w:val="left"/>
        <w:textAlignment w:val="auto"/>
        <w:rPr>
          <w:rFonts w:hint="default" w:ascii="Times New Roman" w:hAnsi="Times New Roman" w:eastAsia="黑体" w:cs="Times New Roman"/>
          <w:spacing w:val="-12"/>
          <w:sz w:val="32"/>
          <w:szCs w:val="32"/>
        </w:rPr>
      </w:pPr>
      <w:r>
        <w:rPr>
          <w:rFonts w:hint="eastAsia" w:ascii="黑体" w:hAnsi="黑体" w:eastAsia="黑体" w:cs="黑体"/>
          <w:sz w:val="32"/>
          <w:szCs w:val="32"/>
        </w:rPr>
        <w:t>附件1</w:t>
      </w:r>
    </w:p>
    <w:p w14:paraId="77A68B05">
      <w:pPr>
        <w:keepNext w:val="0"/>
        <w:keepLines w:val="0"/>
        <w:pageBreakBefore w:val="0"/>
        <w:widowControl w:val="0"/>
        <w:kinsoku/>
        <w:wordWrap/>
        <w:overflowPunct/>
        <w:topLinePunct w:val="0"/>
        <w:autoSpaceDE/>
        <w:autoSpaceDN/>
        <w:bidi w:val="0"/>
        <w:adjustRightInd/>
        <w:snapToGrid/>
        <w:spacing w:line="594" w:lineRule="exact"/>
        <w:ind w:leftChars="0"/>
        <w:jc w:val="center"/>
        <w:textAlignment w:val="auto"/>
        <w:rPr>
          <w:rFonts w:hint="eastAsia" w:ascii="方正小标宋简体" w:hAnsi="方正小标宋简体" w:eastAsia="方正小标宋简体" w:cs="方正小标宋简体"/>
          <w:spacing w:val="-12"/>
          <w:sz w:val="44"/>
          <w:szCs w:val="44"/>
        </w:rPr>
      </w:pPr>
      <w:r>
        <w:rPr>
          <w:rFonts w:hint="eastAsia" w:ascii="方正小标宋简体" w:hAnsi="方正小标宋简体" w:eastAsia="方正小标宋简体" w:cs="方正小标宋简体"/>
          <w:spacing w:val="-12"/>
          <w:sz w:val="44"/>
          <w:szCs w:val="44"/>
        </w:rPr>
        <w:t>部分不合格检验项目小知识</w:t>
      </w:r>
    </w:p>
    <w:p w14:paraId="633D71F6">
      <w:pPr>
        <w:keepNext w:val="0"/>
        <w:keepLines w:val="0"/>
        <w:pageBreakBefore w:val="0"/>
        <w:widowControl/>
        <w:numPr>
          <w:ilvl w:val="-1"/>
          <w:numId w:val="0"/>
        </w:numPr>
        <w:kinsoku/>
        <w:wordWrap/>
        <w:overflowPunct/>
        <w:topLinePunct w:val="0"/>
        <w:autoSpaceDE/>
        <w:autoSpaceDN/>
        <w:bidi w:val="0"/>
        <w:adjustRightInd/>
        <w:snapToGrid/>
        <w:spacing w:line="594" w:lineRule="exact"/>
        <w:textAlignment w:val="auto"/>
        <w:rPr>
          <w:rFonts w:hint="default" w:ascii="Times New Roman" w:hAnsi="Times New Roman" w:eastAsia="仿宋_GB2312" w:cs="Times New Roman"/>
          <w:sz w:val="32"/>
          <w:szCs w:val="32"/>
          <w:lang w:eastAsia="zh-CN"/>
        </w:rPr>
      </w:pPr>
    </w:p>
    <w:p w14:paraId="21F42B00">
      <w:pPr>
        <w:spacing w:line="594" w:lineRule="exact"/>
        <w:ind w:firstLine="592" w:firstLineChars="200"/>
        <w:rPr>
          <w:rFonts w:hint="eastAsia" w:ascii="黑体" w:hAnsi="黑体" w:eastAsia="黑体" w:cs="Times New Roman"/>
          <w:sz w:val="32"/>
          <w:szCs w:val="32"/>
          <w:lang w:eastAsia="zh-CN"/>
        </w:rPr>
      </w:pPr>
      <w:r>
        <w:rPr>
          <w:rFonts w:hint="default" w:ascii="Times New Roman" w:hAnsi="Times New Roman" w:eastAsia="黑体" w:cs="Times New Roman"/>
          <w:color w:val="auto"/>
          <w:spacing w:val="-12"/>
          <w:sz w:val="32"/>
          <w:szCs w:val="32"/>
          <w:highlight w:val="none"/>
          <w:lang w:val="en-US" w:eastAsia="zh-CN"/>
        </w:rPr>
        <w:t>一</w:t>
      </w:r>
      <w:r>
        <w:rPr>
          <w:rFonts w:hint="default" w:ascii="Times New Roman" w:hAnsi="Times New Roman" w:eastAsia="黑体" w:cs="Times New Roman"/>
          <w:color w:val="auto"/>
          <w:spacing w:val="-12"/>
          <w:sz w:val="32"/>
          <w:szCs w:val="32"/>
          <w:highlight w:val="none"/>
        </w:rPr>
        <w:t>、</w:t>
      </w:r>
      <w:r>
        <w:rPr>
          <w:rFonts w:hint="eastAsia" w:ascii="Times New Roman" w:hAnsi="Times New Roman" w:eastAsia="黑体"/>
          <w:spacing w:val="-12"/>
          <w:sz w:val="32"/>
          <w:szCs w:val="32"/>
          <w:lang w:val="en-US" w:eastAsia="zh-CN"/>
        </w:rPr>
        <w:t>甜蜜素</w:t>
      </w:r>
      <w:r>
        <w:rPr>
          <w:rFonts w:hint="eastAsia" w:ascii="黑体" w:hAnsi="黑体" w:eastAsia="黑体" w:cs="Times New Roman"/>
          <w:sz w:val="32"/>
          <w:szCs w:val="32"/>
          <w:lang w:eastAsia="zh-CN"/>
        </w:rPr>
        <w:t>（以环己基氨基磺酸计）</w:t>
      </w:r>
    </w:p>
    <w:p w14:paraId="1AE9A1F8">
      <w:pPr>
        <w:widowControl/>
        <w:spacing w:after="0" w:line="594" w:lineRule="exact"/>
        <w:ind w:firstLine="640" w:firstLineChars="200"/>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eastAsia" w:ascii="Times New Roman" w:hAnsi="Times New Roman" w:eastAsia="仿宋_GB2312" w:cs="Times New Roman"/>
          <w:sz w:val="32"/>
          <w:szCs w:val="32"/>
          <w:lang w:eastAsia="zh-CN"/>
        </w:rPr>
        <w:t>甜蜜素，化学名称为环己基氨基磺酸钠，是食品生产中常用的甜味剂之一，甜度是蔗糖的</w:t>
      </w:r>
      <w:r>
        <w:rPr>
          <w:rFonts w:hint="eastAsia" w:ascii="Times New Roman" w:hAnsi="Times New Roman" w:eastAsia="仿宋_GB2312" w:cs="Times New Roman"/>
          <w:sz w:val="32"/>
          <w:szCs w:val="32"/>
          <w:highlight w:val="none"/>
          <w:lang w:val="en-US" w:eastAsia="zh-CN"/>
        </w:rPr>
        <w:t>40</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50</w:t>
      </w:r>
      <w:r>
        <w:rPr>
          <w:rFonts w:hint="eastAsia" w:ascii="Times New Roman" w:hAnsi="Times New Roman" w:eastAsia="仿宋_GB2312" w:cs="Times New Roman"/>
          <w:sz w:val="32"/>
          <w:szCs w:val="32"/>
          <w:lang w:eastAsia="zh-CN"/>
        </w:rPr>
        <w:t>倍。长期摄入甜蜜素超标的食品，可能会对人体的肝脏和神经系统造成一定危害。《食品安全国家标准</w:t>
      </w:r>
      <w:r>
        <w:rPr>
          <w:rFonts w:hint="eastAsia" w:ascii="Times New Roman" w:hAnsi="Times New Roman" w:eastAsia="仿宋_GB2312" w:cs="Times New Roman"/>
          <w:sz w:val="32"/>
          <w:szCs w:val="32"/>
          <w:lang w:val="en-US" w:eastAsia="zh-CN"/>
        </w:rPr>
        <w:t xml:space="preserve"> 食品添加剂使用标准</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GB 2760—2024</w:t>
      </w:r>
      <w:r>
        <w:rPr>
          <w:rFonts w:hint="eastAsia" w:ascii="Times New Roman" w:hAnsi="Times New Roman" w:eastAsia="仿宋_GB2312" w:cs="Times New Roman"/>
          <w:sz w:val="32"/>
          <w:szCs w:val="32"/>
          <w:lang w:eastAsia="zh-CN"/>
        </w:rPr>
        <w:t>）中规定，</w:t>
      </w:r>
      <w:r>
        <w:rPr>
          <w:rFonts w:hint="eastAsia" w:eastAsia="仿宋_GB2312" w:cs="Times New Roman"/>
          <w:sz w:val="32"/>
          <w:szCs w:val="32"/>
          <w:lang w:val="en-US" w:eastAsia="zh-CN"/>
        </w:rPr>
        <w:t>白酒、水煮玉米、</w:t>
      </w:r>
      <w:r>
        <w:rPr>
          <w:rFonts w:hint="eastAsia" w:ascii="Times New Roman" w:hAnsi="Times New Roman" w:eastAsia="仿宋_GB2312"/>
          <w:color w:val="auto"/>
          <w:sz w:val="32"/>
          <w:szCs w:val="32"/>
          <w:highlight w:val="none"/>
          <w:lang w:val="en-US" w:eastAsia="zh-CN"/>
        </w:rPr>
        <w:t>发酵面制品</w:t>
      </w:r>
      <w:r>
        <w:rPr>
          <w:rFonts w:ascii="Times New Roman" w:hAnsi="Times New Roman" w:eastAsia="仿宋_GB2312" w:cs="Times New Roman"/>
          <w:sz w:val="32"/>
          <w:szCs w:val="32"/>
        </w:rPr>
        <w:t>中不</w:t>
      </w:r>
      <w:r>
        <w:rPr>
          <w:rFonts w:hint="eastAsia" w:ascii="Times New Roman" w:hAnsi="Times New Roman" w:eastAsia="仿宋_GB2312" w:cs="Times New Roman"/>
          <w:sz w:val="32"/>
          <w:szCs w:val="32"/>
        </w:rPr>
        <w:t>得</w:t>
      </w:r>
      <w:r>
        <w:rPr>
          <w:rFonts w:ascii="Times New Roman" w:hAnsi="Times New Roman" w:eastAsia="仿宋_GB2312" w:cs="Times New Roman"/>
          <w:sz w:val="32"/>
          <w:szCs w:val="32"/>
        </w:rPr>
        <w:t>使用甜蜜素。</w:t>
      </w:r>
      <w:r>
        <w:rPr>
          <w:rFonts w:hint="eastAsia" w:ascii="Times New Roman" w:hAnsi="Times New Roman" w:eastAsia="仿宋_GB2312" w:cs="Times New Roman"/>
          <w:sz w:val="32"/>
          <w:szCs w:val="32"/>
          <w:lang w:val="en-US" w:eastAsia="zh-CN"/>
        </w:rPr>
        <w:t>散装</w:t>
      </w:r>
      <w:r>
        <w:rPr>
          <w:rFonts w:hint="eastAsia" w:eastAsia="仿宋_GB2312" w:cs="Times New Roman"/>
          <w:sz w:val="32"/>
          <w:szCs w:val="32"/>
          <w:lang w:val="en-US" w:eastAsia="zh-CN"/>
        </w:rPr>
        <w:t>白酒、杂粮制品（自制）、</w:t>
      </w:r>
      <w:r>
        <w:rPr>
          <w:rFonts w:hint="eastAsia" w:ascii="Times New Roman" w:hAnsi="Times New Roman" w:eastAsia="仿宋_GB2312"/>
          <w:color w:val="auto"/>
          <w:sz w:val="32"/>
          <w:szCs w:val="32"/>
          <w:highlight w:val="none"/>
          <w:lang w:val="en-US" w:eastAsia="zh-CN"/>
        </w:rPr>
        <w:t>发酵面制品</w:t>
      </w:r>
      <w:r>
        <w:rPr>
          <w:rFonts w:hint="eastAsia" w:ascii="Times New Roman" w:hAnsi="Times New Roman" w:eastAsia="仿宋_GB2312" w:cs="Times New Roman"/>
          <w:sz w:val="32"/>
          <w:szCs w:val="32"/>
        </w:rPr>
        <w:t>中</w:t>
      </w:r>
      <w:r>
        <w:rPr>
          <w:rFonts w:hint="eastAsia" w:eastAsia="仿宋_GB2312" w:cs="Times New Roman"/>
          <w:sz w:val="32"/>
          <w:szCs w:val="32"/>
          <w:lang w:val="en-US" w:eastAsia="zh-CN"/>
        </w:rPr>
        <w:t>检出甜蜜素（以环己基氨基磺酸计）</w:t>
      </w:r>
      <w:r>
        <w:rPr>
          <w:rFonts w:hint="eastAsia" w:ascii="Times New Roman" w:hAnsi="Times New Roman" w:eastAsia="仿宋_GB2312" w:cs="Times New Roman"/>
          <w:sz w:val="32"/>
          <w:szCs w:val="32"/>
        </w:rPr>
        <w:t>的原因，可能是生产</w:t>
      </w:r>
      <w:r>
        <w:rPr>
          <w:rFonts w:hint="eastAsia" w:eastAsia="仿宋_GB2312" w:cs="Times New Roman"/>
          <w:sz w:val="32"/>
          <w:szCs w:val="32"/>
          <w:lang w:val="en-US" w:eastAsia="zh-CN"/>
        </w:rPr>
        <w:t>经营者</w:t>
      </w:r>
      <w:r>
        <w:rPr>
          <w:rFonts w:hint="eastAsia" w:ascii="Times New Roman" w:hAnsi="Times New Roman" w:eastAsia="仿宋_GB2312" w:cs="Times New Roman"/>
          <w:sz w:val="32"/>
          <w:szCs w:val="32"/>
          <w:lang w:val="en-US" w:eastAsia="zh-CN"/>
        </w:rPr>
        <w:t>违规添加以</w:t>
      </w:r>
      <w:r>
        <w:rPr>
          <w:rFonts w:hint="eastAsia" w:ascii="Times New Roman" w:hAnsi="Times New Roman" w:eastAsia="仿宋_GB2312" w:cs="Times New Roman"/>
          <w:sz w:val="32"/>
          <w:szCs w:val="32"/>
          <w:lang w:eastAsia="zh-CN"/>
        </w:rPr>
        <w:t>改善口感</w:t>
      </w:r>
      <w:r>
        <w:rPr>
          <w:rFonts w:hint="eastAsia" w:eastAsia="仿宋_GB2312" w:cs="Times New Roman"/>
          <w:sz w:val="32"/>
          <w:szCs w:val="32"/>
          <w:lang w:eastAsia="zh-CN"/>
        </w:rPr>
        <w:t>；</w:t>
      </w:r>
      <w:r>
        <w:rPr>
          <w:rFonts w:ascii="Times New Roman" w:hAnsi="Times New Roman" w:eastAsia="仿宋_GB2312" w:cs="Times New Roman"/>
          <w:sz w:val="32"/>
          <w:szCs w:val="32"/>
        </w:rPr>
        <w:t>也可能</w:t>
      </w:r>
      <w:r>
        <w:rPr>
          <w:rFonts w:hint="eastAsia" w:ascii="Times New Roman" w:hAnsi="Times New Roman" w:eastAsia="仿宋_GB2312" w:cs="Times New Roman"/>
          <w:sz w:val="32"/>
          <w:szCs w:val="32"/>
          <w:lang w:eastAsia="zh-CN"/>
        </w:rPr>
        <w:t>是</w:t>
      </w:r>
      <w:r>
        <w:rPr>
          <w:rFonts w:hint="eastAsia" w:ascii="Times New Roman" w:hAnsi="Times New Roman" w:eastAsia="仿宋_GB2312" w:cs="Times New Roman"/>
          <w:sz w:val="32"/>
          <w:szCs w:val="32"/>
          <w:lang w:val="en-US" w:eastAsia="zh-CN"/>
        </w:rPr>
        <w:t>在生产</w:t>
      </w:r>
      <w:r>
        <w:rPr>
          <w:rFonts w:hint="eastAsia" w:eastAsia="仿宋_GB2312" w:cs="Times New Roman"/>
          <w:sz w:val="32"/>
          <w:szCs w:val="32"/>
          <w:lang w:val="en-US" w:eastAsia="zh-CN"/>
        </w:rPr>
        <w:t>经营</w:t>
      </w:r>
      <w:r>
        <w:rPr>
          <w:rFonts w:hint="eastAsia" w:ascii="Times New Roman" w:hAnsi="Times New Roman" w:eastAsia="仿宋_GB2312" w:cs="Times New Roman"/>
          <w:sz w:val="32"/>
          <w:szCs w:val="32"/>
          <w:lang w:val="en-US" w:eastAsia="zh-CN"/>
        </w:rPr>
        <w:t>过程中与配制酒交叉污染</w:t>
      </w:r>
      <w:r>
        <w:rPr>
          <w:rFonts w:hint="eastAsia" w:eastAsia="仿宋_GB2312"/>
          <w:kern w:val="0"/>
          <w:sz w:val="32"/>
          <w:szCs w:val="32"/>
          <w:lang w:val="en-US" w:eastAsia="zh-CN"/>
        </w:rPr>
        <w:t>。</w:t>
      </w:r>
    </w:p>
    <w:p w14:paraId="4A1B3527">
      <w:pPr>
        <w:keepNext w:val="0"/>
        <w:keepLines w:val="0"/>
        <w:pageBreakBefore w:val="0"/>
        <w:widowControl w:val="0"/>
        <w:kinsoku/>
        <w:wordWrap/>
        <w:overflowPunct/>
        <w:topLinePunct w:val="0"/>
        <w:autoSpaceDE/>
        <w:autoSpaceDN/>
        <w:bidi w:val="0"/>
        <w:adjustRightInd w:val="0"/>
        <w:snapToGrid w:val="0"/>
        <w:spacing w:line="594" w:lineRule="exact"/>
        <w:ind w:right="0" w:firstLine="640" w:firstLineChars="200"/>
        <w:jc w:val="both"/>
        <w:textAlignment w:val="auto"/>
        <w:rPr>
          <w:rFonts w:hint="default" w:ascii="Times New Roman" w:hAnsi="Times New Roman" w:eastAsia="黑体"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黑体" w:cs="Times New Roman"/>
          <w:spacing w:val="0"/>
          <w:sz w:val="32"/>
          <w:szCs w:val="32"/>
          <w:lang w:val="en-US" w:eastAsia="zh-CN"/>
        </w:rPr>
        <w:t>二、</w:t>
      </w:r>
      <w:r>
        <w:rPr>
          <w:rFonts w:hint="default" w:ascii="Times New Roman" w:hAnsi="Times New Roman" w:eastAsia="黑体" w:cs="Times New Roman"/>
          <w:color w:val="000000" w:themeColor="text1"/>
          <w:sz w:val="32"/>
          <w:szCs w:val="32"/>
          <w:highlight w:val="none"/>
          <w:lang w:eastAsia="zh-CN"/>
          <w14:textFill>
            <w14:solidFill>
              <w14:schemeClr w14:val="tx1"/>
            </w14:solidFill>
          </w14:textFill>
        </w:rPr>
        <w:t>亮蓝</w:t>
      </w:r>
    </w:p>
    <w:p w14:paraId="69415DAB">
      <w:pPr>
        <w:autoSpaceDE/>
        <w:adjustRightInd w:val="0"/>
        <w:spacing w:line="594" w:lineRule="exact"/>
        <w:ind w:firstLine="640" w:firstLineChars="200"/>
        <w:rPr>
          <w:rFonts w:hint="eastAsia" w:ascii="Times New Roman" w:hAnsi="Times New Roman" w:eastAsia="黑体" w:cs="Times New Roman"/>
          <w:spacing w:val="0"/>
          <w:sz w:val="32"/>
          <w:szCs w:val="32"/>
          <w:lang w:val="en-US" w:eastAsia="zh-CN"/>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亮蓝又名食用蓝色2号，水溶性非偶氮类</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化合物，</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是常见的人工合成着色剂，在食品</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生产</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中应用广泛。长期摄入</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亮蓝超标的食品</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可能</w:t>
      </w:r>
      <w:r>
        <w:rPr>
          <w:rFonts w:hint="eastAsia" w:ascii="Times New Roman" w:hAnsi="Times New Roman" w:eastAsia="仿宋_GB2312" w:cs="Times New Roman"/>
          <w:kern w:val="2"/>
          <w:sz w:val="32"/>
          <w:szCs w:val="32"/>
          <w:highlight w:val="none"/>
          <w:lang w:val="en-US" w:eastAsia="zh-CN" w:bidi="ar-SA"/>
        </w:rPr>
        <w:t>危害人体健康</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sz w:val="32"/>
          <w:szCs w:val="32"/>
          <w:highlight w:val="none"/>
          <w:shd w:val="clear" w:fill="FFFFFF"/>
          <w:lang w:val="en-US" w:eastAsia="zh-CN"/>
        </w:rPr>
        <w:t>《食品安全国家标准 食品添加剂使用标准》（GB 2760—2024）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中规定，</w:t>
      </w:r>
      <w:r>
        <w:rPr>
          <w:rFonts w:hint="eastAsia" w:ascii="Times New Roman" w:hAnsi="Times New Roman" w:eastAsia="仿宋_GB2312" w:cs="Times New Roman"/>
          <w:kern w:val="2"/>
          <w:sz w:val="32"/>
          <w:szCs w:val="32"/>
          <w:highlight w:val="none"/>
          <w:lang w:val="en-US" w:eastAsia="zh-CN" w:bidi="ar-SA"/>
        </w:rPr>
        <w:t>生干面制品</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中</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不得使用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亮蓝。</w:t>
      </w:r>
      <w:r>
        <w:rPr>
          <w:rFonts w:hint="eastAsia" w:ascii="Times New Roman" w:hAnsi="Times New Roman" w:eastAsia="仿宋_GB2312" w:cs="Times New Roman"/>
          <w:color w:val="auto"/>
          <w:kern w:val="2"/>
          <w:sz w:val="32"/>
          <w:szCs w:val="32"/>
          <w:highlight w:val="none"/>
          <w:lang w:val="en-US" w:eastAsia="zh-CN" w:bidi="ar-SA"/>
        </w:rPr>
        <w:t>挂面</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中</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检出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亮蓝</w:t>
      </w:r>
      <w:r>
        <w:rPr>
          <w:rFonts w:hint="default" w:ascii="Times New Roman" w:hAnsi="Times New Roman" w:eastAsia="仿宋_GB2312" w:cs="Times New Roman"/>
          <w:sz w:val="32"/>
          <w:szCs w:val="32"/>
          <w:highlight w:val="none"/>
          <w:lang w:eastAsia="zh-CN"/>
        </w:rPr>
        <w:t>的原因</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可能是</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生产企业为改善产品色泽而</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超范围</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使用</w:t>
      </w:r>
      <w:r>
        <w:rPr>
          <w:rFonts w:hint="default" w:ascii="Times New Roman" w:hAnsi="Times New Roman" w:eastAsia="仿宋_GB2312" w:cs="Times New Roman"/>
          <w:sz w:val="32"/>
          <w:szCs w:val="32"/>
          <w:highlight w:val="none"/>
          <w:lang w:eastAsia="zh-CN"/>
        </w:rPr>
        <w:t>。</w:t>
      </w:r>
    </w:p>
    <w:p w14:paraId="7E9605D2">
      <w:pPr>
        <w:keepNext w:val="0"/>
        <w:keepLines w:val="0"/>
        <w:pageBreakBefore w:val="0"/>
        <w:widowControl w:val="0"/>
        <w:kinsoku/>
        <w:wordWrap/>
        <w:overflowPunct/>
        <w:topLinePunct w:val="0"/>
        <w:autoSpaceDE/>
        <w:autoSpaceDN/>
        <w:bidi w:val="0"/>
        <w:adjustRightInd/>
        <w:snapToGrid/>
        <w:spacing w:line="594" w:lineRule="exact"/>
        <w:ind w:firstLine="592" w:firstLineChars="200"/>
        <w:jc w:val="both"/>
        <w:textAlignment w:val="auto"/>
        <w:rPr>
          <w:rFonts w:hint="default" w:eastAsia="黑体"/>
          <w:spacing w:val="-12"/>
          <w:sz w:val="32"/>
          <w:szCs w:val="32"/>
          <w:highlight w:val="none"/>
          <w:lang w:eastAsia="zh-CN"/>
        </w:rPr>
      </w:pPr>
      <w:r>
        <w:rPr>
          <w:rFonts w:hint="eastAsia" w:eastAsia="黑体"/>
          <w:spacing w:val="-12"/>
          <w:sz w:val="32"/>
          <w:szCs w:val="32"/>
          <w:lang w:val="en-US" w:eastAsia="zh-CN"/>
        </w:rPr>
        <w:t>三、</w:t>
      </w:r>
      <w:r>
        <w:rPr>
          <w:rFonts w:hint="eastAsia" w:ascii="Times New Roman" w:hAnsi="Times New Roman" w:eastAsia="黑体" w:cs="Times New Roman"/>
          <w:spacing w:val="-12"/>
          <w:kern w:val="2"/>
          <w:sz w:val="32"/>
          <w:szCs w:val="32"/>
          <w:highlight w:val="none"/>
          <w:lang w:val="en-US" w:eastAsia="zh-CN" w:bidi="ar-SA"/>
        </w:rPr>
        <w:t>柠檬黄</w:t>
      </w:r>
    </w:p>
    <w:p w14:paraId="02035474">
      <w:pPr>
        <w:widowControl/>
        <w:spacing w:after="0" w:line="594"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柠檬黄又名食用黄色4号，属于水溶性偶氮化合物，是常见的人工合成着色剂，在食品生产中应用广泛。柠檬黄基本无毒，不在体内贮积，绝大部分以原形排出体外，但长期食用柠檬黄超标的食品，可能危害人体健康。《食品安全国家标准 食品添加剂使用标准》（GB 2760</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20</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4）</w:t>
      </w:r>
      <w:r>
        <w:rPr>
          <w:rFonts w:hint="eastAsia" w:ascii="Times New Roman" w:hAnsi="Times New Roman" w:eastAsia="仿宋_GB2312" w:cs="Times New Roman"/>
          <w:color w:val="auto"/>
          <w:kern w:val="2"/>
          <w:sz w:val="32"/>
          <w:szCs w:val="32"/>
          <w:highlight w:val="none"/>
          <w:lang w:val="en-US" w:eastAsia="zh-CN" w:bidi="ar-SA"/>
        </w:rPr>
        <w:t>中</w:t>
      </w:r>
      <w:r>
        <w:rPr>
          <w:rFonts w:hint="default" w:ascii="Times New Roman" w:hAnsi="Times New Roman" w:eastAsia="仿宋_GB2312" w:cs="Times New Roman"/>
          <w:color w:val="auto"/>
          <w:kern w:val="2"/>
          <w:sz w:val="32"/>
          <w:szCs w:val="32"/>
          <w:highlight w:val="none"/>
          <w:lang w:val="en-US" w:eastAsia="zh-CN" w:bidi="ar-SA"/>
        </w:rPr>
        <w:t>规定，</w:t>
      </w:r>
      <w:r>
        <w:rPr>
          <w:rFonts w:hint="eastAsia" w:ascii="Times New Roman" w:hAnsi="Times New Roman" w:eastAsia="仿宋_GB2312" w:cs="Times New Roman"/>
          <w:kern w:val="2"/>
          <w:sz w:val="32"/>
          <w:szCs w:val="32"/>
          <w:highlight w:val="none"/>
          <w:lang w:val="en-US" w:eastAsia="zh-CN" w:bidi="ar-SA"/>
        </w:rPr>
        <w:t>生干面制品、</w:t>
      </w:r>
      <w:r>
        <w:rPr>
          <w:rFonts w:hint="eastAsia" w:ascii="Times New Roman" w:hAnsi="Times New Roman" w:eastAsia="仿宋_GB2312" w:cs="Times New Roman"/>
          <w:color w:val="auto"/>
          <w:sz w:val="32"/>
          <w:szCs w:val="32"/>
          <w:highlight w:val="none"/>
          <w:lang w:val="en-US" w:eastAsia="zh-CN"/>
        </w:rPr>
        <w:t>糕点（除糕点上彩装外）、凉皮、</w:t>
      </w:r>
      <w:r>
        <w:rPr>
          <w:rFonts w:hint="eastAsia" w:ascii="Times New Roman" w:hAnsi="Times New Roman" w:eastAsia="仿宋_GB2312" w:cs="Times New Roman"/>
          <w:sz w:val="32"/>
          <w:szCs w:val="32"/>
          <w:highlight w:val="none"/>
          <w:lang w:eastAsia="zh-CN"/>
        </w:rPr>
        <w:t>孜然</w:t>
      </w:r>
      <w:r>
        <w:rPr>
          <w:rFonts w:hint="eastAsia" w:ascii="Times New Roman" w:hAnsi="Times New Roman" w:eastAsia="仿宋_GB2312" w:cs="Times New Roman"/>
          <w:sz w:val="32"/>
          <w:szCs w:val="32"/>
          <w:highlight w:val="none"/>
        </w:rPr>
        <w:t>粉</w:t>
      </w:r>
      <w:r>
        <w:rPr>
          <w:rFonts w:ascii="Times New Roman" w:hAnsi="Times New Roman" w:eastAsia="仿宋_GB2312"/>
          <w:sz w:val="32"/>
          <w:szCs w:val="32"/>
        </w:rPr>
        <w:t>中</w:t>
      </w:r>
      <w:r>
        <w:rPr>
          <w:rFonts w:hint="eastAsia" w:ascii="Times New Roman" w:hAnsi="Times New Roman" w:eastAsia="仿宋_GB2312"/>
          <w:sz w:val="32"/>
          <w:szCs w:val="32"/>
          <w:lang w:val="en-US" w:eastAsia="zh-CN"/>
        </w:rPr>
        <w:t>不得</w:t>
      </w:r>
      <w:r>
        <w:rPr>
          <w:rFonts w:hint="eastAsia" w:ascii="Times New Roman" w:hAnsi="Times New Roman" w:eastAsia="仿宋_GB2312"/>
          <w:sz w:val="32"/>
          <w:szCs w:val="32"/>
        </w:rPr>
        <w:t>使用</w:t>
      </w:r>
      <w:r>
        <w:rPr>
          <w:rFonts w:hint="eastAsia" w:ascii="Times New Roman" w:hAnsi="Times New Roman" w:eastAsia="仿宋_GB2312"/>
          <w:sz w:val="32"/>
          <w:szCs w:val="32"/>
          <w:lang w:val="en-US" w:eastAsia="zh-CN"/>
        </w:rPr>
        <w:t>柠檬黄，其他液体调味料中柠檬黄</w:t>
      </w:r>
      <w:r>
        <w:rPr>
          <w:rFonts w:hint="eastAsia" w:ascii="Times New Roman" w:hAnsi="Times New Roman" w:eastAsia="仿宋_GB2312" w:cs="Times New Roman"/>
          <w:spacing w:val="0"/>
          <w:sz w:val="32"/>
          <w:szCs w:val="32"/>
          <w:highlight w:val="none"/>
          <w:lang w:val="en-US" w:eastAsia="zh-CN"/>
        </w:rPr>
        <w:t>最大使用量为0.15g/kg</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挂面、</w:t>
      </w:r>
      <w:r>
        <w:rPr>
          <w:rFonts w:hint="eastAsia" w:ascii="Times New Roman" w:hAnsi="Times New Roman" w:eastAsia="仿宋_GB2312" w:cs="Times New Roman"/>
          <w:color w:val="auto"/>
          <w:sz w:val="32"/>
          <w:szCs w:val="32"/>
          <w:highlight w:val="none"/>
          <w:lang w:val="en-US" w:eastAsia="zh-CN"/>
        </w:rPr>
        <w:t>糕点、</w:t>
      </w:r>
      <w:r>
        <w:rPr>
          <w:rFonts w:hint="eastAsia" w:ascii="仿宋_GB2312" w:hAnsi="仿宋_GB2312" w:eastAsia="仿宋_GB2312" w:cs="仿宋_GB2312"/>
          <w:color w:val="auto"/>
          <w:sz w:val="32"/>
          <w:szCs w:val="32"/>
          <w:highlight w:val="none"/>
          <w:lang w:val="en-US" w:eastAsia="zh-CN"/>
        </w:rPr>
        <w:t>凉皮类（自制）、</w:t>
      </w:r>
      <w:r>
        <w:rPr>
          <w:rFonts w:hint="eastAsia" w:ascii="Times New Roman" w:hAnsi="Times New Roman" w:eastAsia="仿宋_GB2312" w:cs="Times New Roman"/>
          <w:sz w:val="32"/>
          <w:szCs w:val="32"/>
          <w:highlight w:val="none"/>
          <w:lang w:eastAsia="zh-CN"/>
        </w:rPr>
        <w:t>孜然</w:t>
      </w:r>
      <w:r>
        <w:rPr>
          <w:rFonts w:hint="eastAsia" w:ascii="Times New Roman" w:hAnsi="Times New Roman" w:eastAsia="仿宋_GB2312" w:cs="Times New Roman"/>
          <w:sz w:val="32"/>
          <w:szCs w:val="32"/>
          <w:highlight w:val="none"/>
        </w:rPr>
        <w:t>粉</w:t>
      </w:r>
      <w:r>
        <w:rPr>
          <w:rFonts w:hint="eastAsia" w:ascii="Times New Roman" w:hAnsi="Times New Roman" w:eastAsia="仿宋_GB2312" w:cs="Times New Roman"/>
          <w:sz w:val="32"/>
          <w:szCs w:val="32"/>
          <w:highlight w:val="none"/>
          <w:lang w:eastAsia="zh-CN"/>
        </w:rPr>
        <w:t>、其他液体调味料</w:t>
      </w:r>
      <w:r>
        <w:rPr>
          <w:rFonts w:ascii="Times New Roman" w:hAnsi="Times New Roman" w:eastAsia="仿宋_GB2312"/>
          <w:sz w:val="32"/>
          <w:szCs w:val="32"/>
        </w:rPr>
        <w:t>中</w:t>
      </w:r>
      <w:r>
        <w:rPr>
          <w:rFonts w:hint="eastAsia" w:ascii="Times New Roman" w:hAnsi="Times New Roman" w:eastAsia="仿宋_GB2312"/>
          <w:sz w:val="32"/>
          <w:szCs w:val="32"/>
          <w:lang w:val="en-US" w:eastAsia="zh-CN"/>
        </w:rPr>
        <w:t>柠檬黄检验值超标</w:t>
      </w:r>
      <w:r>
        <w:rPr>
          <w:rFonts w:ascii="Times New Roman" w:hAnsi="Times New Roman" w:eastAsia="仿宋_GB2312"/>
          <w:sz w:val="32"/>
          <w:szCs w:val="32"/>
        </w:rPr>
        <w:t>的原因，</w:t>
      </w:r>
      <w:r>
        <w:rPr>
          <w:rFonts w:hint="default" w:ascii="Times New Roman" w:hAnsi="Times New Roman" w:eastAsia="仿宋_GB2312" w:cs="Times New Roman"/>
          <w:sz w:val="32"/>
          <w:szCs w:val="32"/>
          <w:highlight w:val="none"/>
          <w:shd w:val="clear" w:fill="FFFFFF"/>
          <w:lang w:val="en-US" w:eastAsia="zh-CN"/>
        </w:rPr>
        <w:t>可能是生产企业为改善产品色泽而超</w:t>
      </w:r>
      <w:r>
        <w:rPr>
          <w:rFonts w:hint="eastAsia" w:ascii="Times New Roman" w:hAnsi="Times New Roman" w:eastAsia="仿宋_GB2312" w:cs="Times New Roman"/>
          <w:sz w:val="32"/>
          <w:szCs w:val="32"/>
          <w:highlight w:val="none"/>
          <w:shd w:val="clear" w:fill="FFFFFF"/>
          <w:lang w:val="en-US" w:eastAsia="zh-CN"/>
        </w:rPr>
        <w:t>范围超限量</w:t>
      </w:r>
      <w:r>
        <w:rPr>
          <w:rFonts w:hint="default" w:ascii="Times New Roman" w:hAnsi="Times New Roman" w:eastAsia="仿宋_GB2312" w:cs="Times New Roman"/>
          <w:sz w:val="32"/>
          <w:szCs w:val="32"/>
          <w:highlight w:val="none"/>
          <w:shd w:val="clear" w:fill="FFFFFF"/>
          <w:lang w:val="en-US" w:eastAsia="zh-CN"/>
        </w:rPr>
        <w:t>使用</w:t>
      </w:r>
      <w:r>
        <w:rPr>
          <w:rFonts w:hint="eastAsia" w:ascii="Times New Roman" w:hAnsi="Times New Roman" w:eastAsia="仿宋_GB2312" w:cs="Times New Roman"/>
          <w:sz w:val="32"/>
          <w:szCs w:val="32"/>
          <w:highlight w:val="none"/>
          <w:shd w:val="clear" w:fill="FFFFFF"/>
          <w:lang w:val="en-US" w:eastAsia="zh-CN"/>
        </w:rPr>
        <w:t>。</w:t>
      </w:r>
    </w:p>
    <w:p w14:paraId="75634349">
      <w:pPr>
        <w:spacing w:line="594" w:lineRule="exact"/>
        <w:ind w:firstLine="592" w:firstLineChars="200"/>
        <w:jc w:val="both"/>
        <w:rPr>
          <w:rFonts w:hint="default" w:ascii="Times New Roman" w:hAnsi="Times New Roman" w:eastAsia="黑体" w:cs="Times New Roman"/>
          <w:spacing w:val="0"/>
          <w:sz w:val="32"/>
          <w:szCs w:val="32"/>
          <w:lang w:val="en-US" w:eastAsia="zh-CN"/>
        </w:rPr>
      </w:pPr>
      <w:r>
        <w:rPr>
          <w:rFonts w:hint="eastAsia" w:ascii="Times New Roman" w:hAnsi="Times New Roman" w:eastAsia="黑体" w:cs="Times New Roman"/>
          <w:color w:val="auto"/>
          <w:spacing w:val="-12"/>
          <w:sz w:val="32"/>
          <w:szCs w:val="32"/>
          <w:highlight w:val="none"/>
          <w:lang w:val="en-US" w:eastAsia="zh-CN"/>
        </w:rPr>
        <w:t>四、</w:t>
      </w:r>
      <w:r>
        <w:rPr>
          <w:rFonts w:hint="default" w:ascii="Times New Roman" w:hAnsi="Times New Roman" w:eastAsia="黑体" w:cs="Times New Roman"/>
          <w:spacing w:val="0"/>
          <w:sz w:val="32"/>
          <w:szCs w:val="32"/>
          <w:lang w:val="en-US" w:eastAsia="zh-CN"/>
        </w:rPr>
        <w:t>日落黄</w:t>
      </w:r>
    </w:p>
    <w:p w14:paraId="0700F186">
      <w:pPr>
        <w:widowControl/>
        <w:adjustRightInd/>
        <w:snapToGrid/>
        <w:spacing w:line="594" w:lineRule="exact"/>
        <w:ind w:firstLine="640" w:firstLineChars="200"/>
        <w:jc w:val="both"/>
        <w:rPr>
          <w:rFonts w:hint="default" w:ascii="Times New Roman" w:hAnsi="Times New Roman" w:eastAsia="黑体" w:cs="Times New Roman"/>
          <w:color w:val="auto"/>
          <w:spacing w:val="-12"/>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日落黄属于水溶性偶氮类化合物，是常见的人工合成着色剂，在食品生产中应用广泛。长期摄入日落黄超标的食品，可能危害人体健康。《食品安全国家标准 食品添加剂使用标准》（GB 2760</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2024）中规定，冰片糖中不得使用日落黄</w:t>
      </w:r>
      <w:r>
        <w:rPr>
          <w:rFonts w:hint="eastAsia"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kern w:val="2"/>
          <w:sz w:val="32"/>
          <w:szCs w:val="32"/>
          <w:highlight w:val="none"/>
          <w:lang w:val="en-US" w:eastAsia="zh-CN" w:bidi="ar-SA"/>
        </w:rPr>
        <w:t>其他液体调味料中日落黄最大使用量为0.2g/kg</w:t>
      </w:r>
      <w:r>
        <w:rPr>
          <w:rFonts w:hint="default" w:ascii="Times New Roman" w:hAnsi="Times New Roman" w:eastAsia="仿宋_GB2312" w:cs="Times New Roman"/>
          <w:color w:val="auto"/>
          <w:sz w:val="32"/>
          <w:szCs w:val="32"/>
          <w:highlight w:val="none"/>
          <w:lang w:val="en-US" w:eastAsia="zh-CN"/>
        </w:rPr>
        <w:t>。冰片糖</w:t>
      </w:r>
      <w:r>
        <w:rPr>
          <w:rFonts w:hint="eastAsia"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kern w:val="2"/>
          <w:sz w:val="32"/>
          <w:szCs w:val="32"/>
          <w:highlight w:val="none"/>
          <w:lang w:val="en-US" w:eastAsia="zh-CN" w:bidi="ar-SA"/>
        </w:rPr>
        <w:t>其他液体调味料</w:t>
      </w:r>
      <w:r>
        <w:rPr>
          <w:rFonts w:hint="default" w:ascii="Times New Roman" w:hAnsi="Times New Roman" w:eastAsia="仿宋_GB2312" w:cs="Times New Roman"/>
          <w:color w:val="auto"/>
          <w:sz w:val="32"/>
          <w:szCs w:val="32"/>
          <w:highlight w:val="none"/>
          <w:lang w:val="en-US" w:eastAsia="zh-CN"/>
        </w:rPr>
        <w:t>中日落黄检验值超标的原因，可能是生产企业为改善产品色泽而超范围</w:t>
      </w:r>
      <w:r>
        <w:rPr>
          <w:rFonts w:hint="eastAsia" w:ascii="Times New Roman" w:hAnsi="Times New Roman" w:eastAsia="仿宋_GB2312" w:cs="Times New Roman"/>
          <w:color w:val="auto"/>
          <w:sz w:val="32"/>
          <w:szCs w:val="32"/>
          <w:highlight w:val="none"/>
          <w:lang w:val="en-US" w:eastAsia="zh-CN"/>
        </w:rPr>
        <w:t>超限量</w:t>
      </w:r>
      <w:r>
        <w:rPr>
          <w:rFonts w:hint="default" w:ascii="Times New Roman" w:hAnsi="Times New Roman" w:eastAsia="仿宋_GB2312" w:cs="Times New Roman"/>
          <w:color w:val="auto"/>
          <w:sz w:val="32"/>
          <w:szCs w:val="32"/>
          <w:highlight w:val="none"/>
          <w:lang w:val="en-US" w:eastAsia="zh-CN"/>
        </w:rPr>
        <w:t>使用。</w:t>
      </w:r>
    </w:p>
    <w:p w14:paraId="0FBB4FF3">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eastAsia" w:ascii="黑体" w:hAnsi="黑体" w:eastAsia="黑体" w:cs="黑体"/>
          <w:color w:val="auto"/>
          <w:spacing w:val="0"/>
          <w:sz w:val="32"/>
          <w:szCs w:val="32"/>
          <w:highlight w:val="none"/>
          <w:lang w:val="en-US" w:eastAsia="zh-CN"/>
        </w:rPr>
      </w:pPr>
      <w:r>
        <w:rPr>
          <w:rFonts w:hint="eastAsia" w:ascii="Times New Roman" w:hAnsi="Times New Roman" w:eastAsia="黑体" w:cs="Times New Roman"/>
          <w:color w:val="auto"/>
          <w:sz w:val="32"/>
          <w:szCs w:val="32"/>
          <w:highlight w:val="none"/>
          <w:lang w:val="en-US" w:eastAsia="zh-CN"/>
        </w:rPr>
        <w:t>五、</w:t>
      </w:r>
      <w:r>
        <w:rPr>
          <w:rFonts w:hint="eastAsia" w:ascii="黑体" w:hAnsi="黑体" w:eastAsia="黑体" w:cs="黑体"/>
          <w:color w:val="000000" w:themeColor="text1"/>
          <w:sz w:val="32"/>
          <w:szCs w:val="32"/>
          <w:highlight w:val="none"/>
          <w:lang w:val="en-US" w:eastAsia="zh-CN"/>
          <w14:textFill>
            <w14:solidFill>
              <w14:schemeClr w14:val="tx1"/>
            </w14:solidFill>
          </w14:textFill>
        </w:rPr>
        <w:t>诱惑红</w:t>
      </w:r>
    </w:p>
    <w:p w14:paraId="30A0ABA0">
      <w:pPr>
        <w:numPr>
          <w:ilvl w:val="0"/>
          <w:numId w:val="0"/>
        </w:numPr>
        <w:adjustRightInd/>
        <w:spacing w:line="594" w:lineRule="exact"/>
        <w:ind w:firstLine="640" w:firstLineChars="200"/>
        <w:rPr>
          <w:rFonts w:hint="default"/>
          <w:lang w:val="en-US" w:eastAsia="zh-CN"/>
        </w:rPr>
      </w:pPr>
      <w:r>
        <w:rPr>
          <w:rFonts w:hint="eastAsia" w:ascii="Times New Roman" w:hAnsi="Times New Roman" w:eastAsia="仿宋_GB2312" w:cs="Times New Roman"/>
          <w:bCs/>
          <w:sz w:val="32"/>
          <w:szCs w:val="32"/>
          <w:lang w:val="en-US" w:eastAsia="zh-CN"/>
        </w:rPr>
        <w:t>诱惑红</w:t>
      </w:r>
      <w:r>
        <w:rPr>
          <w:rFonts w:hint="eastAsia" w:ascii="Times New Roman" w:hAnsi="Times New Roman" w:eastAsia="仿宋_GB2312" w:cs="Times New Roman"/>
          <w:bCs/>
          <w:sz w:val="32"/>
          <w:szCs w:val="32"/>
        </w:rPr>
        <w:t>别名艳红、阿落拉红</w:t>
      </w:r>
      <w:r>
        <w:rPr>
          <w:rFonts w:ascii="Times New Roman" w:hAnsi="Times New Roman" w:eastAsia="仿宋_GB2312" w:cs="Times New Roman"/>
          <w:bCs/>
          <w:sz w:val="32"/>
          <w:szCs w:val="32"/>
        </w:rPr>
        <w:t>，是常见的食品合成着色剂</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rPr>
        <w:t>长期食用</w:t>
      </w:r>
      <w:r>
        <w:rPr>
          <w:rFonts w:hint="eastAsia" w:ascii="Times New Roman" w:hAnsi="Times New Roman" w:eastAsia="仿宋_GB2312" w:cs="Times New Roman"/>
          <w:bCs/>
          <w:sz w:val="32"/>
          <w:szCs w:val="32"/>
          <w:lang w:val="en-US" w:eastAsia="zh-CN"/>
        </w:rPr>
        <w:t>诱惑红</w:t>
      </w:r>
      <w:r>
        <w:rPr>
          <w:rFonts w:hint="eastAsia" w:ascii="Times New Roman" w:hAnsi="Times New Roman" w:eastAsia="仿宋_GB2312" w:cs="Times New Roman"/>
          <w:bCs/>
          <w:sz w:val="32"/>
          <w:szCs w:val="32"/>
        </w:rPr>
        <w:t>超标的食品，可能危害人体健康</w:t>
      </w:r>
      <w:r>
        <w:rPr>
          <w:rFonts w:ascii="Times New Roman" w:hAnsi="Times New Roman" w:eastAsia="仿宋_GB2312" w:cs="Times New Roman"/>
          <w:bCs/>
          <w:sz w:val="32"/>
          <w:szCs w:val="32"/>
        </w:rPr>
        <w:t>。</w:t>
      </w:r>
      <w:r>
        <w:rPr>
          <w:rFonts w:hint="eastAsia" w:ascii="Times New Roman" w:hAnsi="Times New Roman" w:eastAsia="仿宋_GB2312" w:cs="Times New Roman"/>
          <w:sz w:val="32"/>
          <w:szCs w:val="32"/>
          <w:lang w:val="en-US" w:eastAsia="zh-CN"/>
        </w:rPr>
        <w:t>《食品安全国家标准 食品添加剂使用标准》（GB 2760—2024）</w:t>
      </w:r>
      <w:r>
        <w:rPr>
          <w:rFonts w:ascii="Times New Roman" w:hAnsi="Times New Roman" w:eastAsia="仿宋_GB2312" w:cs="Times New Roman"/>
          <w:bCs/>
          <w:sz w:val="32"/>
          <w:szCs w:val="32"/>
        </w:rPr>
        <w:t>中规定，</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腌腊肉制品中不得使用</w:t>
      </w:r>
      <w:r>
        <w:rPr>
          <w:rFonts w:hint="eastAsia" w:ascii="Times New Roman" w:hAnsi="Times New Roman" w:eastAsia="仿宋_GB2312" w:cs="Times New Roman"/>
          <w:bCs/>
          <w:sz w:val="32"/>
          <w:szCs w:val="32"/>
          <w:lang w:val="en-US" w:eastAsia="zh-CN"/>
        </w:rPr>
        <w:t>诱惑</w:t>
      </w:r>
      <w:r>
        <w:rPr>
          <w:rFonts w:ascii="Times New Roman" w:hAnsi="Times New Roman" w:eastAsia="仿宋_GB2312" w:cs="Times New Roman"/>
          <w:bCs/>
          <w:sz w:val="32"/>
          <w:szCs w:val="32"/>
        </w:rPr>
        <w:t>红。</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腌腊肉制品中检出</w:t>
      </w:r>
      <w:r>
        <w:rPr>
          <w:rFonts w:hint="eastAsia" w:ascii="Times New Roman" w:hAnsi="Times New Roman" w:eastAsia="仿宋_GB2312" w:cs="Times New Roman"/>
          <w:bCs/>
          <w:sz w:val="32"/>
          <w:szCs w:val="32"/>
          <w:lang w:val="en-US" w:eastAsia="zh-CN"/>
        </w:rPr>
        <w:t>诱惑</w:t>
      </w:r>
      <w:r>
        <w:rPr>
          <w:rFonts w:ascii="Times New Roman" w:hAnsi="Times New Roman" w:eastAsia="仿宋_GB2312" w:cs="Times New Roman"/>
          <w:bCs/>
          <w:sz w:val="32"/>
          <w:szCs w:val="32"/>
        </w:rPr>
        <w:t>红的原因，</w:t>
      </w:r>
      <w:r>
        <w:rPr>
          <w:rFonts w:ascii="Times New Roman" w:hAnsi="Times New Roman" w:eastAsia="仿宋_GB2312" w:cs="Times New Roman"/>
          <w:kern w:val="2"/>
          <w:sz w:val="32"/>
          <w:szCs w:val="32"/>
          <w:lang w:val="en-US" w:eastAsia="zh-CN" w:bidi="ar-SA"/>
        </w:rPr>
        <w:t>可能是生产企业为改善产品色泽</w:t>
      </w:r>
      <w:r>
        <w:rPr>
          <w:rFonts w:hint="eastAsia" w:ascii="Times New Roman" w:hAnsi="Times New Roman" w:eastAsia="仿宋_GB2312" w:cs="Times New Roman"/>
          <w:kern w:val="2"/>
          <w:sz w:val="32"/>
          <w:szCs w:val="32"/>
          <w:lang w:val="en-US" w:eastAsia="zh-CN" w:bidi="ar-SA"/>
        </w:rPr>
        <w:t>而超范围</w:t>
      </w:r>
      <w:r>
        <w:rPr>
          <w:rFonts w:ascii="Times New Roman" w:hAnsi="Times New Roman" w:eastAsia="仿宋_GB2312" w:cs="Times New Roman"/>
          <w:kern w:val="2"/>
          <w:sz w:val="32"/>
          <w:szCs w:val="32"/>
          <w:lang w:val="en-US" w:eastAsia="zh-CN" w:bidi="ar-SA"/>
        </w:rPr>
        <w:t>使用</w:t>
      </w:r>
      <w:r>
        <w:rPr>
          <w:rFonts w:ascii="Times New Roman" w:hAnsi="Times New Roman" w:eastAsia="仿宋_GB2312" w:cs="Times New Roman"/>
          <w:bCs/>
          <w:sz w:val="32"/>
          <w:szCs w:val="32"/>
        </w:rPr>
        <w:t>。</w:t>
      </w:r>
    </w:p>
    <w:p w14:paraId="01D9896A">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right="0" w:rightChars="0" w:firstLine="640" w:firstLineChars="200"/>
        <w:jc w:val="both"/>
        <w:textAlignment w:val="auto"/>
        <w:rPr>
          <w:rFonts w:hint="eastAsia" w:ascii="黑体" w:hAnsi="黑体" w:eastAsia="黑体" w:cs="黑体"/>
          <w:color w:val="000000"/>
          <w:sz w:val="32"/>
          <w:szCs w:val="32"/>
          <w:highlight w:val="none"/>
          <w:lang w:eastAsia="zh-CN"/>
        </w:rPr>
      </w:pPr>
      <w:r>
        <w:rPr>
          <w:rFonts w:hint="eastAsia" w:ascii="黑体" w:hAnsi="黑体" w:eastAsia="黑体" w:cs="黑体"/>
          <w:color w:val="000000"/>
          <w:sz w:val="32"/>
          <w:szCs w:val="32"/>
          <w:highlight w:val="none"/>
          <w:lang w:val="en-US" w:eastAsia="zh-CN"/>
        </w:rPr>
        <w:t>六、</w:t>
      </w:r>
      <w:r>
        <w:rPr>
          <w:rFonts w:hint="eastAsia" w:ascii="黑体" w:hAnsi="黑体" w:eastAsia="黑体" w:cs="黑体"/>
          <w:color w:val="000000"/>
          <w:sz w:val="32"/>
          <w:szCs w:val="32"/>
          <w:highlight w:val="none"/>
          <w:lang w:eastAsia="zh-CN"/>
        </w:rPr>
        <w:t>山梨酸及其钾盐（以山梨酸计）</w:t>
      </w:r>
    </w:p>
    <w:p w14:paraId="23EDA076">
      <w:pPr>
        <w:adjustRightInd/>
        <w:spacing w:line="594" w:lineRule="exact"/>
        <w:ind w:firstLine="640" w:firstLineChars="200"/>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山梨酸及其钾盐抗菌性强，防腐效果好，是目前应用非常广泛的食品防腐剂。长期食用山梨酸及其钾盐超标的食品，可能对肝脏、肾脏、骨骼生长造成危害。《食品安全国家标准 食品添加剂使用标准》（GB 2760</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2024）中规定，</w:t>
      </w:r>
      <w:r>
        <w:rPr>
          <w:rFonts w:hint="eastAsia" w:ascii="Times New Roman" w:hAnsi="Times New Roman" w:eastAsia="仿宋_GB2312" w:cs="Times New Roman"/>
          <w:color w:val="auto"/>
          <w:sz w:val="32"/>
          <w:szCs w:val="32"/>
          <w:highlight w:val="none"/>
          <w:lang w:val="en-US" w:eastAsia="zh-CN"/>
        </w:rPr>
        <w:t>山药葛根玉米粉类方便食品、</w:t>
      </w:r>
      <w:r>
        <w:rPr>
          <w:rFonts w:hint="eastAsia" w:eastAsia="仿宋_GB2312" w:cs="Times New Roman"/>
          <w:sz w:val="32"/>
          <w:szCs w:val="32"/>
          <w:lang w:val="en-US" w:eastAsia="zh-CN"/>
        </w:rPr>
        <w:t>米酒</w:t>
      </w:r>
      <w:r>
        <w:rPr>
          <w:rFonts w:hint="default" w:ascii="Times New Roman" w:hAnsi="Times New Roman" w:eastAsia="仿宋_GB2312" w:cs="Times New Roman"/>
          <w:color w:val="auto"/>
          <w:sz w:val="32"/>
          <w:szCs w:val="32"/>
          <w:highlight w:val="none"/>
          <w:lang w:val="en-US" w:eastAsia="zh-CN"/>
        </w:rPr>
        <w:t>中不得使用山梨酸及其钾盐</w:t>
      </w:r>
      <w:r>
        <w:rPr>
          <w:rFonts w:hint="eastAsia" w:ascii="Times New Roman" w:hAnsi="Times New Roman" w:eastAsia="仿宋_GB2312" w:cs="Times New Roman"/>
          <w:color w:val="auto"/>
          <w:sz w:val="32"/>
          <w:szCs w:val="32"/>
          <w:highlight w:val="none"/>
          <w:lang w:val="en-US" w:eastAsia="zh-CN"/>
        </w:rPr>
        <w:t>，预制水产品（半成品）、</w:t>
      </w:r>
      <w:r>
        <w:rPr>
          <w:rFonts w:hint="eastAsia" w:ascii="Times New Roman" w:hAnsi="Times New Roman" w:eastAsia="仿宋_GB2312"/>
          <w:sz w:val="32"/>
          <w:szCs w:val="32"/>
          <w:highlight w:val="none"/>
          <w:lang w:val="en-US" w:eastAsia="zh-CN"/>
        </w:rPr>
        <w:t>酱卤肉制品</w:t>
      </w:r>
      <w:r>
        <w:rPr>
          <w:rFonts w:hint="eastAsia" w:ascii="Times New Roman" w:hAnsi="Times New Roman" w:eastAsia="仿宋_GB2312" w:cs="Times New Roman"/>
          <w:color w:val="auto"/>
          <w:sz w:val="32"/>
          <w:szCs w:val="32"/>
          <w:highlight w:val="none"/>
          <w:lang w:val="en-US" w:eastAsia="zh-CN"/>
        </w:rPr>
        <w:t>中山梨酸及其钾盐的最大使用量为0.075g/kg。</w:t>
      </w:r>
      <w:r>
        <w:rPr>
          <w:rFonts w:hint="default" w:ascii="Times New Roman" w:hAnsi="Times New Roman" w:eastAsia="仿宋_GB2312" w:cs="Times New Roman"/>
          <w:sz w:val="32"/>
          <w:szCs w:val="32"/>
          <w:highlight w:val="none"/>
          <w:lang w:val="en-US" w:eastAsia="zh-CN"/>
        </w:rPr>
        <w:t>山药葛根玉米粉</w:t>
      </w:r>
      <w:r>
        <w:rPr>
          <w:rFonts w:hint="eastAsia" w:ascii="Times New Roman" w:hAnsi="Times New Roman" w:eastAsia="仿宋_GB2312" w:cs="Times New Roman"/>
          <w:sz w:val="32"/>
          <w:szCs w:val="32"/>
          <w:highlight w:val="none"/>
          <w:lang w:val="en-US" w:eastAsia="zh-CN"/>
        </w:rPr>
        <w:t>类方便食品、米酒、预制水产品（半成品）、</w:t>
      </w:r>
      <w:r>
        <w:rPr>
          <w:rFonts w:hint="eastAsia" w:ascii="Times New Roman" w:hAnsi="Times New Roman" w:eastAsia="仿宋_GB2312"/>
          <w:sz w:val="32"/>
          <w:szCs w:val="32"/>
          <w:highlight w:val="none"/>
          <w:lang w:val="en-US" w:eastAsia="zh-CN"/>
        </w:rPr>
        <w:t>酱卤肉制品</w:t>
      </w:r>
      <w:r>
        <w:rPr>
          <w:rFonts w:hint="default" w:ascii="Times New Roman" w:hAnsi="Times New Roman" w:eastAsia="仿宋_GB2312" w:cs="Times New Roman"/>
          <w:color w:val="auto"/>
          <w:sz w:val="32"/>
          <w:szCs w:val="32"/>
          <w:highlight w:val="none"/>
          <w:lang w:val="en-US" w:eastAsia="zh-CN"/>
        </w:rPr>
        <w:t>中山梨酸及其钾盐（以山梨酸计）</w:t>
      </w:r>
      <w:r>
        <w:rPr>
          <w:rFonts w:hint="eastAsia" w:ascii="Times New Roman" w:hAnsi="Times New Roman" w:eastAsia="仿宋_GB2312" w:cs="Times New Roman"/>
          <w:color w:val="auto"/>
          <w:sz w:val="32"/>
          <w:szCs w:val="32"/>
          <w:highlight w:val="none"/>
          <w:lang w:val="en-US" w:eastAsia="zh-CN"/>
        </w:rPr>
        <w:t>检验值超标</w:t>
      </w:r>
      <w:r>
        <w:rPr>
          <w:rFonts w:hint="default" w:ascii="Times New Roman" w:hAnsi="Times New Roman" w:eastAsia="仿宋_GB2312" w:cs="Times New Roman"/>
          <w:color w:val="auto"/>
          <w:sz w:val="32"/>
          <w:szCs w:val="32"/>
          <w:highlight w:val="none"/>
          <w:lang w:val="en-US" w:eastAsia="zh-CN"/>
        </w:rPr>
        <w:t>的原因，可能是经营者为延长产品保质期或者弥补产品生产过程卫生条件不佳而超范围</w:t>
      </w:r>
      <w:r>
        <w:rPr>
          <w:rFonts w:hint="eastAsia" w:ascii="Times New Roman" w:hAnsi="Times New Roman" w:eastAsia="仿宋_GB2312" w:cs="Times New Roman"/>
          <w:color w:val="auto"/>
          <w:sz w:val="32"/>
          <w:szCs w:val="32"/>
          <w:highlight w:val="none"/>
          <w:lang w:val="en-US" w:eastAsia="zh-CN"/>
        </w:rPr>
        <w:t>超限量</w:t>
      </w:r>
      <w:r>
        <w:rPr>
          <w:rFonts w:hint="default" w:ascii="Times New Roman" w:hAnsi="Times New Roman" w:eastAsia="仿宋_GB2312" w:cs="Times New Roman"/>
          <w:color w:val="auto"/>
          <w:sz w:val="32"/>
          <w:szCs w:val="32"/>
          <w:highlight w:val="none"/>
          <w:lang w:val="en-US" w:eastAsia="zh-CN"/>
        </w:rPr>
        <w:t>使用。</w:t>
      </w:r>
    </w:p>
    <w:p w14:paraId="28147718">
      <w:pPr>
        <w:keepNext w:val="0"/>
        <w:keepLines w:val="0"/>
        <w:pageBreakBefore w:val="0"/>
        <w:widowControl w:val="0"/>
        <w:kinsoku/>
        <w:wordWrap/>
        <w:overflowPunct/>
        <w:topLinePunct w:val="0"/>
        <w:autoSpaceDE w:val="0"/>
        <w:autoSpaceDN w:val="0"/>
        <w:bidi w:val="0"/>
        <w:adjustRightInd w:val="0"/>
        <w:snapToGrid/>
        <w:spacing w:line="594" w:lineRule="exact"/>
        <w:ind w:firstLine="640" w:firstLineChars="200"/>
        <w:jc w:val="both"/>
        <w:textAlignment w:val="auto"/>
        <w:rPr>
          <w:rFonts w:hint="default" w:ascii="Times New Roman" w:hAnsi="Times New Roman" w:eastAsia="黑体" w:cs="Times New Roman"/>
          <w:color w:val="auto"/>
          <w:spacing w:val="0"/>
          <w:sz w:val="32"/>
          <w:szCs w:val="32"/>
          <w:highlight w:val="none"/>
          <w:lang w:val="en-US" w:eastAsia="zh-CN"/>
        </w:rPr>
      </w:pPr>
      <w:r>
        <w:rPr>
          <w:rFonts w:hint="eastAsia" w:ascii="黑体" w:hAnsi="黑体" w:eastAsia="黑体" w:cs="黑体"/>
          <w:sz w:val="32"/>
          <w:szCs w:val="32"/>
          <w:lang w:val="en-US" w:eastAsia="zh-CN"/>
        </w:rPr>
        <w:t>七、</w:t>
      </w:r>
      <w:r>
        <w:rPr>
          <w:rFonts w:hint="eastAsia" w:ascii="Times New Roman" w:hAnsi="Times New Roman" w:eastAsia="黑体" w:cs="Times New Roman"/>
          <w:color w:val="auto"/>
          <w:spacing w:val="0"/>
          <w:sz w:val="32"/>
          <w:szCs w:val="32"/>
          <w:highlight w:val="none"/>
          <w:lang w:val="en-US" w:eastAsia="zh-CN"/>
        </w:rPr>
        <w:t>糖精钠（以糖精计）</w:t>
      </w:r>
    </w:p>
    <w:p w14:paraId="78924D57">
      <w:pPr>
        <w:keepNext w:val="0"/>
        <w:keepLines w:val="0"/>
        <w:pageBreakBefore w:val="0"/>
        <w:widowControl w:val="0"/>
        <w:kinsoku/>
        <w:wordWrap/>
        <w:overflowPunct/>
        <w:topLinePunct w:val="0"/>
        <w:autoSpaceDE/>
        <w:autoSpaceDN/>
        <w:bidi w:val="0"/>
        <w:adjustRightInd w:val="0"/>
        <w:snapToGrid w:val="0"/>
        <w:spacing w:line="594" w:lineRule="exact"/>
        <w:ind w:right="0" w:firstLine="640" w:firstLineChars="200"/>
        <w:jc w:val="both"/>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lang w:val="en-US" w:eastAsia="zh-CN"/>
        </w:rPr>
        <w:t>糖精钠（以糖精计）是普遍使用的人工甜味剂，其特点是不产生热量、不被人体代谢吸收。但如果长期摄入</w:t>
      </w:r>
      <w:bookmarkStart w:id="0" w:name="_GoBack"/>
      <w:r>
        <w:rPr>
          <w:rFonts w:hint="default" w:ascii="Times New Roman" w:hAnsi="Times New Roman" w:eastAsia="仿宋_GB2312" w:cs="Times New Roman"/>
          <w:color w:val="auto"/>
          <w:sz w:val="32"/>
          <w:szCs w:val="32"/>
          <w:highlight w:val="none"/>
          <w:lang w:val="en-US" w:eastAsia="zh-CN"/>
        </w:rPr>
        <w:t>糖精钠</w:t>
      </w:r>
      <w:bookmarkEnd w:id="0"/>
      <w:r>
        <w:rPr>
          <w:rFonts w:hint="default" w:ascii="Times New Roman" w:hAnsi="Times New Roman" w:eastAsia="仿宋_GB2312" w:cs="Times New Roman"/>
          <w:color w:val="auto"/>
          <w:sz w:val="32"/>
          <w:szCs w:val="32"/>
          <w:highlight w:val="none"/>
          <w:lang w:val="en-US" w:eastAsia="zh-CN"/>
        </w:rPr>
        <w:t>超标的食品，可能会影响肠胃消化酶的正常分泌，降低小肠的吸收能力，出现恶心、腹胀、食欲减退等不适症状。《食品安全国家标准 食品添加剂使用标准》（GB 2760</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2024）中规定，</w:t>
      </w:r>
      <w:r>
        <w:rPr>
          <w:rFonts w:hint="eastAsia" w:ascii="Times New Roman" w:hAnsi="Times New Roman" w:eastAsia="仿宋_GB2312" w:cs="Times New Roman"/>
          <w:color w:val="auto"/>
          <w:sz w:val="32"/>
          <w:szCs w:val="32"/>
          <w:highlight w:val="none"/>
          <w:lang w:val="en-US" w:eastAsia="zh-CN"/>
        </w:rPr>
        <w:t>糕点</w:t>
      </w:r>
      <w:r>
        <w:rPr>
          <w:rFonts w:hint="default" w:ascii="Times New Roman" w:hAnsi="Times New Roman" w:eastAsia="仿宋_GB2312" w:cs="Times New Roman"/>
          <w:color w:val="auto"/>
          <w:sz w:val="32"/>
          <w:szCs w:val="32"/>
          <w:highlight w:val="none"/>
          <w:lang w:val="en-US" w:eastAsia="zh-CN"/>
        </w:rPr>
        <w:t>中不得使用糖精钠（以糖精计）。</w:t>
      </w:r>
      <w:r>
        <w:rPr>
          <w:rFonts w:hint="eastAsia" w:ascii="Times New Roman" w:hAnsi="Times New Roman" w:eastAsia="仿宋_GB2312" w:cs="Times New Roman"/>
          <w:color w:val="auto"/>
          <w:sz w:val="32"/>
          <w:szCs w:val="32"/>
          <w:highlight w:val="none"/>
          <w:lang w:val="en-US" w:eastAsia="zh-CN"/>
        </w:rPr>
        <w:t>糕点</w:t>
      </w:r>
      <w:r>
        <w:rPr>
          <w:rFonts w:hint="default" w:ascii="Times New Roman" w:hAnsi="Times New Roman" w:eastAsia="仿宋_GB2312" w:cs="Times New Roman"/>
          <w:color w:val="auto"/>
          <w:sz w:val="32"/>
          <w:szCs w:val="32"/>
          <w:highlight w:val="none"/>
          <w:lang w:val="en-US" w:eastAsia="zh-CN"/>
        </w:rPr>
        <w:t>中检出糖精钠（以糖精计）的原因，可能是生产企业为降低成本，提升产品甜度和口感，从而超范围使用糖精钠</w:t>
      </w:r>
      <w:r>
        <w:rPr>
          <w:rFonts w:hint="eastAsia" w:ascii="Times New Roman" w:hAnsi="Times New Roman" w:eastAsia="仿宋_GB2312" w:cs="Times New Roman"/>
          <w:color w:val="auto"/>
          <w:sz w:val="32"/>
          <w:szCs w:val="32"/>
          <w:highlight w:val="none"/>
          <w:lang w:val="en-US" w:eastAsia="zh-CN"/>
        </w:rPr>
        <w:t>。</w:t>
      </w:r>
    </w:p>
    <w:p w14:paraId="7EA7C07C">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right="0" w:rightChars="0" w:firstLine="640" w:firstLineChars="200"/>
        <w:jc w:val="both"/>
        <w:textAlignment w:val="auto"/>
        <w:rPr>
          <w:rFonts w:hint="eastAsia" w:ascii="黑体" w:hAnsi="黑体" w:eastAsia="黑体" w:cs="黑体"/>
          <w:color w:val="000000"/>
          <w:sz w:val="32"/>
          <w:szCs w:val="32"/>
          <w:highlight w:val="none"/>
          <w:lang w:eastAsia="zh-CN"/>
        </w:rPr>
      </w:pPr>
      <w:r>
        <w:rPr>
          <w:rFonts w:hint="eastAsia" w:ascii="黑体" w:hAnsi="黑体" w:eastAsia="黑体" w:cs="黑体"/>
          <w:color w:val="auto"/>
          <w:sz w:val="32"/>
          <w:szCs w:val="32"/>
          <w:highlight w:val="none"/>
          <w:lang w:val="en-US" w:eastAsia="zh-CN"/>
        </w:rPr>
        <w:t>八、</w:t>
      </w:r>
      <w:r>
        <w:rPr>
          <w:rFonts w:hint="eastAsia" w:ascii="黑体" w:hAnsi="黑体" w:eastAsia="黑体" w:cs="黑体"/>
          <w:color w:val="auto"/>
          <w:spacing w:val="0"/>
          <w:sz w:val="32"/>
          <w:szCs w:val="32"/>
          <w:lang w:val="en-US" w:eastAsia="zh-CN"/>
        </w:rPr>
        <w:t>脱氢乙酸及其钠盐（以脱氢乙酸计）</w:t>
      </w:r>
    </w:p>
    <w:p w14:paraId="51515385">
      <w:pPr>
        <w:pStyle w:val="9"/>
        <w:spacing w:after="0" w:line="594"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脱氢乙酸及其钠盐作为一种广谱食品防腐剂，对霉菌和酵母菌的抑制能力强。脱氢乙酸及其钠盐能被人体完全吸收，并能抑制人体内多种氧化酶，长期摄入含有过量脱氢乙酸及其钠盐的食品会危害人体健康。《食品安全国家标准 食品添加剂使用标准》（GB 2760</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2024）中规定，凉皮中不得使用脱氢乙酸及其钠盐（以脱氢乙酸计）。凉皮类（自制）中检出脱氢乙酸及其钠盐（以脱氢乙酸计）的原因，可能是经营者为延长产品保质期或者弥补产品加工过程卫生条件不佳而超范围使用。</w:t>
      </w:r>
    </w:p>
    <w:p w14:paraId="40EF9D83">
      <w:pPr>
        <w:keepNext w:val="0"/>
        <w:keepLines w:val="0"/>
        <w:pageBreakBefore w:val="0"/>
        <w:widowControl w:val="0"/>
        <w:kinsoku/>
        <w:wordWrap/>
        <w:overflowPunct/>
        <w:topLinePunct w:val="0"/>
        <w:autoSpaceDE/>
        <w:autoSpaceDN/>
        <w:bidi w:val="0"/>
        <w:adjustRightInd w:val="0"/>
        <w:snapToGrid w:val="0"/>
        <w:spacing w:line="594" w:lineRule="exact"/>
        <w:ind w:right="0" w:firstLine="640" w:firstLineChars="200"/>
        <w:jc w:val="both"/>
        <w:textAlignment w:val="auto"/>
        <w:rPr>
          <w:rFonts w:hint="default" w:ascii="Times New Roman" w:hAnsi="Times New Roman" w:eastAsia="黑体" w:cs="Times New Roman"/>
          <w:spacing w:val="0"/>
          <w:sz w:val="32"/>
          <w:szCs w:val="32"/>
          <w:lang w:val="en-US" w:eastAsia="zh-CN"/>
        </w:rPr>
      </w:pPr>
      <w:r>
        <w:rPr>
          <w:rFonts w:hint="default" w:ascii="Times New Roman" w:hAnsi="Times New Roman" w:eastAsia="黑体" w:cs="Times New Roman"/>
          <w:sz w:val="32"/>
          <w:szCs w:val="32"/>
          <w:lang w:val="en-US" w:eastAsia="zh-CN"/>
        </w:rPr>
        <w:t>九、</w:t>
      </w:r>
      <w:r>
        <w:rPr>
          <w:rFonts w:hint="default" w:ascii="Times New Roman" w:hAnsi="Times New Roman" w:eastAsia="黑体" w:cs="Times New Roman"/>
          <w:spacing w:val="0"/>
          <w:sz w:val="32"/>
          <w:szCs w:val="32"/>
          <w:lang w:val="en-US" w:eastAsia="zh-CN"/>
        </w:rPr>
        <w:t>二氧化硫残留量</w:t>
      </w:r>
    </w:p>
    <w:p w14:paraId="3FED395B">
      <w:pPr>
        <w:keepNext w:val="0"/>
        <w:keepLines w:val="0"/>
        <w:pageBreakBefore w:val="0"/>
        <w:widowControl w:val="0"/>
        <w:kinsoku/>
        <w:wordWrap/>
        <w:overflowPunct/>
        <w:topLinePunct w:val="0"/>
        <w:autoSpaceDE/>
        <w:autoSpaceDN/>
        <w:bidi w:val="0"/>
        <w:adjustRightInd w:val="0"/>
        <w:snapToGrid w:val="0"/>
        <w:spacing w:line="594" w:lineRule="exact"/>
        <w:ind w:right="0" w:firstLine="640" w:firstLineChars="200"/>
        <w:jc w:val="both"/>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color w:val="auto"/>
          <w:sz w:val="32"/>
          <w:szCs w:val="32"/>
          <w:lang w:val="en-US" w:eastAsia="zh-CN"/>
        </w:rPr>
        <w:t>二氧化硫是食品加工中常用的漂白剂和防腐剂，具有漂白、防腐和抗氧化作用。少量二氧化硫进入人体不会对身体造成健康危害，但过量食用会引起如恶心、呕吐等胃肠道反应。《食品安全国家标准 食品添加剂使用标准》（GB 2760</w:t>
      </w:r>
      <w:r>
        <w:rPr>
          <w:rFonts w:hint="eastAsia" w:ascii="仿宋_GB2312" w:hAnsi="仿宋_GB2312" w:eastAsia="仿宋_GB2312" w:cs="仿宋_GB2312"/>
          <w:color w:val="auto"/>
          <w:sz w:val="32"/>
          <w:szCs w:val="32"/>
          <w:lang w:val="en-US" w:eastAsia="zh-CN"/>
        </w:rPr>
        <w:t>—</w:t>
      </w:r>
      <w:r>
        <w:rPr>
          <w:rFonts w:hint="default" w:ascii="Times New Roman" w:hAnsi="Times New Roman" w:eastAsia="仿宋_GB2312" w:cs="Times New Roman"/>
          <w:color w:val="auto"/>
          <w:sz w:val="32"/>
          <w:szCs w:val="32"/>
          <w:lang w:val="en-US" w:eastAsia="zh-CN"/>
        </w:rPr>
        <w:t>20</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val="en-US" w:eastAsia="zh-CN"/>
        </w:rPr>
        <w:t>4）中规定，香辛料及粉（八角除外）中不得使用二氧化硫</w:t>
      </w:r>
      <w:r>
        <w:rPr>
          <w:rFonts w:hint="eastAsia"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spacing w:val="0"/>
          <w:sz w:val="32"/>
          <w:szCs w:val="32"/>
          <w:highlight w:val="none"/>
          <w:lang w:val="en-US" w:eastAsia="zh-CN"/>
        </w:rPr>
        <w:t>腌渍的蔬菜中二氧化硫（以二氧化硫残留量计）最大使用量为0.1g/kg，</w:t>
      </w:r>
      <w:r>
        <w:rPr>
          <w:rFonts w:hint="eastAsia" w:ascii="Times New Roman" w:hAnsi="Times New Roman" w:eastAsia="仿宋_GB2312" w:cs="Times New Roman"/>
          <w:color w:val="auto"/>
          <w:sz w:val="32"/>
          <w:szCs w:val="32"/>
          <w:lang w:val="en-US" w:eastAsia="zh-CN"/>
        </w:rPr>
        <w:t>八角中二氧化硫（以二氧化硫残留量计）最大使用量为0.15g/kg</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香辛料及粉、</w:t>
      </w:r>
      <w:r>
        <w:rPr>
          <w:rFonts w:hint="eastAsia" w:ascii="Times New Roman" w:hAnsi="Times New Roman" w:eastAsia="仿宋_GB2312" w:cs="Times New Roman"/>
          <w:spacing w:val="0"/>
          <w:sz w:val="32"/>
          <w:szCs w:val="32"/>
          <w:highlight w:val="none"/>
          <w:lang w:val="en-US" w:eastAsia="zh-CN"/>
        </w:rPr>
        <w:t>腌渍的蔬菜中二氧化硫残留量超标的原因</w:t>
      </w:r>
      <w:r>
        <w:rPr>
          <w:rFonts w:hint="default" w:ascii="Times New Roman" w:hAnsi="Times New Roman" w:eastAsia="仿宋_GB2312" w:cs="Times New Roman"/>
          <w:color w:val="auto"/>
          <w:sz w:val="32"/>
          <w:szCs w:val="32"/>
          <w:lang w:val="en-US" w:eastAsia="zh-CN"/>
        </w:rPr>
        <w:t>，可能是生产企业为提高产品色泽而超范围</w:t>
      </w:r>
      <w:r>
        <w:rPr>
          <w:rFonts w:hint="eastAsia" w:ascii="Times New Roman" w:hAnsi="Times New Roman" w:eastAsia="仿宋_GB2312" w:cs="Times New Roman"/>
          <w:color w:val="auto"/>
          <w:sz w:val="32"/>
          <w:szCs w:val="32"/>
          <w:lang w:val="en-US" w:eastAsia="zh-CN"/>
        </w:rPr>
        <w:t>超限量</w:t>
      </w:r>
      <w:r>
        <w:rPr>
          <w:rFonts w:hint="default" w:ascii="Times New Roman" w:hAnsi="Times New Roman" w:eastAsia="仿宋_GB2312" w:cs="Times New Roman"/>
          <w:color w:val="auto"/>
          <w:sz w:val="32"/>
          <w:szCs w:val="32"/>
          <w:lang w:val="en-US" w:eastAsia="zh-CN"/>
        </w:rPr>
        <w:t>使用二氧化硫</w:t>
      </w:r>
      <w:r>
        <w:rPr>
          <w:rFonts w:hint="eastAsia" w:ascii="Times New Roman" w:hAnsi="Times New Roman" w:eastAsia="仿宋_GB2312" w:cs="Times New Roman"/>
          <w:color w:val="auto"/>
          <w:sz w:val="32"/>
          <w:szCs w:val="32"/>
          <w:lang w:val="en-US" w:eastAsia="zh-CN"/>
        </w:rPr>
        <w:t>；也可能是使用时不计量或计量不准确；还可能是由于使用硫磺熏蒸漂白传统工艺或直接使用亚硫酸盐浸泡保鲜所造成</w:t>
      </w:r>
      <w:r>
        <w:rPr>
          <w:rFonts w:hint="default" w:ascii="Times New Roman" w:hAnsi="Times New Roman" w:eastAsia="仿宋_GB2312" w:cs="Times New Roman"/>
          <w:kern w:val="2"/>
          <w:sz w:val="32"/>
          <w:szCs w:val="32"/>
          <w:highlight w:val="none"/>
          <w:lang w:val="en-US" w:eastAsia="zh-CN" w:bidi="ar-SA"/>
        </w:rPr>
        <w:t>。</w:t>
      </w:r>
    </w:p>
    <w:p w14:paraId="021A39D5">
      <w:pPr>
        <w:keepNext w:val="0"/>
        <w:keepLines w:val="0"/>
        <w:pageBreakBefore w:val="0"/>
        <w:widowControl w:val="0"/>
        <w:kinsoku/>
        <w:wordWrap/>
        <w:overflowPunct/>
        <w:topLinePunct w:val="0"/>
        <w:autoSpaceDE/>
        <w:autoSpaceDN/>
        <w:bidi w:val="0"/>
        <w:adjustRightInd/>
        <w:snapToGrid/>
        <w:spacing w:line="594" w:lineRule="exact"/>
        <w:ind w:firstLine="592" w:firstLineChars="200"/>
        <w:textAlignment w:val="auto"/>
        <w:rPr>
          <w:rFonts w:hint="eastAsia" w:eastAsia="黑体"/>
          <w:sz w:val="32"/>
          <w:szCs w:val="32"/>
          <w:highlight w:val="none"/>
        </w:rPr>
      </w:pPr>
      <w:r>
        <w:rPr>
          <w:rFonts w:hint="eastAsia" w:ascii="Times New Roman" w:hAnsi="Times New Roman" w:eastAsia="黑体" w:cs="Times New Roman"/>
          <w:color w:val="auto"/>
          <w:spacing w:val="-12"/>
          <w:sz w:val="32"/>
          <w:szCs w:val="32"/>
          <w:lang w:val="en-US" w:eastAsia="zh-CN"/>
        </w:rPr>
        <w:t>十、</w:t>
      </w:r>
      <w:r>
        <w:rPr>
          <w:rFonts w:hint="eastAsia" w:eastAsia="黑体"/>
          <w:sz w:val="32"/>
          <w:szCs w:val="32"/>
          <w:highlight w:val="none"/>
        </w:rPr>
        <w:t>相同色泽着色剂混合使用时各自用量占其最大使用量的比例之和</w:t>
      </w:r>
    </w:p>
    <w:p w14:paraId="0D329D92">
      <w:pPr>
        <w:pStyle w:val="9"/>
        <w:autoSpaceDE/>
        <w:adjustRightInd w:val="0"/>
        <w:spacing w:after="0" w:line="594" w:lineRule="exact"/>
        <w:ind w:firstLine="640" w:firstLineChars="200"/>
        <w:rPr>
          <w:rFonts w:hint="default" w:ascii="Times New Roman" w:hAnsi="Times New Roman" w:eastAsia="仿宋_GB2312" w:cs="Times New Roman"/>
          <w:color w:val="auto"/>
          <w:spacing w:val="-12"/>
          <w:sz w:val="32"/>
          <w:szCs w:val="32"/>
          <w:highlight w:val="none"/>
          <w:lang w:val="en-US" w:eastAsia="zh-CN"/>
        </w:rPr>
      </w:pPr>
      <w:r>
        <w:rPr>
          <w:rFonts w:ascii="Times New Roman" w:hAnsi="Times New Roman" w:eastAsia="仿宋_GB2312" w:cs="Times New Roman"/>
          <w:bCs/>
          <w:kern w:val="2"/>
          <w:sz w:val="32"/>
          <w:szCs w:val="32"/>
          <w:lang w:val="en-US" w:eastAsia="zh-CN" w:bidi="ar-SA"/>
        </w:rPr>
        <w:t>着色剂也称食品色素，是赋予和改善食品色泽的物质。</w:t>
      </w:r>
      <w:r>
        <w:rPr>
          <w:rFonts w:hint="eastAsia" w:ascii="Times New Roman" w:hAnsi="Times New Roman" w:eastAsia="仿宋_GB2312" w:cs="Times New Roman"/>
          <w:bCs/>
          <w:sz w:val="32"/>
          <w:szCs w:val="32"/>
        </w:rPr>
        <w:t>长期食用</w:t>
      </w:r>
      <w:r>
        <w:rPr>
          <w:rFonts w:hint="eastAsia" w:ascii="Times New Roman" w:hAnsi="Times New Roman" w:eastAsia="仿宋_GB2312" w:cs="Times New Roman"/>
          <w:bCs/>
          <w:sz w:val="32"/>
          <w:szCs w:val="32"/>
          <w:lang w:eastAsia="zh-CN"/>
        </w:rPr>
        <w:t>着色剂</w:t>
      </w:r>
      <w:r>
        <w:rPr>
          <w:rFonts w:hint="eastAsia" w:ascii="Times New Roman" w:hAnsi="Times New Roman" w:eastAsia="仿宋_GB2312" w:cs="Times New Roman"/>
          <w:bCs/>
          <w:sz w:val="32"/>
          <w:szCs w:val="32"/>
        </w:rPr>
        <w:t>超标的食品，可能危害人体健康</w:t>
      </w:r>
      <w:r>
        <w:rPr>
          <w:rFonts w:ascii="Times New Roman" w:hAnsi="Times New Roman" w:eastAsia="仿宋_GB2312" w:cs="Times New Roman"/>
          <w:bCs/>
          <w:sz w:val="32"/>
          <w:szCs w:val="32"/>
        </w:rPr>
        <w:t>。</w:t>
      </w:r>
      <w:r>
        <w:rPr>
          <w:rFonts w:hint="default" w:ascii="Times New Roman" w:hAnsi="Times New Roman" w:eastAsia="仿宋_GB2312" w:cs="Times New Roman"/>
          <w:color w:val="000000"/>
          <w:kern w:val="0"/>
          <w:sz w:val="32"/>
          <w:szCs w:val="32"/>
          <w:highlight w:val="none"/>
        </w:rPr>
        <w:t>《食品安全国家标准 食品添加剂使用标准》（GB 2760</w:t>
      </w:r>
      <w:r>
        <w:rPr>
          <w:rFonts w:hint="eastAsia" w:ascii="Times New Roman" w:hAnsi="Times New Roman" w:eastAsia="仿宋_GB2312" w:cs="仿宋_GB2312"/>
          <w:color w:val="000000"/>
          <w:kern w:val="0"/>
          <w:sz w:val="32"/>
          <w:szCs w:val="32"/>
          <w:highlight w:val="none"/>
        </w:rPr>
        <w:t>—</w:t>
      </w:r>
      <w:r>
        <w:rPr>
          <w:rFonts w:hint="default" w:ascii="Times New Roman" w:hAnsi="Times New Roman" w:eastAsia="仿宋_GB2312" w:cs="Times New Roman"/>
          <w:color w:val="000000"/>
          <w:kern w:val="0"/>
          <w:sz w:val="32"/>
          <w:szCs w:val="32"/>
          <w:highlight w:val="none"/>
        </w:rPr>
        <w:t>20</w:t>
      </w:r>
      <w:r>
        <w:rPr>
          <w:rFonts w:hint="default" w:ascii="Times New Roman" w:hAnsi="Times New Roman" w:eastAsia="仿宋_GB2312" w:cs="Times New Roman"/>
          <w:color w:val="000000"/>
          <w:kern w:val="0"/>
          <w:sz w:val="32"/>
          <w:szCs w:val="32"/>
          <w:highlight w:val="none"/>
          <w:lang w:val="en-US" w:eastAsia="zh-CN"/>
        </w:rPr>
        <w:t>2</w:t>
      </w:r>
      <w:r>
        <w:rPr>
          <w:rFonts w:hint="default" w:ascii="Times New Roman" w:hAnsi="Times New Roman" w:eastAsia="仿宋_GB2312" w:cs="Times New Roman"/>
          <w:color w:val="000000"/>
          <w:kern w:val="0"/>
          <w:sz w:val="32"/>
          <w:szCs w:val="32"/>
          <w:highlight w:val="none"/>
        </w:rPr>
        <w:t>4）中规定，相同色泽着色剂各自用量占其最大使用量的比例之和不应超过1。</w:t>
      </w:r>
      <w:r>
        <w:rPr>
          <w:rFonts w:hint="eastAsia" w:ascii="Times New Roman" w:hAnsi="Times New Roman" w:eastAsia="仿宋_GB2312" w:cs="Times New Roman"/>
          <w:kern w:val="2"/>
          <w:sz w:val="32"/>
          <w:szCs w:val="32"/>
          <w:lang w:val="en-US" w:eastAsia="zh-CN" w:bidi="ar-SA"/>
        </w:rPr>
        <w:t>其他液体调味料</w:t>
      </w:r>
      <w:r>
        <w:rPr>
          <w:rFonts w:hint="default" w:ascii="Times New Roman" w:hAnsi="Times New Roman" w:eastAsia="仿宋_GB2312" w:cs="Times New Roman"/>
          <w:kern w:val="2"/>
          <w:sz w:val="32"/>
          <w:szCs w:val="32"/>
          <w:lang w:val="en-US" w:eastAsia="zh-CN" w:bidi="ar-SA"/>
        </w:rPr>
        <w:t>中相同色泽着色剂混合使用时各自用量占其最大使用量的比例之和</w:t>
      </w:r>
      <w:r>
        <w:rPr>
          <w:rFonts w:hint="eastAsia" w:ascii="Times New Roman" w:hAnsi="Times New Roman" w:eastAsia="仿宋_GB2312" w:cs="Times New Roman"/>
          <w:kern w:val="2"/>
          <w:sz w:val="32"/>
          <w:szCs w:val="32"/>
          <w:lang w:val="en-US" w:eastAsia="zh-CN" w:bidi="ar-SA"/>
        </w:rPr>
        <w:t>超标</w:t>
      </w:r>
      <w:r>
        <w:rPr>
          <w:rFonts w:hint="default" w:ascii="Times New Roman" w:hAnsi="Times New Roman" w:eastAsia="仿宋_GB2312" w:cs="Times New Roman"/>
          <w:kern w:val="2"/>
          <w:sz w:val="32"/>
          <w:szCs w:val="32"/>
          <w:lang w:val="en-US" w:eastAsia="zh-CN" w:bidi="ar-SA"/>
        </w:rPr>
        <w:t>的原因</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可能是生产企业</w:t>
      </w:r>
      <w:r>
        <w:rPr>
          <w:rFonts w:hint="eastAsia" w:ascii="Times New Roman" w:hAnsi="Times New Roman" w:eastAsia="仿宋_GB2312"/>
          <w:color w:val="000000"/>
          <w:kern w:val="0"/>
          <w:sz w:val="32"/>
          <w:szCs w:val="32"/>
          <w:highlight w:val="none"/>
        </w:rPr>
        <w:t>在加工配料环节未能严格控制</w:t>
      </w:r>
      <w:r>
        <w:rPr>
          <w:rFonts w:hint="default" w:ascii="Times New Roman" w:hAnsi="Times New Roman" w:eastAsia="仿宋_GB2312" w:cs="Times New Roman"/>
          <w:color w:val="000000"/>
          <w:kern w:val="0"/>
          <w:sz w:val="32"/>
          <w:szCs w:val="32"/>
          <w:highlight w:val="none"/>
          <w:lang w:val="en-US" w:eastAsia="zh-CN"/>
        </w:rPr>
        <w:t>着色剂</w:t>
      </w:r>
      <w:r>
        <w:rPr>
          <w:rFonts w:hint="eastAsia" w:ascii="Times New Roman" w:hAnsi="Times New Roman" w:eastAsia="仿宋_GB2312"/>
          <w:color w:val="000000"/>
          <w:kern w:val="0"/>
          <w:sz w:val="32"/>
          <w:szCs w:val="32"/>
          <w:highlight w:val="none"/>
        </w:rPr>
        <w:t>的添加量</w:t>
      </w:r>
      <w:r>
        <w:rPr>
          <w:rFonts w:hint="eastAsia" w:ascii="Times New Roman" w:hAnsi="Times New Roman" w:eastAsia="仿宋_GB2312"/>
          <w:color w:val="000000"/>
          <w:kern w:val="0"/>
          <w:sz w:val="32"/>
          <w:szCs w:val="32"/>
          <w:highlight w:val="none"/>
          <w:lang w:eastAsia="zh-CN"/>
        </w:rPr>
        <w:t>；</w:t>
      </w:r>
      <w:r>
        <w:rPr>
          <w:rFonts w:hint="eastAsia" w:ascii="Times New Roman" w:hAnsi="Times New Roman" w:eastAsia="仿宋_GB2312" w:cs="Times New Roman"/>
          <w:kern w:val="2"/>
          <w:sz w:val="32"/>
          <w:szCs w:val="32"/>
          <w:lang w:val="en-US" w:eastAsia="zh-CN" w:bidi="ar-SA"/>
        </w:rPr>
        <w:t>也可能是</w:t>
      </w:r>
      <w:r>
        <w:rPr>
          <w:rFonts w:hint="default" w:ascii="Times New Roman" w:hAnsi="Times New Roman" w:eastAsia="仿宋_GB2312" w:cs="Times New Roman"/>
          <w:kern w:val="2"/>
          <w:sz w:val="32"/>
          <w:szCs w:val="32"/>
          <w:lang w:val="en-US" w:eastAsia="zh-CN" w:bidi="ar-SA"/>
        </w:rPr>
        <w:t>生产企业对</w:t>
      </w:r>
      <w:r>
        <w:rPr>
          <w:rFonts w:hint="default" w:ascii="Times New Roman" w:hAnsi="Times New Roman" w:eastAsia="仿宋_GB2312" w:cs="Times New Roman"/>
          <w:color w:val="000000"/>
          <w:kern w:val="0"/>
          <w:sz w:val="32"/>
          <w:szCs w:val="32"/>
          <w:highlight w:val="none"/>
          <w:lang w:val="en-US" w:eastAsia="zh-CN"/>
        </w:rPr>
        <w:t>着色剂</w:t>
      </w:r>
      <w:r>
        <w:rPr>
          <w:rFonts w:hint="default" w:ascii="Times New Roman" w:hAnsi="Times New Roman" w:eastAsia="仿宋_GB2312" w:cs="Times New Roman"/>
          <w:kern w:val="2"/>
          <w:sz w:val="32"/>
          <w:szCs w:val="32"/>
          <w:lang w:val="en-US" w:eastAsia="zh-CN" w:bidi="ar-SA"/>
        </w:rPr>
        <w:t>的使用标准不了解。</w:t>
      </w:r>
    </w:p>
    <w:p w14:paraId="7A93C343">
      <w:pPr>
        <w:keepNext w:val="0"/>
        <w:keepLines w:val="0"/>
        <w:pageBreakBefore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黑体" w:cs="Times New Roman"/>
          <w:spacing w:val="-12"/>
          <w:sz w:val="32"/>
          <w:szCs w:val="32"/>
          <w:highlight w:val="none"/>
          <w:lang w:val="en-US" w:eastAsia="zh-CN"/>
        </w:rPr>
      </w:pPr>
      <w:r>
        <w:rPr>
          <w:rFonts w:hint="eastAsia" w:ascii="Times New Roman" w:hAnsi="Times New Roman" w:eastAsia="黑体" w:cs="Times New Roman"/>
          <w:color w:val="000000"/>
          <w:sz w:val="32"/>
          <w:szCs w:val="32"/>
          <w:highlight w:val="none"/>
          <w:lang w:val="en-US" w:eastAsia="zh-CN"/>
        </w:rPr>
        <w:t>十一、</w:t>
      </w:r>
      <w:r>
        <w:rPr>
          <w:rFonts w:hint="default" w:ascii="Times New Roman" w:hAnsi="Times New Roman" w:eastAsia="黑体" w:cs="Times New Roman"/>
          <w:spacing w:val="-12"/>
          <w:sz w:val="32"/>
          <w:szCs w:val="32"/>
          <w:highlight w:val="none"/>
          <w:lang w:val="en-US" w:eastAsia="zh-CN"/>
        </w:rPr>
        <w:t>苯甲酸及其钠盐（以苯甲酸计）</w:t>
      </w:r>
    </w:p>
    <w:p w14:paraId="70DF326B">
      <w:pPr>
        <w:spacing w:line="594" w:lineRule="exact"/>
        <w:ind w:firstLine="640" w:firstLineChars="200"/>
        <w:rPr>
          <w:rFonts w:hint="default" w:ascii="Times New Roman" w:hAnsi="Times New Roman" w:eastAsia="仿宋_GB2312" w:cs="Times New Roman"/>
          <w:color w:val="auto"/>
          <w:spacing w:val="-12"/>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苯甲酸又称安息香酸，在酸性条件下对多种微生物有明显的杀菌、抑菌作用，是很常用的食品防腐剂。如果人体长期大量摄入苯甲酸及其钠盐残留超标的食品，可能会造成肝脏积累性中毒，危害肝脏健康。《食品安全国家标准 食品添加剂使用标准》（GB 2760</w:t>
      </w:r>
      <w:r>
        <w:rPr>
          <w:rFonts w:hint="eastAsia" w:ascii="仿宋_GB2312" w:hAnsi="仿宋_GB2312" w:eastAsia="仿宋_GB2312" w:cs="仿宋_GB2312"/>
          <w:b w:val="0"/>
          <w:bCs w:val="0"/>
          <w:color w:val="000000"/>
          <w:sz w:val="32"/>
          <w:szCs w:val="32"/>
          <w:highlight w:val="none"/>
          <w:lang w:val="en-US" w:eastAsia="zh-CN"/>
        </w:rPr>
        <w:t>—</w:t>
      </w:r>
      <w:r>
        <w:rPr>
          <w:rFonts w:hint="default" w:ascii="Times New Roman" w:hAnsi="Times New Roman" w:eastAsia="仿宋_GB2312" w:cs="Times New Roman"/>
          <w:b w:val="0"/>
          <w:bCs w:val="0"/>
          <w:color w:val="000000"/>
          <w:sz w:val="32"/>
          <w:szCs w:val="32"/>
          <w:highlight w:val="none"/>
          <w:lang w:val="en-US" w:eastAsia="zh-CN"/>
        </w:rPr>
        <w:t>2024）中规定，碳酸饮料中苯甲酸及其钠盐（以苯甲酸计）的最大使用量为0.2g/kg</w:t>
      </w:r>
      <w:r>
        <w:rPr>
          <w:rFonts w:hint="eastAsia" w:ascii="Times New Roman" w:hAnsi="Times New Roman" w:eastAsia="仿宋_GB2312" w:cs="Times New Roman"/>
          <w:b w:val="0"/>
          <w:bCs w:val="0"/>
          <w:color w:val="000000"/>
          <w:sz w:val="32"/>
          <w:szCs w:val="32"/>
          <w:highlight w:val="none"/>
          <w:lang w:val="en-US" w:eastAsia="zh-CN"/>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腌渍的蔬菜中苯甲酸及其钠盐（以苯甲酸计）最大使用量为1.0g/kg</w:t>
      </w:r>
      <w:r>
        <w:rPr>
          <w:rFonts w:hint="default" w:ascii="Times New Roman" w:hAnsi="Times New Roman" w:eastAsia="仿宋_GB2312" w:cs="Times New Roman"/>
          <w:b w:val="0"/>
          <w:bCs w:val="0"/>
          <w:color w:val="000000"/>
          <w:sz w:val="32"/>
          <w:szCs w:val="32"/>
          <w:highlight w:val="none"/>
          <w:lang w:val="en-US" w:eastAsia="zh-CN"/>
        </w:rPr>
        <w:t>。碳酸饮料</w:t>
      </w:r>
      <w:r>
        <w:rPr>
          <w:rFonts w:hint="eastAsia" w:ascii="Times New Roman" w:hAnsi="Times New Roman" w:eastAsia="仿宋_GB2312" w:cs="Times New Roman"/>
          <w:b w:val="0"/>
          <w:bCs w:val="0"/>
          <w:color w:val="000000"/>
          <w:sz w:val="32"/>
          <w:szCs w:val="32"/>
          <w:highlight w:val="none"/>
          <w:lang w:val="en-US" w:eastAsia="zh-CN"/>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腌渍的蔬菜</w:t>
      </w:r>
      <w:r>
        <w:rPr>
          <w:rFonts w:hint="default" w:ascii="Times New Roman" w:hAnsi="Times New Roman" w:eastAsia="仿宋_GB2312" w:cs="Times New Roman"/>
          <w:b w:val="0"/>
          <w:bCs w:val="0"/>
          <w:color w:val="000000"/>
          <w:sz w:val="32"/>
          <w:szCs w:val="32"/>
          <w:highlight w:val="none"/>
          <w:lang w:val="en-US" w:eastAsia="zh-CN"/>
        </w:rPr>
        <w:t>中苯甲酸及其钠盐</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（以苯甲酸计）检验值</w:t>
      </w:r>
      <w:r>
        <w:rPr>
          <w:rFonts w:hint="default" w:ascii="Times New Roman" w:hAnsi="Times New Roman" w:eastAsia="仿宋_GB2312" w:cs="Times New Roman"/>
          <w:b w:val="0"/>
          <w:bCs w:val="0"/>
          <w:color w:val="000000"/>
          <w:sz w:val="32"/>
          <w:szCs w:val="32"/>
          <w:highlight w:val="none"/>
          <w:lang w:val="en-US" w:eastAsia="zh-CN"/>
        </w:rPr>
        <w:t>超标的原因，可能是生产企业为延长产品保质期或弥补产品生产过程卫生条件不佳而超限量使用</w:t>
      </w:r>
      <w:r>
        <w:rPr>
          <w:rFonts w:hint="eastAsia" w:ascii="Times New Roman" w:hAnsi="Times New Roman" w:eastAsia="仿宋_GB2312" w:cs="Times New Roman"/>
          <w:b w:val="0"/>
          <w:bCs w:val="0"/>
          <w:color w:val="000000"/>
          <w:sz w:val="32"/>
          <w:szCs w:val="32"/>
          <w:highlight w:val="none"/>
          <w:lang w:val="en-US" w:eastAsia="zh-CN"/>
        </w:rPr>
        <w:t>；</w:t>
      </w:r>
      <w:r>
        <w:rPr>
          <w:rFonts w:hint="default" w:ascii="Times New Roman" w:hAnsi="Times New Roman" w:eastAsia="仿宋_GB2312" w:cs="Times New Roman"/>
          <w:b w:val="0"/>
          <w:bCs w:val="0"/>
          <w:color w:val="000000"/>
          <w:sz w:val="32"/>
          <w:szCs w:val="32"/>
          <w:highlight w:val="none"/>
          <w:lang w:val="en-US" w:eastAsia="zh-CN"/>
        </w:rPr>
        <w:t>也可能是使用时未准确计量。</w:t>
      </w:r>
    </w:p>
    <w:p w14:paraId="6464AC96">
      <w:pPr>
        <w:keepNext w:val="0"/>
        <w:keepLines w:val="0"/>
        <w:pageBreakBefore w:val="0"/>
        <w:widowControl w:val="0"/>
        <w:kinsoku/>
        <w:wordWrap/>
        <w:overflowPunct/>
        <w:topLinePunct w:val="0"/>
        <w:autoSpaceDE w:val="0"/>
        <w:autoSpaceDN w:val="0"/>
        <w:bidi w:val="0"/>
        <w:adjustRightInd w:val="0"/>
        <w:snapToGrid/>
        <w:spacing w:line="594" w:lineRule="exact"/>
        <w:ind w:firstLine="640" w:firstLineChars="200"/>
        <w:jc w:val="both"/>
        <w:textAlignment w:val="auto"/>
        <w:rPr>
          <w:rFonts w:hint="default" w:ascii="Times New Roman" w:hAnsi="Times New Roman" w:eastAsia="黑体" w:cs="Times New Roman"/>
          <w:color w:val="auto"/>
          <w:spacing w:val="0"/>
          <w:sz w:val="32"/>
          <w:szCs w:val="32"/>
          <w:highlight w:val="none"/>
          <w:lang w:val="en-US" w:eastAsia="zh-CN"/>
        </w:rPr>
      </w:pPr>
      <w:r>
        <w:rPr>
          <w:rFonts w:hint="eastAsia" w:ascii="Times New Roman" w:hAnsi="Times New Roman" w:eastAsia="黑体" w:cs="Times New Roman"/>
          <w:color w:val="auto"/>
          <w:sz w:val="32"/>
          <w:szCs w:val="32"/>
          <w:highlight w:val="none"/>
          <w:lang w:val="en-US" w:eastAsia="zh-CN"/>
        </w:rPr>
        <w:t>十二、</w:t>
      </w:r>
      <w:r>
        <w:rPr>
          <w:rFonts w:hint="eastAsia" w:ascii="Times New Roman" w:hAnsi="Times New Roman" w:eastAsia="黑体" w:cs="Times New Roman"/>
          <w:color w:val="auto"/>
          <w:spacing w:val="0"/>
          <w:sz w:val="32"/>
          <w:szCs w:val="32"/>
          <w:highlight w:val="none"/>
          <w:lang w:val="en-US" w:eastAsia="zh-CN"/>
        </w:rPr>
        <w:t>防腐剂混合使用时各自用量占其最大使用量的比例之和</w:t>
      </w:r>
    </w:p>
    <w:p w14:paraId="62C68347">
      <w:pPr>
        <w:pStyle w:val="13"/>
        <w:widowControl w:val="0"/>
        <w:autoSpaceDE w:val="0"/>
        <w:autoSpaceDN w:val="0"/>
        <w:adjustRightInd w:val="0"/>
        <w:snapToGrid/>
        <w:spacing w:line="594" w:lineRule="exact"/>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pacing w:val="0"/>
          <w:sz w:val="32"/>
          <w:szCs w:val="32"/>
          <w:highlight w:val="none"/>
        </w:rPr>
        <w:t>防腐剂是常见的食品添加剂，用于延缓或抑制由微生物引起的食品腐败变质。长期食用防腐剂超标的食品会对人体健康造成损害。</w:t>
      </w:r>
      <w:r>
        <w:rPr>
          <w:rFonts w:hint="eastAsia" w:ascii="Times New Roman" w:hAnsi="Times New Roman" w:eastAsia="仿宋_GB2312" w:cs="Times New Roman"/>
          <w:sz w:val="32"/>
          <w:szCs w:val="32"/>
          <w:highlight w:val="none"/>
          <w:shd w:val="clear" w:color="auto" w:fill="FFFFFF"/>
          <w:lang w:val="en-US" w:eastAsia="zh-CN"/>
        </w:rPr>
        <w:t>《食品安全国家标准 食品添加剂使用标准》（GB 2760—2024）</w:t>
      </w:r>
      <w:r>
        <w:rPr>
          <w:rFonts w:hint="eastAsia" w:ascii="Times New Roman" w:hAnsi="Times New Roman" w:eastAsia="仿宋_GB2312" w:cs="Times New Roman"/>
          <w:spacing w:val="0"/>
          <w:sz w:val="32"/>
          <w:szCs w:val="32"/>
          <w:highlight w:val="none"/>
          <w:lang w:val="en-US" w:eastAsia="zh-CN"/>
        </w:rPr>
        <w:t>中规定</w:t>
      </w:r>
      <w:r>
        <w:rPr>
          <w:rFonts w:hint="default" w:ascii="Times New Roman" w:hAnsi="Times New Roman" w:eastAsia="仿宋_GB2312" w:cs="Times New Roman"/>
          <w:spacing w:val="0"/>
          <w:sz w:val="32"/>
          <w:szCs w:val="32"/>
          <w:highlight w:val="none"/>
        </w:rPr>
        <w:t>，防腐剂在混合使用时各自用量占其最大使用量的比例之和不应超过1。</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腌渍的蔬菜</w:t>
      </w:r>
      <w:r>
        <w:rPr>
          <w:rFonts w:hint="default" w:ascii="Times New Roman" w:hAnsi="Times New Roman" w:eastAsia="仿宋_GB2312" w:cs="Times New Roman"/>
          <w:spacing w:val="0"/>
          <w:sz w:val="32"/>
          <w:szCs w:val="32"/>
          <w:highlight w:val="none"/>
        </w:rPr>
        <w:t>中防腐剂混合使用时各自用量占其最大使用量的比例之和</w:t>
      </w:r>
      <w:r>
        <w:rPr>
          <w:rFonts w:hint="eastAsia" w:ascii="Times New Roman" w:hAnsi="Times New Roman" w:eastAsia="仿宋_GB2312" w:cs="Times New Roman"/>
          <w:spacing w:val="0"/>
          <w:sz w:val="32"/>
          <w:szCs w:val="32"/>
          <w:highlight w:val="none"/>
          <w:lang w:val="en-US" w:eastAsia="zh-CN"/>
        </w:rPr>
        <w:t>超标</w:t>
      </w:r>
      <w:r>
        <w:rPr>
          <w:rFonts w:hint="default" w:ascii="Times New Roman" w:hAnsi="Times New Roman" w:eastAsia="仿宋_GB2312" w:cs="Times New Roman"/>
          <w:spacing w:val="0"/>
          <w:sz w:val="32"/>
          <w:szCs w:val="32"/>
          <w:highlight w:val="none"/>
        </w:rPr>
        <w:t>的原因，可能是生产企业在生产加工过程中未严格控制各防腐剂的用量。</w:t>
      </w:r>
    </w:p>
    <w:p w14:paraId="1908AB42">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right="0" w:rightChars="0" w:firstLine="640" w:firstLineChars="200"/>
        <w:jc w:val="both"/>
        <w:textAlignment w:val="auto"/>
        <w:rPr>
          <w:rFonts w:hint="eastAsia" w:ascii="黑体" w:hAnsi="黑体" w:eastAsia="黑体" w:cs="黑体"/>
          <w:color w:val="000000"/>
          <w:sz w:val="32"/>
          <w:szCs w:val="32"/>
          <w:highlight w:val="none"/>
          <w:lang w:eastAsia="zh-CN"/>
        </w:rPr>
      </w:pPr>
      <w:r>
        <w:rPr>
          <w:rFonts w:hint="eastAsia" w:ascii="黑体" w:hAnsi="黑体" w:eastAsia="黑体" w:cs="黑体"/>
          <w:color w:val="auto"/>
          <w:sz w:val="32"/>
          <w:szCs w:val="32"/>
          <w:highlight w:val="none"/>
          <w:lang w:val="en-US" w:eastAsia="zh-CN"/>
        </w:rPr>
        <w:t>十三、</w:t>
      </w:r>
      <w:r>
        <w:rPr>
          <w:rFonts w:hint="eastAsia" w:ascii="黑体" w:hAnsi="黑体" w:eastAsia="黑体" w:cs="黑体"/>
          <w:color w:val="000000"/>
          <w:sz w:val="32"/>
          <w:szCs w:val="32"/>
          <w:highlight w:val="none"/>
          <w:lang w:eastAsia="zh-CN"/>
        </w:rPr>
        <w:t>大肠菌群</w:t>
      </w:r>
    </w:p>
    <w:p w14:paraId="31B7F724">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eastAsia="黑体" w:cs="Times New Roman"/>
          <w:color w:val="auto"/>
          <w:spacing w:val="-12"/>
          <w:sz w:val="32"/>
          <w:szCs w:val="32"/>
          <w:highlight w:val="none"/>
          <w:lang w:val="en-US" w:eastAsia="zh-CN"/>
        </w:rPr>
      </w:pPr>
      <w:r>
        <w:rPr>
          <w:rFonts w:hint="default" w:ascii="Times New Roman" w:hAnsi="Times New Roman" w:eastAsia="仿宋_GB2312" w:cs="Times New Roman"/>
          <w:kern w:val="2"/>
          <w:sz w:val="32"/>
          <w:szCs w:val="32"/>
          <w:highlight w:val="none"/>
          <w:lang w:val="en-US" w:eastAsia="zh-CN" w:bidi="ar-SA"/>
        </w:rPr>
        <w:t>大肠菌群是反映食品卫生质量以及提示生产加工环境潜在微生物风险的指示性指标，食品或消毒餐饮具中检出大肠菌群提示被致病菌（如沙门氏菌、志贺氏菌、致泻大肠埃希氏菌等）污染的可能性较大。</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食品安全国家标准</w:t>
      </w:r>
      <w:r>
        <w:rPr>
          <w:rFonts w:hint="default" w:ascii="Times New Roman" w:hAnsi="Times New Roman" w:eastAsia="仿宋_GB2312" w:cs="Times New Roman"/>
          <w:color w:val="auto"/>
          <w:sz w:val="32"/>
          <w:szCs w:val="32"/>
          <w:highlight w:val="none"/>
          <w:lang w:val="en-US" w:eastAsia="zh-CN"/>
        </w:rPr>
        <w:t xml:space="preserve"> 消毒餐（饮）具</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GB 14934</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2016</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中规定</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color w:val="auto"/>
          <w:sz w:val="32"/>
          <w:szCs w:val="32"/>
          <w:highlight w:val="none"/>
          <w:lang w:val="en-US" w:eastAsia="zh-CN"/>
        </w:rPr>
        <w:t>消毒餐（饮）具</w:t>
      </w:r>
      <w:r>
        <w:rPr>
          <w:rFonts w:hint="default" w:ascii="Times New Roman" w:hAnsi="Times New Roman" w:eastAsia="仿宋_GB2312" w:cs="Times New Roman"/>
          <w:sz w:val="32"/>
          <w:szCs w:val="32"/>
          <w:highlight w:val="none"/>
          <w:lang w:val="en-US" w:eastAsia="zh-CN"/>
        </w:rPr>
        <w:t>的</w:t>
      </w:r>
      <w:r>
        <w:rPr>
          <w:rFonts w:hint="default" w:ascii="Times New Roman" w:hAnsi="Times New Roman" w:eastAsia="仿宋_GB2312" w:cs="Times New Roman"/>
          <w:sz w:val="32"/>
          <w:szCs w:val="32"/>
          <w:highlight w:val="none"/>
        </w:rPr>
        <w:t>大肠菌群</w:t>
      </w:r>
      <w:r>
        <w:rPr>
          <w:rFonts w:hint="default" w:ascii="Times New Roman" w:hAnsi="Times New Roman" w:eastAsia="仿宋_GB2312" w:cs="Times New Roman"/>
          <w:sz w:val="32"/>
          <w:szCs w:val="32"/>
          <w:highlight w:val="none"/>
          <w:lang w:val="en-US" w:eastAsia="zh-CN"/>
        </w:rPr>
        <w:t>限量为不得检出/50cm</w:t>
      </w:r>
      <w:r>
        <w:rPr>
          <w:rFonts w:hint="default" w:ascii="Times New Roman" w:hAnsi="Times New Roman" w:eastAsia="仿宋_GB2312" w:cs="Times New Roman"/>
          <w:sz w:val="32"/>
          <w:szCs w:val="32"/>
          <w:highlight w:val="none"/>
          <w:vertAlign w:val="superscript"/>
          <w:lang w:val="en-US" w:eastAsia="zh-CN"/>
        </w:rPr>
        <w:t>2</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《食品安全国家标准 发酵乳》（GB 19302</w:t>
      </w:r>
      <w:r>
        <w:rPr>
          <w:rFonts w:hint="eastAsia" w:ascii="仿宋_GB2312" w:hAnsi="仿宋_GB2312" w:eastAsia="仿宋_GB2312" w:cs="仿宋_GB2312"/>
          <w:b w:val="0"/>
          <w:bCs w:val="0"/>
          <w:color w:val="000000"/>
          <w:sz w:val="32"/>
          <w:szCs w:val="32"/>
          <w:highlight w:val="none"/>
          <w:lang w:val="en-US" w:eastAsia="zh-CN"/>
        </w:rPr>
        <w:t>—</w:t>
      </w:r>
      <w:r>
        <w:rPr>
          <w:rFonts w:hint="default" w:ascii="Times New Roman" w:hAnsi="Times New Roman" w:eastAsia="仿宋_GB2312" w:cs="Times New Roman"/>
          <w:kern w:val="2"/>
          <w:sz w:val="32"/>
          <w:szCs w:val="32"/>
          <w:highlight w:val="none"/>
          <w:lang w:val="en-US" w:eastAsia="zh-CN" w:bidi="ar-SA"/>
        </w:rPr>
        <w:t>2025）中规定，发酵乳中大肠菌群同一批次产品5个样品的大肠菌群检验结果均不得超过5CFU/g，且最多允许2个样品的检验结果超过1CFU/g</w:t>
      </w:r>
      <w:r>
        <w:rPr>
          <w:rFonts w:hint="eastAsia" w:ascii="Times New Roman" w:hAnsi="Times New Roman" w:eastAsia="仿宋_GB2312" w:cs="Times New Roman"/>
          <w:kern w:val="2"/>
          <w:sz w:val="32"/>
          <w:szCs w:val="32"/>
          <w:highlight w:val="none"/>
          <w:lang w:val="en-US" w:eastAsia="zh-CN" w:bidi="ar-SA"/>
        </w:rPr>
        <w:t>；《食品安全国家标准 动物性水产制品》（GB 10136—2015）中规定，即食生制动物性水产制品同一批次产品5个样品的大肠菌群检验结果均不得超过100CFU/g，且最多允许2个样品的检验结果超过10CFU/g；</w:t>
      </w:r>
      <w:r>
        <w:rPr>
          <w:rFonts w:hint="eastAsia" w:ascii="Times New Roman" w:hAnsi="Times New Roman" w:eastAsia="仿宋_GB2312" w:cs="Times New Roman"/>
          <w:sz w:val="32"/>
          <w:szCs w:val="32"/>
          <w:lang w:eastAsia="zh-CN"/>
        </w:rPr>
        <w:t>《食品安全地方标准 凉皮、凉面》</w:t>
      </w:r>
      <w:r>
        <w:rPr>
          <w:rFonts w:hint="eastAsia" w:ascii="Times New Roman" w:hAnsi="Times New Roman" w:eastAsia="仿宋_GB2312" w:cs="Times New Roman"/>
          <w:sz w:val="32"/>
          <w:szCs w:val="32"/>
        </w:rPr>
        <w:t>（DBS</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61/0011</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2021）中规定，</w:t>
      </w:r>
      <w:r>
        <w:rPr>
          <w:rFonts w:hint="eastAsia" w:ascii="Times New Roman" w:hAnsi="Times New Roman" w:eastAsia="仿宋_GB2312" w:cs="Times New Roman"/>
          <w:sz w:val="32"/>
          <w:szCs w:val="32"/>
          <w:lang w:eastAsia="zh-CN"/>
        </w:rPr>
        <w:t>凉皮、凉面</w:t>
      </w:r>
      <w:r>
        <w:rPr>
          <w:rFonts w:hint="eastAsia" w:ascii="Times New Roman" w:hAnsi="Times New Roman" w:eastAsia="仿宋_GB2312" w:cs="Times New Roman"/>
          <w:sz w:val="32"/>
          <w:szCs w:val="32"/>
        </w:rPr>
        <w:t>同一批次产品5个样品的大肠菌群检验结果均不得超过100CFU/g，且最多允许2个样品的检验结果超过10CFU/g。</w:t>
      </w:r>
      <w:r>
        <w:rPr>
          <w:rFonts w:hint="default" w:ascii="Times New Roman" w:hAnsi="Times New Roman" w:eastAsia="仿宋_GB2312" w:cs="Times New Roman"/>
          <w:kern w:val="2"/>
          <w:sz w:val="32"/>
          <w:szCs w:val="32"/>
          <w:highlight w:val="none"/>
          <w:lang w:val="en-US" w:eastAsia="zh-CN" w:bidi="ar-SA"/>
        </w:rPr>
        <w:t>复用餐饮具</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kern w:val="2"/>
          <w:sz w:val="32"/>
          <w:szCs w:val="32"/>
          <w:highlight w:val="none"/>
          <w:lang w:val="en-US" w:eastAsia="zh-CN" w:bidi="ar-SA"/>
        </w:rPr>
        <w:t>餐馆自行消毒</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、发酵乳、即食生制动物性水产制品、凉皮凉面</w:t>
      </w:r>
      <w:r>
        <w:rPr>
          <w:rFonts w:hint="default" w:ascii="Times New Roman" w:hAnsi="Times New Roman" w:eastAsia="仿宋_GB2312" w:cs="Times New Roman"/>
          <w:kern w:val="2"/>
          <w:sz w:val="32"/>
          <w:szCs w:val="32"/>
          <w:highlight w:val="none"/>
          <w:lang w:val="en-US" w:eastAsia="zh-CN" w:bidi="ar-SA"/>
        </w:rPr>
        <w:t>中大肠菌群数超标的原因，可能是餐饮具在消毒过</w:t>
      </w:r>
      <w:r>
        <w:rPr>
          <w:rFonts w:hint="eastAsia" w:ascii="Times New Roman" w:hAnsi="Times New Roman" w:eastAsia="仿宋_GB2312" w:cs="Times New Roman"/>
          <w:kern w:val="2"/>
          <w:sz w:val="32"/>
          <w:szCs w:val="32"/>
          <w:highlight w:val="none"/>
          <w:lang w:val="en-US" w:eastAsia="zh-CN" w:bidi="ar-SA"/>
        </w:rPr>
        <w:t>程中/食品在生产过程</w:t>
      </w:r>
      <w:r>
        <w:rPr>
          <w:rFonts w:hint="default" w:ascii="Times New Roman" w:hAnsi="Times New Roman" w:eastAsia="仿宋_GB2312" w:cs="Times New Roman"/>
          <w:kern w:val="2"/>
          <w:sz w:val="32"/>
          <w:szCs w:val="32"/>
          <w:highlight w:val="none"/>
          <w:lang w:val="en-US" w:eastAsia="zh-CN" w:bidi="ar-SA"/>
        </w:rPr>
        <w:t>中</w:t>
      </w:r>
      <w:r>
        <w:rPr>
          <w:rFonts w:hint="eastAsia" w:ascii="Times New Roman" w:hAnsi="Times New Roman" w:eastAsia="仿宋_GB2312" w:cs="Times New Roman"/>
          <w:kern w:val="2"/>
          <w:sz w:val="32"/>
          <w:szCs w:val="32"/>
          <w:highlight w:val="none"/>
          <w:lang w:val="en-US" w:eastAsia="zh-CN" w:bidi="ar-SA"/>
        </w:rPr>
        <w:t>受到</w:t>
      </w:r>
      <w:r>
        <w:rPr>
          <w:rFonts w:hint="default" w:ascii="Times New Roman" w:hAnsi="Times New Roman" w:eastAsia="仿宋_GB2312" w:cs="Times New Roman"/>
          <w:kern w:val="2"/>
          <w:sz w:val="32"/>
          <w:szCs w:val="32"/>
          <w:highlight w:val="none"/>
          <w:lang w:val="en-US" w:eastAsia="zh-CN" w:bidi="ar-SA"/>
        </w:rPr>
        <w:t>人员、工器具等的污染；也可能是消毒不彻底导致的；</w:t>
      </w:r>
      <w:r>
        <w:rPr>
          <w:rFonts w:hint="default" w:ascii="Times New Roman" w:hAnsi="Times New Roman" w:eastAsia="仿宋_GB2312" w:cs="Times New Roman"/>
          <w:color w:val="auto"/>
          <w:sz w:val="32"/>
          <w:szCs w:val="32"/>
          <w:highlight w:val="none"/>
          <w:lang w:eastAsia="zh-CN"/>
        </w:rPr>
        <w:t>还可能</w:t>
      </w:r>
      <w:r>
        <w:rPr>
          <w:rFonts w:hint="default" w:ascii="Times New Roman" w:hAnsi="Times New Roman" w:eastAsia="仿宋_GB2312" w:cs="Times New Roman"/>
          <w:color w:val="auto"/>
          <w:sz w:val="32"/>
          <w:szCs w:val="32"/>
          <w:highlight w:val="none"/>
          <w:lang w:val="en-US" w:eastAsia="zh-CN"/>
        </w:rPr>
        <w:t>与</w:t>
      </w:r>
      <w:r>
        <w:rPr>
          <w:rFonts w:hint="default" w:ascii="Times New Roman" w:hAnsi="Times New Roman" w:eastAsia="仿宋_GB2312" w:cs="Times New Roman"/>
          <w:color w:val="auto"/>
          <w:sz w:val="32"/>
          <w:szCs w:val="32"/>
          <w:highlight w:val="none"/>
          <w:lang w:eastAsia="zh-CN"/>
        </w:rPr>
        <w:t>储存条件不当有关。</w:t>
      </w:r>
    </w:p>
    <w:p w14:paraId="14D8E5F1">
      <w:pPr>
        <w:spacing w:line="594" w:lineRule="exact"/>
        <w:ind w:firstLine="592" w:firstLineChars="200"/>
        <w:jc w:val="both"/>
        <w:rPr>
          <w:rFonts w:hint="default" w:ascii="Times New Roman" w:hAnsi="Times New Roman" w:eastAsia="黑体" w:cs="Times New Roman"/>
          <w:spacing w:val="0"/>
          <w:sz w:val="32"/>
          <w:szCs w:val="32"/>
          <w:lang w:val="en-US" w:eastAsia="zh-CN"/>
        </w:rPr>
      </w:pPr>
      <w:r>
        <w:rPr>
          <w:rFonts w:hint="eastAsia" w:ascii="Times New Roman" w:hAnsi="Times New Roman" w:eastAsia="黑体" w:cs="Times New Roman"/>
          <w:color w:val="auto"/>
          <w:spacing w:val="-12"/>
          <w:sz w:val="32"/>
          <w:szCs w:val="32"/>
          <w:highlight w:val="none"/>
          <w:lang w:val="en-US" w:eastAsia="zh-CN"/>
        </w:rPr>
        <w:t>十四</w:t>
      </w:r>
      <w:r>
        <w:rPr>
          <w:rFonts w:hint="default" w:ascii="Times New Roman" w:hAnsi="Times New Roman" w:eastAsia="黑体" w:cs="Times New Roman"/>
          <w:color w:val="auto"/>
          <w:spacing w:val="-12"/>
          <w:sz w:val="32"/>
          <w:szCs w:val="32"/>
          <w:highlight w:val="none"/>
        </w:rPr>
        <w:t>、</w:t>
      </w:r>
      <w:r>
        <w:rPr>
          <w:rFonts w:hint="default" w:ascii="Times New Roman" w:hAnsi="Times New Roman" w:eastAsia="黑体" w:cs="Times New Roman"/>
          <w:spacing w:val="0"/>
          <w:sz w:val="32"/>
          <w:szCs w:val="32"/>
          <w:lang w:val="en-US" w:eastAsia="zh-CN"/>
        </w:rPr>
        <w:t>铜绿假单胞菌</w:t>
      </w:r>
    </w:p>
    <w:p w14:paraId="6280E703">
      <w:pPr>
        <w:spacing w:line="594" w:lineRule="exact"/>
        <w:ind w:firstLine="640" w:firstLineChars="200"/>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铜绿假单胞菌具有分解蛋白质、碳水化合物和脂肪的能力，是重要的食品腐败性细菌，易在潮湿的环境存活，对消毒剂、紫外线等具有较强的抵抗力。铜绿假单胞菌是一种条件致病菌，对于免疫力较弱的人群健康风险较大。《食品安全国家标准 包装饮用水》（GB 19298</w:t>
      </w:r>
      <w:r>
        <w:rPr>
          <w:rFonts w:hint="eastAsia" w:ascii="仿宋_GB2312" w:hAnsi="仿宋_GB2312" w:eastAsia="仿宋_GB2312" w:cs="仿宋_GB2312"/>
          <w:b w:val="0"/>
          <w:bCs w:val="0"/>
          <w:color w:val="000000"/>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2014</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中规定，包装饮用水同一批次产品5个样品中均不得检出铜绿假单胞菌。其他类饮用水中铜绿假单胞菌</w:t>
      </w:r>
      <w:r>
        <w:rPr>
          <w:rFonts w:hint="eastAsia" w:ascii="Times New Roman" w:hAnsi="Times New Roman" w:eastAsia="仿宋_GB2312" w:cs="Times New Roman"/>
          <w:sz w:val="32"/>
          <w:szCs w:val="32"/>
          <w:highlight w:val="none"/>
          <w:lang w:val="en-US" w:eastAsia="zh-CN"/>
        </w:rPr>
        <w:t>数</w:t>
      </w:r>
      <w:r>
        <w:rPr>
          <w:rFonts w:hint="default" w:ascii="Times New Roman" w:hAnsi="Times New Roman" w:eastAsia="仿宋_GB2312" w:cs="Times New Roman"/>
          <w:sz w:val="32"/>
          <w:szCs w:val="32"/>
          <w:highlight w:val="none"/>
          <w:lang w:val="en-US" w:eastAsia="zh-CN"/>
        </w:rPr>
        <w:t>超标</w:t>
      </w:r>
      <w:r>
        <w:rPr>
          <w:rFonts w:hint="eastAsia" w:ascii="Times New Roman" w:hAnsi="Times New Roman" w:eastAsia="仿宋_GB2312" w:cs="Times New Roman"/>
          <w:sz w:val="32"/>
          <w:szCs w:val="32"/>
          <w:highlight w:val="none"/>
          <w:lang w:val="en-US" w:eastAsia="zh-CN"/>
        </w:rPr>
        <w:t>的原因，</w:t>
      </w:r>
      <w:r>
        <w:rPr>
          <w:rFonts w:hint="default" w:ascii="Times New Roman" w:hAnsi="Times New Roman" w:eastAsia="仿宋_GB2312" w:cs="Times New Roman"/>
          <w:sz w:val="32"/>
          <w:szCs w:val="32"/>
          <w:highlight w:val="none"/>
          <w:lang w:val="en-US" w:eastAsia="zh-CN"/>
        </w:rPr>
        <w:t>可能是源水防护不当导致水体受到污染</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也可能是生产过程中消毒杀菌不彻底</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还可能是包装材料受到污染且未清洗消毒所致。</w:t>
      </w:r>
    </w:p>
    <w:p w14:paraId="4DB786E4">
      <w:pPr>
        <w:spacing w:line="594" w:lineRule="exact"/>
        <w:ind w:firstLine="592" w:firstLineChars="200"/>
        <w:jc w:val="both"/>
        <w:rPr>
          <w:rFonts w:hint="default" w:ascii="Times New Roman" w:hAnsi="Times New Roman" w:eastAsia="黑体" w:cs="Times New Roman"/>
          <w:spacing w:val="0"/>
          <w:sz w:val="32"/>
          <w:szCs w:val="32"/>
          <w:lang w:val="en-US" w:eastAsia="zh-CN"/>
        </w:rPr>
      </w:pPr>
      <w:r>
        <w:rPr>
          <w:rFonts w:hint="eastAsia" w:eastAsia="黑体"/>
          <w:color w:val="auto"/>
          <w:spacing w:val="-12"/>
          <w:sz w:val="32"/>
          <w:szCs w:val="32"/>
          <w:highlight w:val="none"/>
          <w:lang w:val="en-US" w:eastAsia="zh-CN"/>
        </w:rPr>
        <w:t>十五</w:t>
      </w:r>
      <w:r>
        <w:rPr>
          <w:rFonts w:hint="default" w:eastAsia="黑体"/>
          <w:color w:val="auto"/>
          <w:spacing w:val="-12"/>
          <w:sz w:val="32"/>
          <w:szCs w:val="32"/>
          <w:highlight w:val="none"/>
          <w:lang w:val="en-US" w:eastAsia="zh-CN"/>
        </w:rPr>
        <w:t>、</w:t>
      </w:r>
      <w:r>
        <w:rPr>
          <w:rFonts w:hint="default" w:ascii="Times New Roman" w:hAnsi="Times New Roman" w:eastAsia="黑体" w:cs="Times New Roman"/>
          <w:spacing w:val="0"/>
          <w:sz w:val="32"/>
          <w:szCs w:val="32"/>
          <w:lang w:val="en-US" w:eastAsia="zh-CN"/>
        </w:rPr>
        <w:t>亚硝酸盐（以NO</w:t>
      </w:r>
      <w:r>
        <w:rPr>
          <w:rFonts w:hint="eastAsia" w:ascii="Times New Roman" w:hAnsi="Times New Roman" w:eastAsia="黑体" w:cs="Times New Roman"/>
          <w:spacing w:val="0"/>
          <w:sz w:val="32"/>
          <w:szCs w:val="32"/>
          <w:vertAlign w:val="subscript"/>
          <w:lang w:val="en-US" w:eastAsia="zh-CN"/>
        </w:rPr>
        <w:t>2</w:t>
      </w:r>
      <w:r>
        <w:rPr>
          <w:rFonts w:hint="default" w:ascii="Times New Roman" w:hAnsi="Times New Roman" w:eastAsia="黑体" w:cs="Times New Roman"/>
          <w:spacing w:val="0"/>
          <w:sz w:val="32"/>
          <w:szCs w:val="32"/>
          <w:lang w:val="en-US" w:eastAsia="zh-CN"/>
        </w:rPr>
        <w:t>⁻计）</w:t>
      </w:r>
    </w:p>
    <w:p w14:paraId="0917E9F2">
      <w:pPr>
        <w:keepNext w:val="0"/>
        <w:keepLines w:val="0"/>
        <w:pageBreakBefore w:val="0"/>
        <w:widowControl/>
        <w:kinsoku/>
        <w:wordWrap/>
        <w:overflowPunct/>
        <w:topLinePunct w:val="0"/>
        <w:autoSpaceDE/>
        <w:autoSpaceDN/>
        <w:bidi w:val="0"/>
        <w:adjustRightInd w:val="0"/>
        <w:snapToGrid w:val="0"/>
        <w:spacing w:line="594" w:lineRule="exact"/>
        <w:ind w:right="0" w:firstLine="640" w:firstLineChars="200"/>
        <w:textAlignment w:val="auto"/>
        <w:rPr>
          <w:rFonts w:hint="default" w:eastAsia="黑体"/>
          <w:color w:val="auto"/>
          <w:spacing w:val="-12"/>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亚硝酸盐广泛存在于环境中，是自然界中普遍的含氮化合物。水中的亚硝酸盐可由硝酸盐转化而来。亚硝酸盐能一定程度上反映水体被污染的情况。《食品安全国家标准 食品中污染物限量》（GB 2762</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2022）中规定，包装饮用水（饮用天然矿泉水除外）中亚硝酸盐（以NO</w:t>
      </w:r>
      <w:r>
        <w:rPr>
          <w:rFonts w:hint="default" w:ascii="Times New Roman" w:hAnsi="Times New Roman" w:eastAsia="仿宋_GB2312" w:cs="Times New Roman"/>
          <w:sz w:val="32"/>
          <w:szCs w:val="32"/>
          <w:highlight w:val="none"/>
          <w:vertAlign w:val="subscript"/>
          <w:lang w:val="en-US" w:eastAsia="zh-CN"/>
        </w:rPr>
        <w:t>2</w:t>
      </w:r>
      <w:r>
        <w:rPr>
          <w:rFonts w:hint="default" w:ascii="Times New Roman" w:hAnsi="Times New Roman" w:eastAsia="仿宋_GB2312" w:cs="Times New Roman"/>
          <w:sz w:val="32"/>
          <w:szCs w:val="32"/>
          <w:highlight w:val="none"/>
          <w:vertAlign w:val="superscript"/>
          <w:lang w:val="en-US" w:eastAsia="zh-CN"/>
        </w:rPr>
        <w:t>-</w:t>
      </w:r>
      <w:r>
        <w:rPr>
          <w:rFonts w:hint="default" w:ascii="Times New Roman" w:hAnsi="Times New Roman" w:eastAsia="仿宋_GB2312" w:cs="Times New Roman"/>
          <w:sz w:val="32"/>
          <w:szCs w:val="32"/>
          <w:highlight w:val="none"/>
          <w:lang w:val="en-US" w:eastAsia="zh-CN"/>
        </w:rPr>
        <w:t>计）的最大限量值为0.005mg/L。其他类饮用水中亚硝酸盐（以NO</w:t>
      </w:r>
      <w:r>
        <w:rPr>
          <w:rFonts w:hint="default" w:ascii="Times New Roman" w:hAnsi="Times New Roman" w:eastAsia="仿宋_GB2312" w:cs="Times New Roman"/>
          <w:sz w:val="32"/>
          <w:szCs w:val="32"/>
          <w:highlight w:val="none"/>
          <w:vertAlign w:val="subscript"/>
          <w:lang w:val="en-US" w:eastAsia="zh-CN"/>
        </w:rPr>
        <w:t>2</w:t>
      </w:r>
      <w:r>
        <w:rPr>
          <w:rFonts w:hint="default" w:ascii="Times New Roman" w:hAnsi="Times New Roman" w:eastAsia="仿宋_GB2312" w:cs="Times New Roman"/>
          <w:sz w:val="32"/>
          <w:szCs w:val="32"/>
          <w:highlight w:val="none"/>
          <w:vertAlign w:val="superscript"/>
          <w:lang w:val="en-US" w:eastAsia="zh-CN"/>
        </w:rPr>
        <w:t>-</w:t>
      </w:r>
      <w:r>
        <w:rPr>
          <w:rFonts w:hint="default" w:ascii="Times New Roman" w:hAnsi="Times New Roman" w:eastAsia="仿宋_GB2312" w:cs="Times New Roman"/>
          <w:sz w:val="32"/>
          <w:szCs w:val="32"/>
          <w:highlight w:val="none"/>
          <w:lang w:val="en-US" w:eastAsia="zh-CN"/>
        </w:rPr>
        <w:t>计）</w:t>
      </w:r>
      <w:r>
        <w:rPr>
          <w:rFonts w:hint="eastAsia" w:ascii="Times New Roman" w:hAnsi="Times New Roman" w:eastAsia="仿宋_GB2312" w:cs="Times New Roman"/>
          <w:sz w:val="32"/>
          <w:szCs w:val="32"/>
          <w:highlight w:val="none"/>
          <w:lang w:val="en-US" w:eastAsia="zh-CN"/>
        </w:rPr>
        <w:t>检验值</w:t>
      </w:r>
      <w:r>
        <w:rPr>
          <w:rFonts w:hint="default" w:ascii="Times New Roman" w:hAnsi="Times New Roman" w:eastAsia="仿宋_GB2312" w:cs="Times New Roman"/>
          <w:sz w:val="32"/>
          <w:szCs w:val="32"/>
          <w:highlight w:val="none"/>
          <w:lang w:val="en-US" w:eastAsia="zh-CN"/>
        </w:rPr>
        <w:t>超标的原因，可能是水体被细菌污染</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也可能是消毒控制不当。</w:t>
      </w:r>
    </w:p>
    <w:p w14:paraId="0944B22D">
      <w:pPr>
        <w:spacing w:line="594" w:lineRule="exact"/>
        <w:ind w:firstLine="592" w:firstLineChars="200"/>
        <w:jc w:val="both"/>
        <w:rPr>
          <w:rFonts w:hint="default" w:ascii="Times New Roman" w:hAnsi="Times New Roman" w:eastAsia="黑体" w:cs="Times New Roman"/>
          <w:spacing w:val="0"/>
          <w:sz w:val="32"/>
          <w:szCs w:val="32"/>
          <w:lang w:val="en-US" w:eastAsia="zh-CN"/>
        </w:rPr>
      </w:pPr>
      <w:r>
        <w:rPr>
          <w:rFonts w:hint="eastAsia" w:ascii="黑体" w:hAnsi="黑体" w:eastAsia="黑体" w:cs="黑体"/>
          <w:color w:val="auto"/>
          <w:spacing w:val="-12"/>
          <w:sz w:val="32"/>
          <w:szCs w:val="32"/>
          <w:highlight w:val="none"/>
          <w:lang w:val="en-US" w:eastAsia="zh-CN"/>
        </w:rPr>
        <w:t>十六、</w:t>
      </w:r>
      <w:r>
        <w:rPr>
          <w:rFonts w:hint="default" w:ascii="Times New Roman" w:hAnsi="Times New Roman" w:eastAsia="黑体" w:cs="Times New Roman"/>
          <w:spacing w:val="0"/>
          <w:sz w:val="32"/>
          <w:szCs w:val="32"/>
          <w:lang w:val="en-US" w:eastAsia="zh-CN"/>
        </w:rPr>
        <w:t>霉菌</w:t>
      </w:r>
    </w:p>
    <w:p w14:paraId="0E4A0FC6">
      <w:pPr>
        <w:pStyle w:val="9"/>
        <w:spacing w:after="0" w:line="594" w:lineRule="exact"/>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spacing w:val="0"/>
          <w:sz w:val="32"/>
          <w:szCs w:val="32"/>
          <w:lang w:val="en-US" w:eastAsia="zh-CN"/>
        </w:rPr>
        <w:t>霉菌是评价食品质量安全的一项指示性指标，食品中霉菌数是指食品检样经过处理，在一定条件下培养后，计数所得1g或1mL检样中所形成的霉菌菌落数。如果食品中的霉菌严重超标，将会破坏食品的营养成分，使食品失去食用价值，还可能产生霉菌毒素；长期食用霉菌超标的食品，可能会危害人体健康。</w:t>
      </w:r>
      <w:r>
        <w:rPr>
          <w:rFonts w:hint="default" w:ascii="Times New Roman" w:hAnsi="Times New Roman" w:eastAsia="仿宋_GB2312" w:cs="Times New Roman"/>
          <w:kern w:val="2"/>
          <w:sz w:val="32"/>
          <w:szCs w:val="32"/>
          <w:highlight w:val="none"/>
          <w:lang w:val="en-US" w:eastAsia="zh-CN" w:bidi="ar-SA"/>
        </w:rPr>
        <w:t>《食品安全国家标准 发酵乳》（GB 19302</w:t>
      </w:r>
      <w:r>
        <w:rPr>
          <w:rFonts w:hint="eastAsia" w:ascii="仿宋_GB2312" w:hAnsi="仿宋_GB2312" w:eastAsia="仿宋_GB2312" w:cs="仿宋_GB2312"/>
          <w:b w:val="0"/>
          <w:bCs w:val="0"/>
          <w:color w:val="000000"/>
          <w:sz w:val="32"/>
          <w:szCs w:val="32"/>
          <w:highlight w:val="none"/>
          <w:lang w:val="en-US" w:eastAsia="zh-CN"/>
        </w:rPr>
        <w:t>—</w:t>
      </w:r>
      <w:r>
        <w:rPr>
          <w:rFonts w:hint="default" w:ascii="Times New Roman" w:hAnsi="Times New Roman" w:eastAsia="仿宋_GB2312" w:cs="Times New Roman"/>
          <w:kern w:val="2"/>
          <w:sz w:val="32"/>
          <w:szCs w:val="32"/>
          <w:highlight w:val="none"/>
          <w:lang w:val="en-US" w:eastAsia="zh-CN" w:bidi="ar-SA"/>
        </w:rPr>
        <w:t>2025）中规定，</w:t>
      </w:r>
      <w:r>
        <w:rPr>
          <w:rFonts w:hint="default" w:ascii="Times New Roman" w:hAnsi="Times New Roman" w:eastAsia="仿宋_GB2312" w:cs="Times New Roman"/>
          <w:color w:val="auto"/>
          <w:sz w:val="32"/>
          <w:szCs w:val="32"/>
          <w:lang w:val="en-US" w:eastAsia="zh-CN"/>
        </w:rPr>
        <w:t>发酵乳中霉菌</w:t>
      </w:r>
      <w:r>
        <w:rPr>
          <w:rFonts w:hint="default" w:ascii="Times New Roman" w:hAnsi="Times New Roman" w:eastAsia="仿宋_GB2312" w:cs="Times New Roman"/>
          <w:color w:val="auto"/>
          <w:sz w:val="32"/>
          <w:szCs w:val="32"/>
        </w:rPr>
        <w:t>的最大限量值为</w:t>
      </w:r>
      <w:r>
        <w:rPr>
          <w:rFonts w:hint="default" w:ascii="Times New Roman" w:hAnsi="Times New Roman" w:eastAsia="仿宋_GB2312" w:cs="Times New Roman"/>
          <w:color w:val="auto"/>
          <w:sz w:val="32"/>
          <w:szCs w:val="32"/>
          <w:lang w:val="en-US" w:eastAsia="zh-CN"/>
        </w:rPr>
        <w:t>30</w:t>
      </w:r>
      <w:r>
        <w:rPr>
          <w:rFonts w:hint="default" w:ascii="Times New Roman" w:hAnsi="Times New Roman" w:eastAsia="仿宋_GB2312" w:cs="Times New Roman"/>
          <w:color w:val="auto"/>
          <w:sz w:val="32"/>
          <w:szCs w:val="32"/>
        </w:rPr>
        <w:t>CFU/</w:t>
      </w:r>
      <w:r>
        <w:rPr>
          <w:rFonts w:hint="default" w:ascii="Times New Roman" w:hAnsi="Times New Roman" w:eastAsia="仿宋_GB2312" w:cs="Times New Roman"/>
          <w:color w:val="auto"/>
          <w:sz w:val="32"/>
          <w:szCs w:val="32"/>
          <w:lang w:val="en-US" w:eastAsia="zh-CN"/>
        </w:rPr>
        <w:t>g</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食品安全国家标准 饮料》（GB 7101</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20</w:t>
      </w:r>
      <w:r>
        <w:rPr>
          <w:rFonts w:hint="eastAsia" w:ascii="Times New Roman" w:hAnsi="Times New Roman" w:eastAsia="仿宋_GB2312" w:cs="Times New Roman"/>
          <w:color w:val="auto"/>
          <w:sz w:val="32"/>
          <w:szCs w:val="32"/>
          <w:lang w:val="en-US" w:eastAsia="zh-CN"/>
        </w:rPr>
        <w:t>22</w:t>
      </w:r>
      <w:r>
        <w:rPr>
          <w:rFonts w:hint="default" w:ascii="Times New Roman" w:hAnsi="Times New Roman" w:eastAsia="仿宋_GB2312" w:cs="Times New Roman"/>
          <w:color w:val="auto"/>
          <w:sz w:val="32"/>
          <w:szCs w:val="32"/>
        </w:rPr>
        <w:t>）中规定，</w:t>
      </w:r>
      <w:r>
        <w:rPr>
          <w:rFonts w:hint="eastAsia" w:ascii="Times New Roman" w:hAnsi="Times New Roman" w:eastAsia="仿宋_GB2312" w:cs="Times New Roman"/>
          <w:color w:val="auto"/>
          <w:sz w:val="32"/>
          <w:szCs w:val="32"/>
          <w:lang w:val="en-US" w:eastAsia="zh-CN"/>
        </w:rPr>
        <w:t>固体饮料中</w:t>
      </w:r>
      <w:r>
        <w:rPr>
          <w:rFonts w:hint="default" w:ascii="Times New Roman" w:hAnsi="Times New Roman" w:eastAsia="仿宋_GB2312" w:cs="Times New Roman"/>
          <w:color w:val="auto"/>
          <w:sz w:val="32"/>
          <w:szCs w:val="32"/>
          <w:lang w:val="en-US" w:eastAsia="zh-CN"/>
        </w:rPr>
        <w:t>霉菌</w:t>
      </w:r>
      <w:r>
        <w:rPr>
          <w:rFonts w:hint="default" w:ascii="Times New Roman" w:hAnsi="Times New Roman" w:eastAsia="仿宋_GB2312" w:cs="Times New Roman"/>
          <w:color w:val="auto"/>
          <w:sz w:val="32"/>
          <w:szCs w:val="32"/>
        </w:rPr>
        <w:t>的最大限量值为</w:t>
      </w:r>
      <w:r>
        <w:rPr>
          <w:rFonts w:hint="eastAsia" w:ascii="Times New Roman" w:hAnsi="Times New Roman" w:eastAsia="仿宋_GB2312" w:cs="Times New Roman"/>
          <w:color w:val="auto"/>
          <w:sz w:val="32"/>
          <w:szCs w:val="32"/>
          <w:lang w:val="en-US" w:eastAsia="zh-CN"/>
        </w:rPr>
        <w:t>50</w:t>
      </w:r>
      <w:r>
        <w:rPr>
          <w:rFonts w:hint="default" w:ascii="Times New Roman" w:hAnsi="Times New Roman" w:eastAsia="仿宋_GB2312" w:cs="Times New Roman"/>
          <w:color w:val="auto"/>
          <w:sz w:val="32"/>
          <w:szCs w:val="32"/>
        </w:rPr>
        <w:t>CFU/</w:t>
      </w:r>
      <w:r>
        <w:rPr>
          <w:rFonts w:hint="eastAsia" w:ascii="Times New Roman" w:hAnsi="Times New Roman" w:eastAsia="仿宋_GB2312" w:cs="Times New Roman"/>
          <w:color w:val="auto"/>
          <w:sz w:val="32"/>
          <w:szCs w:val="32"/>
          <w:lang w:val="en-US" w:eastAsia="zh-CN"/>
        </w:rPr>
        <w:t>g</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sz w:val="32"/>
          <w:szCs w:val="32"/>
          <w:highlight w:val="none"/>
          <w:lang w:val="en-US" w:eastAsia="zh-CN"/>
        </w:rPr>
        <w:t>《食品安全国家标准 糕点、面包》（GB 7099—2015）</w:t>
      </w:r>
      <w:r>
        <w:rPr>
          <w:rFonts w:hint="default" w:ascii="Times New Roman" w:hAnsi="Times New Roman" w:eastAsia="仿宋_GB2312" w:cs="Times New Roman"/>
          <w:sz w:val="32"/>
          <w:szCs w:val="32"/>
        </w:rPr>
        <w:t>中规定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霉菌</w:t>
      </w:r>
      <w:r>
        <w:rPr>
          <w:rFonts w:hint="default" w:ascii="Times New Roman" w:hAnsi="Times New Roman" w:eastAsia="仿宋_GB2312" w:cs="Times New Roman"/>
          <w:sz w:val="32"/>
          <w:szCs w:val="32"/>
        </w:rPr>
        <w:t>限量为</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Times New Roman"/>
          <w:sz w:val="32"/>
          <w:szCs w:val="32"/>
          <w:lang w:val="en-US" w:eastAsia="zh-CN"/>
        </w:rPr>
        <w:t>150</w:t>
      </w:r>
      <w:r>
        <w:rPr>
          <w:rFonts w:hint="default" w:ascii="Times New Roman" w:hAnsi="Times New Roman" w:eastAsia="仿宋_GB2312" w:cs="Times New Roman"/>
          <w:sz w:val="32"/>
          <w:szCs w:val="32"/>
          <w:lang w:val="en-US" w:eastAsia="zh-CN"/>
        </w:rPr>
        <w:t>CFU/g</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lang w:val="en-US" w:eastAsia="zh-CN"/>
        </w:rPr>
        <w:t>发酵乳</w:t>
      </w:r>
      <w:r>
        <w:rPr>
          <w:rFonts w:hint="eastAsia" w:ascii="Times New Roman" w:hAnsi="Times New Roman" w:eastAsia="仿宋_GB2312" w:cs="Times New Roman"/>
          <w:color w:val="auto"/>
          <w:sz w:val="32"/>
          <w:szCs w:val="32"/>
          <w:lang w:val="en-US" w:eastAsia="zh-CN"/>
        </w:rPr>
        <w:t>、固体饮料、糕点</w:t>
      </w:r>
      <w:r>
        <w:rPr>
          <w:rFonts w:hint="default" w:ascii="Times New Roman" w:hAnsi="Times New Roman" w:eastAsia="仿宋_GB2312" w:cs="Times New Roman"/>
          <w:color w:val="auto"/>
          <w:sz w:val="32"/>
          <w:szCs w:val="32"/>
          <w:lang w:val="en-US" w:eastAsia="zh-CN"/>
        </w:rPr>
        <w:t>中霉菌数超标的原因，可能是原料或包装材料受到霉菌污染</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也可能是产品在生产加工过程中环境或生产设备卫生状况不佳</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还可能与产品储运条件控制不当有关。</w:t>
      </w:r>
    </w:p>
    <w:p w14:paraId="2738639A">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592" w:firstLineChars="200"/>
        <w:jc w:val="both"/>
        <w:textAlignment w:val="auto"/>
        <w:rPr>
          <w:rFonts w:hint="eastAsia" w:ascii="Times New Roman" w:hAnsi="Times New Roman" w:eastAsia="黑体" w:cs="Times New Roman"/>
          <w:color w:val="000000"/>
          <w:sz w:val="32"/>
          <w:szCs w:val="32"/>
          <w:lang w:val="en-US" w:eastAsia="zh-CN"/>
        </w:rPr>
      </w:pPr>
      <w:r>
        <w:rPr>
          <w:rFonts w:hint="eastAsia" w:eastAsia="黑体"/>
          <w:color w:val="auto"/>
          <w:spacing w:val="-12"/>
          <w:sz w:val="32"/>
          <w:szCs w:val="32"/>
          <w:highlight w:val="none"/>
          <w:lang w:val="en-US" w:eastAsia="zh-CN"/>
        </w:rPr>
        <w:t>十七、</w:t>
      </w:r>
      <w:r>
        <w:rPr>
          <w:rFonts w:hint="eastAsia" w:ascii="Times New Roman" w:hAnsi="Times New Roman" w:eastAsia="黑体" w:cs="Times New Roman"/>
          <w:color w:val="000000"/>
          <w:sz w:val="32"/>
          <w:szCs w:val="32"/>
          <w:lang w:val="en-US" w:eastAsia="zh-CN"/>
        </w:rPr>
        <w:t>菌落总数</w:t>
      </w:r>
    </w:p>
    <w:p w14:paraId="5D4DF7B7">
      <w:pPr>
        <w:numPr>
          <w:ilvl w:val="-1"/>
          <w:numId w:val="0"/>
        </w:numPr>
        <w:autoSpaceDE/>
        <w:adjustRightInd w:val="0"/>
        <w:snapToGrid w:val="0"/>
        <w:spacing w:after="0" w:line="594"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sz w:val="32"/>
          <w:szCs w:val="32"/>
          <w:highlight w:val="none"/>
          <w:lang w:val="en-US" w:eastAsia="zh-CN"/>
        </w:rPr>
        <w:t>菌落总数是指示性微生物指标，不是致病菌指标，反映食品在生产过程中的卫生状况。如果食品的菌落总数超标，可能会损失营养成分，加速食品腐败变质，对人体健康存在潜在不利影响。</w:t>
      </w:r>
      <w:r>
        <w:rPr>
          <w:rFonts w:hint="eastAsia" w:ascii="Times New Roman" w:hAnsi="Times New Roman" w:eastAsia="仿宋_GB2312" w:cs="Times New Roman"/>
          <w:sz w:val="32"/>
          <w:szCs w:val="32"/>
          <w:lang w:eastAsia="zh-CN"/>
        </w:rPr>
        <w:t>《食品安全地方标准 凉皮、凉面》</w:t>
      </w:r>
      <w:r>
        <w:rPr>
          <w:rFonts w:hint="eastAsia" w:ascii="Times New Roman" w:hAnsi="Times New Roman" w:eastAsia="仿宋_GB2312" w:cs="Times New Roman"/>
          <w:sz w:val="32"/>
          <w:szCs w:val="32"/>
        </w:rPr>
        <w:t>（DBS</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61/0011</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2021）中规定</w:t>
      </w:r>
      <w:r>
        <w:rPr>
          <w:rFonts w:hint="eastAsia" w:ascii="Calibri" w:hAnsi="Calibri" w:eastAsia="仿宋_GB2312" w:cs="Times New Roman"/>
          <w:sz w:val="32"/>
          <w:szCs w:val="32"/>
          <w:highlight w:val="none"/>
        </w:rPr>
        <w:t>，</w:t>
      </w:r>
      <w:r>
        <w:rPr>
          <w:rFonts w:hint="eastAsia" w:ascii="Times New Roman" w:hAnsi="Times New Roman" w:eastAsia="仿宋_GB2312" w:cs="Times New Roman"/>
          <w:sz w:val="32"/>
          <w:szCs w:val="32"/>
          <w:lang w:eastAsia="zh-CN"/>
        </w:rPr>
        <w:t>凉皮、凉面</w:t>
      </w:r>
      <w:r>
        <w:rPr>
          <w:rFonts w:hint="eastAsia" w:ascii="Calibri" w:hAnsi="Calibri" w:eastAsia="仿宋_GB2312" w:cs="Times New Roman"/>
          <w:sz w:val="32"/>
          <w:szCs w:val="32"/>
          <w:highlight w:val="none"/>
        </w:rPr>
        <w:t>同一批次产品</w:t>
      </w:r>
      <w:r>
        <w:rPr>
          <w:rFonts w:ascii="Times New Roman" w:hAnsi="Times New Roman" w:eastAsia="仿宋_GB2312" w:cs="Times New Roman"/>
          <w:sz w:val="32"/>
          <w:szCs w:val="32"/>
          <w:highlight w:val="none"/>
        </w:rPr>
        <w:t>5</w:t>
      </w:r>
      <w:r>
        <w:rPr>
          <w:rFonts w:hint="eastAsia" w:ascii="Calibri" w:hAnsi="Calibri" w:eastAsia="仿宋_GB2312" w:cs="Times New Roman"/>
          <w:sz w:val="32"/>
          <w:szCs w:val="32"/>
          <w:highlight w:val="none"/>
        </w:rPr>
        <w:t>个样品的</w:t>
      </w:r>
      <w:r>
        <w:rPr>
          <w:rFonts w:hint="eastAsia" w:ascii="Calibri" w:hAnsi="Calibri" w:eastAsia="仿宋_GB2312" w:cs="Times New Roman"/>
          <w:sz w:val="32"/>
          <w:szCs w:val="32"/>
          <w:highlight w:val="none"/>
          <w:lang w:val="en-US" w:eastAsia="zh-CN"/>
        </w:rPr>
        <w:t>菌落总数</w:t>
      </w:r>
      <w:r>
        <w:rPr>
          <w:rFonts w:hint="eastAsia" w:ascii="Calibri" w:hAnsi="Calibri" w:eastAsia="仿宋_GB2312" w:cs="Times New Roman"/>
          <w:sz w:val="32"/>
          <w:szCs w:val="32"/>
          <w:highlight w:val="none"/>
        </w:rPr>
        <w:t>检</w:t>
      </w:r>
      <w:r>
        <w:rPr>
          <w:rFonts w:hint="eastAsia" w:ascii="Calibri" w:hAnsi="Calibri" w:eastAsia="仿宋_GB2312" w:cs="Times New Roman"/>
          <w:sz w:val="32"/>
          <w:szCs w:val="32"/>
          <w:highlight w:val="none"/>
          <w:lang w:val="en-US" w:eastAsia="zh-CN"/>
        </w:rPr>
        <w:t>验</w:t>
      </w:r>
      <w:r>
        <w:rPr>
          <w:rFonts w:hint="eastAsia" w:ascii="Calibri" w:hAnsi="Calibri" w:eastAsia="仿宋_GB2312" w:cs="Times New Roman"/>
          <w:sz w:val="32"/>
          <w:szCs w:val="32"/>
          <w:highlight w:val="none"/>
        </w:rPr>
        <w:t>结果均不得超过</w:t>
      </w:r>
      <w:r>
        <w:rPr>
          <w:rFonts w:hint="eastAsia" w:ascii="Times New Roman" w:hAnsi="Times New Roman" w:eastAsia="仿宋_GB2312" w:cs="Times New Roman"/>
          <w:sz w:val="32"/>
          <w:szCs w:val="32"/>
          <w:highlight w:val="none"/>
        </w:rPr>
        <w:t>10</w:t>
      </w:r>
      <w:r>
        <w:rPr>
          <w:rFonts w:hint="eastAsia" w:ascii="Times New Roman" w:hAnsi="Times New Roman" w:eastAsia="仿宋_GB2312" w:cs="Times New Roman"/>
          <w:sz w:val="32"/>
          <w:szCs w:val="32"/>
          <w:highlight w:val="none"/>
          <w:vertAlign w:val="superscript"/>
          <w:lang w:val="en-US" w:eastAsia="zh-CN"/>
        </w:rPr>
        <w:t>6</w:t>
      </w:r>
      <w:r>
        <w:rPr>
          <w:rFonts w:hint="eastAsia" w:ascii="Times New Roman" w:hAnsi="Times New Roman" w:eastAsia="仿宋_GB2312" w:cs="Times New Roman"/>
          <w:sz w:val="32"/>
          <w:szCs w:val="32"/>
          <w:highlight w:val="none"/>
        </w:rPr>
        <w:t>CFU/g</w:t>
      </w:r>
      <w:r>
        <w:rPr>
          <w:rFonts w:hint="eastAsia" w:ascii="Calibri" w:hAnsi="Calibri" w:eastAsia="仿宋_GB2312" w:cs="Times New Roman"/>
          <w:sz w:val="32"/>
          <w:szCs w:val="32"/>
          <w:highlight w:val="none"/>
        </w:rPr>
        <w:t>，</w:t>
      </w:r>
      <w:r>
        <w:rPr>
          <w:rFonts w:ascii="Times New Roman" w:hAnsi="Times New Roman" w:eastAsia="仿宋_GB2312" w:cs="Times New Roman"/>
          <w:sz w:val="32"/>
          <w:szCs w:val="32"/>
          <w:highlight w:val="none"/>
        </w:rPr>
        <w:t>且最多允许2个样品的</w:t>
      </w:r>
      <w:r>
        <w:rPr>
          <w:rFonts w:ascii="Times New Roman" w:hAnsi="Times New Roman" w:eastAsia="仿宋_GB2312" w:cs="Times New Roman"/>
          <w:color w:val="000000"/>
          <w:sz w:val="32"/>
          <w:szCs w:val="32"/>
          <w:highlight w:val="none"/>
        </w:rPr>
        <w:t>检</w:t>
      </w:r>
      <w:r>
        <w:rPr>
          <w:rFonts w:hint="eastAsia" w:ascii="Times New Roman" w:hAnsi="Times New Roman" w:eastAsia="仿宋_GB2312" w:cs="Times New Roman"/>
          <w:color w:val="000000"/>
          <w:sz w:val="32"/>
          <w:szCs w:val="32"/>
          <w:highlight w:val="none"/>
          <w:lang w:val="en-US" w:eastAsia="zh-CN"/>
        </w:rPr>
        <w:t>验</w:t>
      </w:r>
      <w:r>
        <w:rPr>
          <w:rFonts w:ascii="Times New Roman" w:hAnsi="Times New Roman" w:eastAsia="仿宋_GB2312" w:cs="Times New Roman"/>
          <w:color w:val="000000"/>
          <w:sz w:val="32"/>
          <w:szCs w:val="32"/>
          <w:highlight w:val="none"/>
        </w:rPr>
        <w:t>结果超过</w:t>
      </w:r>
      <w:r>
        <w:rPr>
          <w:rFonts w:hint="eastAsia" w:ascii="Times New Roman" w:hAnsi="Times New Roman" w:eastAsia="仿宋_GB2312" w:cs="Times New Roman"/>
          <w:sz w:val="32"/>
          <w:szCs w:val="32"/>
          <w:highlight w:val="none"/>
        </w:rPr>
        <w:t>10</w:t>
      </w:r>
      <w:r>
        <w:rPr>
          <w:rFonts w:hint="eastAsia" w:ascii="Times New Roman" w:hAnsi="Times New Roman" w:eastAsia="仿宋_GB2312" w:cs="Times New Roman"/>
          <w:sz w:val="32"/>
          <w:szCs w:val="32"/>
          <w:highlight w:val="none"/>
          <w:vertAlign w:val="superscript"/>
          <w:lang w:val="en-US" w:eastAsia="zh-CN"/>
        </w:rPr>
        <w:t>5</w:t>
      </w:r>
      <w:r>
        <w:rPr>
          <w:rFonts w:hint="eastAsia" w:ascii="Times New Roman" w:hAnsi="Times New Roman" w:eastAsia="仿宋_GB2312" w:cs="Times New Roman"/>
          <w:sz w:val="32"/>
          <w:szCs w:val="32"/>
          <w:highlight w:val="none"/>
        </w:rPr>
        <w:t>CFU/g</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《食品安全国家标准 糕点、面包》（GB 7099—2015）中规定</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糕点同一批次5个样品的</w:t>
      </w:r>
      <w:r>
        <w:rPr>
          <w:rFonts w:hint="eastAsia" w:ascii="Times New Roman" w:hAnsi="Times New Roman" w:eastAsia="仿宋_GB2312" w:cs="Times New Roman"/>
          <w:sz w:val="32"/>
          <w:szCs w:val="32"/>
          <w:highlight w:val="none"/>
          <w:lang w:eastAsia="zh-CN"/>
        </w:rPr>
        <w:t>菌落总数</w:t>
      </w:r>
      <w:r>
        <w:rPr>
          <w:rFonts w:hint="eastAsia" w:ascii="Times New Roman" w:hAnsi="Times New Roman" w:eastAsia="仿宋_GB2312" w:cs="Times New Roman"/>
          <w:sz w:val="32"/>
          <w:szCs w:val="32"/>
          <w:highlight w:val="none"/>
          <w:lang w:val="en-US" w:eastAsia="zh-CN"/>
        </w:rPr>
        <w:t>检验</w:t>
      </w:r>
      <w:r>
        <w:rPr>
          <w:rFonts w:hint="eastAsia" w:ascii="Times New Roman" w:hAnsi="Times New Roman" w:eastAsia="仿宋_GB2312" w:cs="Times New Roman"/>
          <w:sz w:val="32"/>
          <w:szCs w:val="32"/>
          <w:highlight w:val="none"/>
          <w:lang w:eastAsia="zh-CN"/>
        </w:rPr>
        <w:t>结果均不得超过</w:t>
      </w:r>
      <w:r>
        <w:rPr>
          <w:rFonts w:hint="eastAsia" w:ascii="Times New Roman" w:hAnsi="Times New Roman" w:eastAsia="仿宋_GB2312" w:cs="Times New Roman"/>
          <w:sz w:val="32"/>
          <w:szCs w:val="32"/>
          <w:highlight w:val="none"/>
          <w:lang w:val="en-US" w:eastAsia="zh-CN"/>
        </w:rPr>
        <w:t>10</w:t>
      </w:r>
      <w:r>
        <w:rPr>
          <w:rFonts w:hint="eastAsia" w:ascii="Times New Roman" w:hAnsi="Times New Roman" w:eastAsia="仿宋_GB2312" w:cs="Times New Roman"/>
          <w:sz w:val="32"/>
          <w:szCs w:val="32"/>
          <w:highlight w:val="none"/>
          <w:vertAlign w:val="superscript"/>
          <w:lang w:val="en-US" w:eastAsia="zh-CN"/>
        </w:rPr>
        <w:t>5</w:t>
      </w:r>
      <w:r>
        <w:rPr>
          <w:rFonts w:hint="eastAsia" w:ascii="Times New Roman" w:hAnsi="Times New Roman" w:eastAsia="仿宋_GB2312" w:cs="Times New Roman"/>
          <w:sz w:val="32"/>
          <w:szCs w:val="32"/>
          <w:highlight w:val="none"/>
          <w:lang w:eastAsia="zh-CN"/>
        </w:rPr>
        <w:t>CFU/g，且最多允许2个样品的检</w:t>
      </w:r>
      <w:r>
        <w:rPr>
          <w:rFonts w:hint="eastAsia" w:ascii="Times New Roman" w:hAnsi="Times New Roman" w:eastAsia="仿宋_GB2312" w:cs="Times New Roman"/>
          <w:sz w:val="32"/>
          <w:szCs w:val="32"/>
          <w:highlight w:val="none"/>
          <w:lang w:val="en-US" w:eastAsia="zh-CN"/>
        </w:rPr>
        <w:t>验</w:t>
      </w:r>
      <w:r>
        <w:rPr>
          <w:rFonts w:hint="eastAsia" w:ascii="Times New Roman" w:hAnsi="Times New Roman" w:eastAsia="仿宋_GB2312" w:cs="Times New Roman"/>
          <w:sz w:val="32"/>
          <w:szCs w:val="32"/>
          <w:highlight w:val="none"/>
          <w:lang w:eastAsia="zh-CN"/>
        </w:rPr>
        <w:t>结果超过</w:t>
      </w:r>
      <w:r>
        <w:rPr>
          <w:rFonts w:hint="eastAsia" w:ascii="Times New Roman" w:hAnsi="Times New Roman" w:eastAsia="仿宋_GB2312" w:cs="Times New Roman"/>
          <w:sz w:val="32"/>
          <w:szCs w:val="32"/>
          <w:highlight w:val="none"/>
          <w:lang w:val="en-US" w:eastAsia="zh-CN"/>
        </w:rPr>
        <w:t>10</w:t>
      </w:r>
      <w:r>
        <w:rPr>
          <w:rFonts w:hint="eastAsia" w:ascii="Times New Roman" w:hAnsi="Times New Roman" w:eastAsia="仿宋_GB2312" w:cs="Times New Roman"/>
          <w:sz w:val="32"/>
          <w:szCs w:val="32"/>
          <w:highlight w:val="none"/>
          <w:vertAlign w:val="superscript"/>
          <w:lang w:val="en-US" w:eastAsia="zh-CN"/>
        </w:rPr>
        <w:t>4</w:t>
      </w:r>
      <w:r>
        <w:rPr>
          <w:rFonts w:hint="eastAsia" w:ascii="Times New Roman" w:hAnsi="Times New Roman" w:eastAsia="仿宋_GB2312" w:cs="Times New Roman"/>
          <w:sz w:val="32"/>
          <w:szCs w:val="32"/>
          <w:highlight w:val="none"/>
          <w:lang w:eastAsia="zh-CN"/>
        </w:rPr>
        <w:t>CFU/g。</w:t>
      </w:r>
      <w:r>
        <w:rPr>
          <w:rFonts w:hint="eastAsia" w:ascii="Times New Roman" w:hAnsi="Times New Roman" w:eastAsia="仿宋_GB2312" w:cs="Times New Roman"/>
          <w:sz w:val="32"/>
          <w:szCs w:val="32"/>
          <w:lang w:eastAsia="zh-CN"/>
        </w:rPr>
        <w:t>凉皮凉面、</w:t>
      </w:r>
      <w:r>
        <w:rPr>
          <w:rFonts w:hint="eastAsia" w:ascii="Times New Roman" w:hAnsi="Times New Roman" w:eastAsia="仿宋_GB2312" w:cs="Times New Roman"/>
          <w:sz w:val="32"/>
          <w:szCs w:val="32"/>
          <w:lang w:val="en-US" w:eastAsia="zh-CN"/>
        </w:rPr>
        <w:t>糕点</w:t>
      </w:r>
      <w:r>
        <w:rPr>
          <w:rFonts w:hint="eastAsia" w:ascii="Times New Roman" w:hAnsi="Times New Roman" w:eastAsia="仿宋_GB2312" w:cs="Times New Roman"/>
          <w:sz w:val="32"/>
          <w:szCs w:val="32"/>
          <w:highlight w:val="none"/>
          <w:lang w:val="en-US" w:eastAsia="zh-CN"/>
        </w:rPr>
        <w:t>中</w:t>
      </w:r>
      <w:r>
        <w:rPr>
          <w:rFonts w:hint="default" w:ascii="Times New Roman" w:hAnsi="Times New Roman" w:eastAsia="仿宋_GB2312" w:cs="Times New Roman"/>
          <w:sz w:val="32"/>
          <w:szCs w:val="32"/>
          <w:highlight w:val="none"/>
          <w:lang w:val="en-US" w:eastAsia="zh-CN"/>
        </w:rPr>
        <w:t>菌落总数超标的原因，可能是企业未按要求严格控制生产加工过程的卫生条件</w:t>
      </w:r>
      <w:r>
        <w:rPr>
          <w:rFonts w:hint="eastAsia" w:ascii="Times New Roman" w:hAnsi="Times New Roman" w:eastAsia="仿宋_GB2312" w:cs="Times New Roman"/>
          <w:sz w:val="32"/>
          <w:szCs w:val="32"/>
          <w:highlight w:val="none"/>
          <w:lang w:val="en-US" w:eastAsia="zh-CN"/>
        </w:rPr>
        <w:t>，或者包装容器清洗消毒不到位；</w:t>
      </w:r>
      <w:r>
        <w:rPr>
          <w:rFonts w:hint="default" w:ascii="Times New Roman" w:hAnsi="Times New Roman" w:eastAsia="仿宋_GB2312" w:cs="Times New Roman"/>
          <w:sz w:val="32"/>
          <w:szCs w:val="32"/>
          <w:highlight w:val="none"/>
          <w:lang w:val="en-US" w:eastAsia="zh-CN"/>
        </w:rPr>
        <w:t>也可能与产品包装密封不严或储运条件不当等有关。</w:t>
      </w:r>
    </w:p>
    <w:p w14:paraId="475AC3E0">
      <w:pPr>
        <w:spacing w:line="594" w:lineRule="exact"/>
        <w:ind w:firstLine="592" w:firstLineChars="200"/>
        <w:rPr>
          <w:rFonts w:hint="eastAsia" w:ascii="Times New Roman" w:hAnsi="Times New Roman" w:eastAsia="黑体" w:cs="Times New Roman"/>
          <w:color w:val="auto"/>
          <w:sz w:val="32"/>
          <w:szCs w:val="32"/>
          <w:highlight w:val="none"/>
          <w:lang w:val="en-US" w:eastAsia="zh-CN"/>
        </w:rPr>
      </w:pPr>
      <w:r>
        <w:rPr>
          <w:rFonts w:hint="eastAsia" w:eastAsia="黑体"/>
          <w:spacing w:val="-12"/>
          <w:sz w:val="32"/>
          <w:szCs w:val="32"/>
          <w:lang w:val="en-US" w:eastAsia="zh-CN"/>
        </w:rPr>
        <w:t>十八、</w:t>
      </w:r>
      <w:r>
        <w:rPr>
          <w:rFonts w:hint="eastAsia" w:ascii="Times New Roman" w:hAnsi="Times New Roman" w:eastAsia="黑体" w:cs="Times New Roman"/>
          <w:color w:val="auto"/>
          <w:kern w:val="2"/>
          <w:sz w:val="32"/>
          <w:szCs w:val="32"/>
          <w:highlight w:val="none"/>
          <w:lang w:val="en-US" w:eastAsia="zh-CN" w:bidi="ar-SA"/>
        </w:rPr>
        <w:t>铅</w:t>
      </w:r>
      <w:r>
        <w:rPr>
          <w:rFonts w:hint="eastAsia" w:ascii="Times New Roman" w:hAnsi="Times New Roman" w:eastAsia="黑体" w:cs="Times New Roman"/>
          <w:color w:val="auto"/>
          <w:sz w:val="32"/>
          <w:szCs w:val="32"/>
          <w:highlight w:val="none"/>
          <w:lang w:val="en-US" w:eastAsia="zh-CN"/>
        </w:rPr>
        <w:t>（以</w:t>
      </w:r>
      <w:r>
        <w:rPr>
          <w:rFonts w:hint="eastAsia" w:ascii="黑体" w:hAnsi="黑体" w:eastAsia="黑体" w:cs="Times New Roman"/>
          <w:sz w:val="32"/>
          <w:szCs w:val="32"/>
          <w:highlight w:val="none"/>
        </w:rPr>
        <w:t>Pb</w:t>
      </w:r>
      <w:r>
        <w:rPr>
          <w:rFonts w:hint="eastAsia" w:ascii="Times New Roman" w:hAnsi="Times New Roman" w:eastAsia="黑体" w:cs="Times New Roman"/>
          <w:color w:val="auto"/>
          <w:sz w:val="32"/>
          <w:szCs w:val="32"/>
          <w:highlight w:val="none"/>
          <w:lang w:val="en-US" w:eastAsia="zh-CN"/>
        </w:rPr>
        <w:t>计）</w:t>
      </w:r>
    </w:p>
    <w:p w14:paraId="2B2D71CE">
      <w:pPr>
        <w:pStyle w:val="20"/>
        <w:adjustRightInd/>
        <w:spacing w:line="594"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highlight w:val="none"/>
        </w:rPr>
        <w:t>铅是常见的重金属污染物，是蓄积性的重金属</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当人体中铅含量达到一定程度时，会引发身体的不适</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长期摄入铅会对机体的血液系统、神经系统产生损害。</w:t>
      </w:r>
      <w:r>
        <w:rPr>
          <w:rFonts w:hint="default" w:ascii="Times New Roman" w:hAnsi="Times New Roman" w:eastAsia="仿宋_GB2312" w:cs="Times New Roman"/>
          <w:spacing w:val="0"/>
          <w:sz w:val="32"/>
          <w:szCs w:val="32"/>
          <w:highlight w:val="none"/>
          <w:lang w:val="en-US" w:eastAsia="zh-CN"/>
        </w:rPr>
        <w:t>《食品安全国家标准 食品</w:t>
      </w:r>
      <w:r>
        <w:rPr>
          <w:rFonts w:hint="eastAsia" w:ascii="Times New Roman" w:hAnsi="Times New Roman" w:eastAsia="仿宋_GB2312" w:cs="Times New Roman"/>
          <w:spacing w:val="0"/>
          <w:sz w:val="32"/>
          <w:szCs w:val="32"/>
          <w:highlight w:val="none"/>
          <w:lang w:val="en-US" w:eastAsia="zh-CN"/>
        </w:rPr>
        <w:t>中污染物限量</w:t>
      </w:r>
      <w:r>
        <w:rPr>
          <w:rFonts w:hint="default" w:ascii="Times New Roman" w:hAnsi="Times New Roman" w:eastAsia="仿宋_GB2312" w:cs="Times New Roman"/>
          <w:spacing w:val="0"/>
          <w:sz w:val="32"/>
          <w:szCs w:val="32"/>
          <w:highlight w:val="none"/>
          <w:lang w:val="en-US" w:eastAsia="zh-CN"/>
        </w:rPr>
        <w:t>》（GB 276</w:t>
      </w:r>
      <w:r>
        <w:rPr>
          <w:rFonts w:hint="eastAsia" w:ascii="Times New Roman" w:hAnsi="Times New Roman" w:eastAsia="仿宋_GB2312" w:cs="Times New Roman"/>
          <w:spacing w:val="0"/>
          <w:sz w:val="32"/>
          <w:szCs w:val="32"/>
          <w:highlight w:val="none"/>
          <w:lang w:val="en-US" w:eastAsia="zh-CN"/>
        </w:rPr>
        <w:t>2—</w:t>
      </w:r>
      <w:r>
        <w:rPr>
          <w:rFonts w:hint="default" w:ascii="Times New Roman" w:hAnsi="Times New Roman" w:eastAsia="仿宋_GB2312" w:cs="Times New Roman"/>
          <w:spacing w:val="0"/>
          <w:sz w:val="32"/>
          <w:szCs w:val="32"/>
          <w:highlight w:val="none"/>
          <w:lang w:val="en-US" w:eastAsia="zh-CN"/>
        </w:rPr>
        <w:t>20</w:t>
      </w:r>
      <w:r>
        <w:rPr>
          <w:rFonts w:hint="eastAsia" w:ascii="Times New Roman" w:hAnsi="Times New Roman" w:eastAsia="仿宋_GB2312" w:cs="Times New Roman"/>
          <w:spacing w:val="0"/>
          <w:sz w:val="32"/>
          <w:szCs w:val="32"/>
          <w:highlight w:val="none"/>
          <w:lang w:val="en-US" w:eastAsia="zh-CN"/>
        </w:rPr>
        <w:t>22</w:t>
      </w:r>
      <w:r>
        <w:rPr>
          <w:rFonts w:hint="default" w:ascii="Times New Roman" w:hAnsi="Times New Roman" w:eastAsia="仿宋_GB2312" w:cs="Times New Roman"/>
          <w:spacing w:val="0"/>
          <w:sz w:val="32"/>
          <w:szCs w:val="32"/>
          <w:highlight w:val="none"/>
          <w:lang w:val="en-US" w:eastAsia="zh-CN"/>
        </w:rPr>
        <w:t>）中规定，</w:t>
      </w:r>
      <w:r>
        <w:rPr>
          <w:rFonts w:hint="eastAsia" w:ascii="Times New Roman" w:hAnsi="Times New Roman" w:eastAsia="仿宋_GB2312" w:cs="Times New Roman"/>
          <w:spacing w:val="0"/>
          <w:sz w:val="32"/>
          <w:szCs w:val="32"/>
          <w:highlight w:val="none"/>
          <w:lang w:val="en-US" w:eastAsia="zh-CN"/>
        </w:rPr>
        <w:t>酱腌菜中</w:t>
      </w:r>
      <w:r>
        <w:rPr>
          <w:rFonts w:hint="default" w:ascii="Times New Roman" w:hAnsi="Times New Roman" w:eastAsia="仿宋_GB2312" w:cs="Times New Roman"/>
          <w:sz w:val="32"/>
          <w:szCs w:val="32"/>
          <w:highlight w:val="none"/>
        </w:rPr>
        <w:t>铅（以Pb计）的限量值为</w:t>
      </w:r>
      <w:r>
        <w:rPr>
          <w:rFonts w:hint="eastAsia" w:ascii="Times New Roman" w:hAnsi="Times New Roman" w:eastAsia="仿宋_GB2312" w:cs="Times New Roman"/>
          <w:sz w:val="32"/>
          <w:szCs w:val="32"/>
          <w:highlight w:val="none"/>
          <w:lang w:val="en-US" w:eastAsia="zh-CN"/>
        </w:rPr>
        <w:t>≤0.5</w:t>
      </w:r>
      <w:r>
        <w:rPr>
          <w:rFonts w:hint="default" w:ascii="Times New Roman" w:hAnsi="Times New Roman" w:eastAsia="仿宋_GB2312" w:cs="Times New Roman"/>
          <w:sz w:val="32"/>
          <w:szCs w:val="32"/>
          <w:highlight w:val="none"/>
        </w:rPr>
        <w:t>mg/kg</w:t>
      </w:r>
      <w:r>
        <w:rPr>
          <w:rFonts w:hint="eastAsia" w:ascii="Times New Roman" w:hAnsi="Times New Roman" w:eastAsia="仿宋_GB2312" w:cs="Times New Roman"/>
          <w:sz w:val="32"/>
          <w:szCs w:val="32"/>
          <w:highlight w:val="none"/>
          <w:lang w:eastAsia="zh-CN"/>
        </w:rPr>
        <w:t>，方便冲调果蔬籽粉中铅</w:t>
      </w:r>
      <w:r>
        <w:rPr>
          <w:rFonts w:hint="default" w:ascii="Times New Roman" w:hAnsi="Times New Roman" w:eastAsia="仿宋_GB2312" w:cs="Times New Roman"/>
          <w:sz w:val="32"/>
          <w:szCs w:val="32"/>
          <w:highlight w:val="none"/>
        </w:rPr>
        <w:t>（以Pb计）</w:t>
      </w:r>
      <w:r>
        <w:rPr>
          <w:rFonts w:hint="eastAsia" w:ascii="Times New Roman" w:hAnsi="Times New Roman" w:eastAsia="仿宋_GB2312" w:cs="Times New Roman"/>
          <w:sz w:val="32"/>
          <w:szCs w:val="32"/>
          <w:highlight w:val="none"/>
          <w:lang w:eastAsia="zh-CN"/>
        </w:rPr>
        <w:t>的限量值为≤0.2mg/kg</w:t>
      </w:r>
      <w:r>
        <w:rPr>
          <w:rFonts w:hint="eastAsia" w:ascii="Times New Roman" w:hAnsi="Times New Roman" w:eastAsia="仿宋_GB2312" w:cs="Times New Roman"/>
          <w:spacing w:val="0"/>
          <w:sz w:val="32"/>
          <w:szCs w:val="32"/>
          <w:highlight w:val="none"/>
          <w:lang w:val="en-US" w:eastAsia="zh-CN"/>
        </w:rPr>
        <w:t>；企业标准《果蔬籽粉》（Q/JJG 0003S—2025）中规定，方便冲调果蔬籽粉中铅（以Pb计）的限量值为≤0.15mg/kg；企业标准《冲调类方便食品》（Q/FLPY 0001S—2024）中规定，冲调类方便食品中铅（以Pb计）的限量值为＜0.2mg/kg。酱腌菜、</w:t>
      </w:r>
      <w:r>
        <w:rPr>
          <w:rFonts w:hint="eastAsia" w:ascii="Calibri" w:hAnsi="Calibri" w:eastAsia="仿宋_GB2312" w:cs="Times New Roman"/>
          <w:sz w:val="32"/>
          <w:szCs w:val="32"/>
          <w:highlight w:val="none"/>
          <w:lang w:eastAsia="zh-CN"/>
        </w:rPr>
        <w:t>方便冲调果蔬籽粉、冲调类方便食品</w:t>
      </w:r>
      <w:r>
        <w:rPr>
          <w:rFonts w:hint="eastAsia" w:ascii="Times New Roman" w:hAnsi="Times New Roman" w:eastAsia="仿宋_GB2312" w:cs="Times New Roman"/>
          <w:spacing w:val="0"/>
          <w:sz w:val="32"/>
          <w:szCs w:val="32"/>
          <w:highlight w:val="none"/>
          <w:lang w:val="en-US" w:eastAsia="zh-CN"/>
        </w:rPr>
        <w:t>中</w:t>
      </w:r>
      <w:r>
        <w:rPr>
          <w:rFonts w:hint="default" w:ascii="Times New Roman" w:hAnsi="Times New Roman" w:eastAsia="仿宋_GB2312" w:cs="Times New Roman"/>
          <w:sz w:val="32"/>
          <w:szCs w:val="32"/>
          <w:highlight w:val="none"/>
        </w:rPr>
        <w:t>铅</w:t>
      </w:r>
      <w:r>
        <w:rPr>
          <w:rFonts w:hint="eastAsia" w:ascii="Times New Roman" w:hAnsi="Times New Roman" w:eastAsia="仿宋_GB2312" w:cs="Times New Roman"/>
          <w:spacing w:val="0"/>
          <w:sz w:val="32"/>
          <w:szCs w:val="32"/>
          <w:highlight w:val="none"/>
          <w:lang w:val="en-US" w:eastAsia="zh-CN"/>
        </w:rPr>
        <w:t>（以Pb计）检验值超标的原因</w:t>
      </w:r>
      <w:r>
        <w:rPr>
          <w:rFonts w:hint="default" w:ascii="Times New Roman" w:hAnsi="Times New Roman" w:eastAsia="仿宋_GB2312" w:cs="Times New Roman"/>
          <w:spacing w:val="0"/>
          <w:sz w:val="32"/>
          <w:szCs w:val="32"/>
          <w:highlight w:val="none"/>
          <w:lang w:val="en-US" w:eastAsia="zh-CN"/>
        </w:rPr>
        <w:t>，</w:t>
      </w:r>
      <w:r>
        <w:rPr>
          <w:rFonts w:hint="default" w:ascii="Times New Roman" w:hAnsi="Times New Roman" w:eastAsia="仿宋_GB2312" w:cs="Times New Roman"/>
          <w:sz w:val="32"/>
          <w:szCs w:val="32"/>
          <w:highlight w:val="none"/>
        </w:rPr>
        <w:t>可能是生产企业使用的原料中铅含量</w:t>
      </w:r>
      <w:r>
        <w:rPr>
          <w:rFonts w:hint="eastAsia" w:ascii="Times New Roman" w:hAnsi="Times New Roman" w:eastAsia="仿宋_GB2312" w:cs="Times New Roman"/>
          <w:sz w:val="32"/>
          <w:szCs w:val="32"/>
          <w:highlight w:val="none"/>
          <w:lang w:val="en-US" w:eastAsia="zh-CN"/>
        </w:rPr>
        <w:t>较高</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也可能是生产设备或包装材料中的铅迁移带入。</w:t>
      </w:r>
    </w:p>
    <w:p w14:paraId="62F1E88A">
      <w:pPr>
        <w:numPr>
          <w:ilvl w:val="0"/>
          <w:numId w:val="0"/>
        </w:numPr>
        <w:adjustRightInd w:val="0"/>
        <w:snapToGrid w:val="0"/>
        <w:spacing w:line="594" w:lineRule="exact"/>
        <w:ind w:firstLine="592" w:firstLineChars="200"/>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auto"/>
          <w:spacing w:val="-12"/>
          <w:sz w:val="32"/>
          <w:szCs w:val="32"/>
          <w:lang w:val="en-US" w:eastAsia="zh-CN"/>
        </w:rPr>
        <w:t>十九、</w:t>
      </w:r>
      <w:r>
        <w:rPr>
          <w:rFonts w:hint="default" w:ascii="Times New Roman" w:hAnsi="Times New Roman" w:eastAsia="黑体" w:cs="Times New Roman"/>
          <w:color w:val="000000"/>
          <w:sz w:val="32"/>
          <w:szCs w:val="32"/>
          <w:lang w:val="en-US" w:eastAsia="zh-CN"/>
        </w:rPr>
        <w:t>酸价</w:t>
      </w:r>
      <w:r>
        <w:rPr>
          <w:rFonts w:hint="default" w:ascii="Times New Roman" w:hAnsi="Times New Roman" w:eastAsia="黑体" w:cs="Times New Roman"/>
          <w:color w:val="000000"/>
          <w:sz w:val="32"/>
          <w:szCs w:val="32"/>
          <w:lang w:val="en-US" w:eastAsia="zh-CN"/>
        </w:rPr>
        <w:t>（以脂肪计）</w:t>
      </w:r>
      <w:r>
        <w:rPr>
          <w:rFonts w:hint="default" w:ascii="Times New Roman" w:hAnsi="Times New Roman" w:eastAsia="黑体" w:cs="Times New Roman"/>
          <w:spacing w:val="-12"/>
          <w:sz w:val="32"/>
          <w:szCs w:val="32"/>
          <w:highlight w:val="none"/>
          <w:lang w:eastAsia="zh-CN"/>
        </w:rPr>
        <w:t>（</w:t>
      </w:r>
      <w:r>
        <w:rPr>
          <w:rFonts w:hint="default" w:ascii="Times New Roman" w:hAnsi="Times New Roman" w:eastAsia="黑体" w:cs="Times New Roman"/>
          <w:spacing w:val="-12"/>
          <w:sz w:val="32"/>
          <w:szCs w:val="32"/>
          <w:highlight w:val="none"/>
          <w:lang w:val="en-US" w:eastAsia="zh-CN"/>
        </w:rPr>
        <w:t>KOH</w:t>
      </w:r>
      <w:r>
        <w:rPr>
          <w:rFonts w:hint="default" w:ascii="Times New Roman" w:hAnsi="Times New Roman" w:eastAsia="黑体" w:cs="Times New Roman"/>
          <w:spacing w:val="-12"/>
          <w:sz w:val="32"/>
          <w:szCs w:val="32"/>
          <w:highlight w:val="none"/>
          <w:lang w:eastAsia="zh-CN"/>
        </w:rPr>
        <w:t>）</w:t>
      </w:r>
    </w:p>
    <w:p w14:paraId="1CA7F978">
      <w:pPr>
        <w:pStyle w:val="9"/>
        <w:spacing w:after="0" w:line="594" w:lineRule="exact"/>
        <w:ind w:firstLine="640" w:firstLineChars="200"/>
        <w:rPr>
          <w:rFonts w:hint="eastAsia" w:ascii="黑体" w:hAnsi="黑体" w:eastAsia="黑体" w:cs="黑体"/>
          <w:color w:val="auto"/>
          <w:spacing w:val="0"/>
          <w:sz w:val="32"/>
          <w:szCs w:val="32"/>
          <w:highlight w:val="none"/>
          <w:lang w:val="en-US" w:eastAsia="zh-CN"/>
        </w:rPr>
      </w:pPr>
      <w:r>
        <w:rPr>
          <w:rFonts w:hint="default" w:ascii="Times New Roman" w:hAnsi="Times New Roman" w:eastAsia="仿宋_GB2312" w:cs="Times New Roman"/>
          <w:sz w:val="32"/>
          <w:szCs w:val="32"/>
          <w:lang w:val="en-US" w:eastAsia="zh-CN"/>
        </w:rPr>
        <w:t>酸价，又称酸值，主要反映食品中油脂的酸败程度。酸价超标会导致食品有哈喇等异味，严重超标时会产生醛酮类化合物，长期摄入酸价超标的食品会对健康有一定影响。</w:t>
      </w:r>
      <w:r>
        <w:rPr>
          <w:rFonts w:hint="default" w:ascii="Times New Roman" w:hAnsi="Times New Roman" w:eastAsia="仿宋_GB2312" w:cs="Times New Roman"/>
          <w:sz w:val="32"/>
          <w:szCs w:val="32"/>
          <w:highlight w:val="none"/>
          <w:lang w:eastAsia="zh-CN"/>
        </w:rPr>
        <w:t>《果蔬籽粉》（Q/JJG</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eastAsia="zh-CN"/>
        </w:rPr>
        <w:t>0003S</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2025）</w:t>
      </w:r>
      <w:r>
        <w:rPr>
          <w:rFonts w:hint="default" w:ascii="Times New Roman" w:hAnsi="Times New Roman" w:eastAsia="仿宋_GB2312" w:cs="Times New Roman"/>
          <w:sz w:val="32"/>
          <w:szCs w:val="32"/>
          <w:highlight w:val="none"/>
        </w:rPr>
        <w:t>中规定</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highlight w:val="none"/>
          <w:lang w:eastAsia="zh-CN"/>
        </w:rPr>
        <w:t>方便冲调果蔬籽粉</w:t>
      </w:r>
      <w:r>
        <w:rPr>
          <w:rFonts w:hint="default" w:ascii="Times New Roman" w:hAnsi="Times New Roman" w:eastAsia="仿宋_GB2312" w:cs="Times New Roman"/>
          <w:sz w:val="32"/>
          <w:szCs w:val="32"/>
          <w:lang w:val="en-US" w:eastAsia="zh-CN"/>
        </w:rPr>
        <w:t>中酸价</w:t>
      </w:r>
      <w:r>
        <w:rPr>
          <w:rFonts w:hint="eastAsia" w:ascii="Times New Roman" w:hAnsi="Times New Roman" w:eastAsia="仿宋_GB2312" w:cs="Times New Roman"/>
          <w:sz w:val="32"/>
          <w:szCs w:val="32"/>
          <w:lang w:val="en-US" w:eastAsia="zh-CN"/>
        </w:rPr>
        <w:t>（以脂肪计）</w:t>
      </w:r>
      <w:r>
        <w:rPr>
          <w:rFonts w:hint="default" w:ascii="Times New Roman" w:hAnsi="Times New Roman" w:eastAsia="仿宋_GB2312" w:cs="Times New Roman"/>
          <w:sz w:val="32"/>
          <w:szCs w:val="32"/>
          <w:lang w:val="en-US" w:eastAsia="zh-CN"/>
        </w:rPr>
        <w:t>（KOH）的限量值为</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3mg/g，</w:t>
      </w:r>
      <w:r>
        <w:rPr>
          <w:rFonts w:hint="default" w:ascii="Times New Roman" w:hAnsi="Times New Roman" w:eastAsia="仿宋_GB2312" w:cs="Times New Roman"/>
          <w:sz w:val="32"/>
          <w:szCs w:val="32"/>
          <w:highlight w:val="none"/>
          <w:lang w:eastAsia="zh-CN"/>
        </w:rPr>
        <w:t>方便冲调果蔬籽粉</w:t>
      </w:r>
      <w:r>
        <w:rPr>
          <w:rFonts w:hint="default" w:ascii="Times New Roman" w:hAnsi="Times New Roman" w:eastAsia="仿宋_GB2312" w:cs="Times New Roman"/>
          <w:sz w:val="32"/>
          <w:szCs w:val="32"/>
          <w:lang w:val="en-US" w:eastAsia="zh-CN"/>
        </w:rPr>
        <w:t>中酸价</w:t>
      </w:r>
      <w:r>
        <w:rPr>
          <w:rFonts w:hint="eastAsia" w:ascii="Times New Roman" w:hAnsi="Times New Roman" w:eastAsia="仿宋_GB2312" w:cs="Times New Roman"/>
          <w:sz w:val="32"/>
          <w:szCs w:val="32"/>
          <w:lang w:val="en-US" w:eastAsia="zh-CN"/>
        </w:rPr>
        <w:t>（以脂肪计）</w:t>
      </w:r>
      <w:r>
        <w:rPr>
          <w:rFonts w:hint="default" w:ascii="Times New Roman" w:hAnsi="Times New Roman" w:eastAsia="仿宋_GB2312" w:cs="Times New Roman"/>
          <w:sz w:val="32"/>
          <w:szCs w:val="32"/>
          <w:lang w:val="en-US" w:eastAsia="zh-CN"/>
        </w:rPr>
        <w:t>（KOH）检验值超标的原因，可能是企业原料采购把关不严；也可能是生产工艺不达标；还可能与产品储藏条件不当有关。</w:t>
      </w:r>
    </w:p>
    <w:p w14:paraId="4078CEA2">
      <w:pPr>
        <w:spacing w:line="594" w:lineRule="exact"/>
        <w:ind w:firstLine="640" w:firstLineChars="200"/>
        <w:jc w:val="both"/>
        <w:rPr>
          <w:rFonts w:hint="default" w:ascii="Times New Roman" w:hAnsi="Times New Roman" w:eastAsia="黑体" w:cs="Times New Roman"/>
          <w:spacing w:val="0"/>
          <w:sz w:val="32"/>
          <w:szCs w:val="32"/>
          <w:lang w:val="en-US" w:eastAsia="zh-CN"/>
        </w:rPr>
      </w:pPr>
      <w:r>
        <w:rPr>
          <w:rFonts w:hint="eastAsia" w:ascii="黑体" w:hAnsi="黑体" w:eastAsia="黑体" w:cs="黑体"/>
          <w:color w:val="auto"/>
          <w:spacing w:val="0"/>
          <w:sz w:val="32"/>
          <w:szCs w:val="32"/>
          <w:highlight w:val="none"/>
          <w:lang w:val="en-US" w:eastAsia="zh-CN"/>
        </w:rPr>
        <w:t>二十、</w:t>
      </w:r>
      <w:r>
        <w:rPr>
          <w:rFonts w:hint="default" w:ascii="Times New Roman" w:hAnsi="Times New Roman" w:eastAsia="黑体" w:cs="Times New Roman"/>
          <w:spacing w:val="0"/>
          <w:sz w:val="32"/>
          <w:szCs w:val="32"/>
          <w:lang w:val="en-US" w:eastAsia="zh-CN"/>
        </w:rPr>
        <w:t>溴酸盐</w:t>
      </w:r>
    </w:p>
    <w:p w14:paraId="015033A5">
      <w:pPr>
        <w:adjustRightInd/>
        <w:spacing w:after="0" w:line="594"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溴酸盐一般在水中不存在，当水源水含有溴化物，并经臭氧消毒时，可产生无机消毒副产物溴酸盐，它是矿泉水及山泉水等多种天然水源在经过臭氧消毒后所产生的副产物。《食品安全国家标准 包装饮用水》（GB 19298</w:t>
      </w:r>
      <w:r>
        <w:rPr>
          <w:rFonts w:hint="eastAsia" w:ascii="仿宋_GB2312" w:hAnsi="仿宋_GB2312" w:eastAsia="仿宋_GB2312" w:cs="仿宋_GB2312"/>
          <w:b w:val="0"/>
          <w:bCs w:val="0"/>
          <w:color w:val="000000"/>
          <w:sz w:val="32"/>
          <w:szCs w:val="32"/>
          <w:highlight w:val="none"/>
          <w:lang w:val="en-US" w:eastAsia="zh-CN"/>
        </w:rPr>
        <w:t>—</w:t>
      </w:r>
      <w:r>
        <w:rPr>
          <w:rFonts w:hint="default" w:ascii="Times New Roman" w:hAnsi="Times New Roman" w:eastAsia="仿宋_GB2312" w:cs="Times New Roman"/>
          <w:b w:val="0"/>
          <w:bCs w:val="0"/>
          <w:color w:val="000000"/>
          <w:sz w:val="32"/>
          <w:szCs w:val="32"/>
          <w:highlight w:val="none"/>
          <w:lang w:val="en-US" w:eastAsia="zh-CN"/>
        </w:rPr>
        <w:t>2014）中规定，包装饮用水中溴酸盐的最大限量为0.01mg/L。其他类饮用水中溴酸盐检验值超标的原因，可能是由于臭氧消毒杀菌工艺设置不当导致消毒副产物溴酸盐含量超标。</w:t>
      </w:r>
    </w:p>
    <w:p w14:paraId="1407CBCC">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592" w:firstLineChars="200"/>
        <w:jc w:val="both"/>
        <w:textAlignment w:val="auto"/>
        <w:rPr>
          <w:rFonts w:hint="eastAsia" w:ascii="Times New Roman" w:hAnsi="Times New Roman" w:eastAsia="黑体" w:cs="Times New Roman"/>
          <w:color w:val="000000"/>
          <w:sz w:val="32"/>
          <w:szCs w:val="32"/>
          <w:lang w:val="en-US" w:eastAsia="zh-CN"/>
        </w:rPr>
      </w:pPr>
      <w:r>
        <w:rPr>
          <w:rFonts w:hint="eastAsia" w:eastAsia="黑体"/>
          <w:spacing w:val="-12"/>
          <w:sz w:val="32"/>
          <w:szCs w:val="32"/>
          <w:lang w:val="en-US" w:eastAsia="zh-CN"/>
        </w:rPr>
        <w:t>二十一、</w:t>
      </w:r>
      <w:r>
        <w:rPr>
          <w:rFonts w:hint="eastAsia" w:ascii="Times New Roman" w:hAnsi="Times New Roman" w:eastAsia="黑体" w:cs="Times New Roman"/>
          <w:color w:val="000000"/>
          <w:sz w:val="32"/>
          <w:szCs w:val="32"/>
          <w:lang w:val="en-US" w:eastAsia="zh-CN"/>
        </w:rPr>
        <w:t>水分</w:t>
      </w:r>
    </w:p>
    <w:p w14:paraId="00CA01D2">
      <w:pPr>
        <w:keepNext w:val="0"/>
        <w:keepLines w:val="0"/>
        <w:pageBreakBefore w:val="0"/>
        <w:numPr>
          <w:ilvl w:val="-1"/>
          <w:numId w:val="0"/>
        </w:numPr>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eastAsia="黑体" w:cs="Times New Roman"/>
          <w:spacing w:val="-12"/>
          <w:sz w:val="32"/>
          <w:szCs w:val="32"/>
          <w:lang w:val="en-US" w:eastAsia="zh-CN"/>
        </w:rPr>
      </w:pPr>
      <w:r>
        <w:rPr>
          <w:rFonts w:hint="default" w:ascii="Times New Roman" w:hAnsi="Times New Roman" w:eastAsia="仿宋_GB2312" w:cs="Times New Roman"/>
          <w:sz w:val="32"/>
          <w:szCs w:val="32"/>
          <w:highlight w:val="none"/>
          <w:lang w:val="en-US" w:eastAsia="zh-CN"/>
        </w:rPr>
        <w:t>食品中水分含量影响产品的品质、风味及耐储藏性。合理的水分控制，可避免产品的功效成分或营养物质分解、酶解变质、霉变等，保持产品质量稳定。《食品安全国家标准 方便面》（</w:t>
      </w:r>
      <w:r>
        <w:rPr>
          <w:rFonts w:hint="eastAsia" w:ascii="Times New Roman" w:hAnsi="Times New Roman" w:eastAsia="仿宋_GB2312" w:cs="Times New Roman"/>
          <w:sz w:val="32"/>
          <w:szCs w:val="32"/>
          <w:highlight w:val="none"/>
          <w:lang w:val="en-US" w:eastAsia="zh-CN"/>
        </w:rPr>
        <w:t>GB 17400</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w:t>
      </w:r>
      <w:r>
        <w:rPr>
          <w:rFonts w:hint="eastAsia" w:ascii="Times New Roman" w:hAnsi="Times New Roman" w:eastAsia="仿宋_GB2312" w:cs="Times New Roman"/>
          <w:sz w:val="32"/>
          <w:szCs w:val="32"/>
          <w:highlight w:val="none"/>
          <w:lang w:val="en-US" w:eastAsia="zh-CN"/>
        </w:rPr>
        <w:t>15</w:t>
      </w:r>
      <w:r>
        <w:rPr>
          <w:rFonts w:hint="default" w:ascii="Times New Roman" w:hAnsi="Times New Roman" w:eastAsia="仿宋_GB2312" w:cs="Times New Roman"/>
          <w:sz w:val="32"/>
          <w:szCs w:val="32"/>
          <w:highlight w:val="none"/>
          <w:lang w:val="en-US" w:eastAsia="zh-CN"/>
        </w:rPr>
        <w:t>）中规定，</w:t>
      </w:r>
      <w:r>
        <w:rPr>
          <w:rFonts w:hint="eastAsia" w:ascii="Times New Roman" w:hAnsi="Times New Roman" w:eastAsia="仿宋_GB2312" w:cs="Times New Roman"/>
          <w:sz w:val="32"/>
          <w:szCs w:val="32"/>
          <w:highlight w:val="none"/>
          <w:lang w:val="en-US" w:eastAsia="zh-CN"/>
        </w:rPr>
        <w:t>方便米粉（米线）</w:t>
      </w:r>
      <w:r>
        <w:rPr>
          <w:rFonts w:hint="default" w:ascii="Times New Roman" w:hAnsi="Times New Roman" w:eastAsia="仿宋_GB2312" w:cs="Times New Roman"/>
          <w:sz w:val="32"/>
          <w:szCs w:val="32"/>
          <w:highlight w:val="none"/>
          <w:lang w:val="en-US" w:eastAsia="zh-CN"/>
        </w:rPr>
        <w:t>中水分</w:t>
      </w:r>
      <w:r>
        <w:rPr>
          <w:rFonts w:hint="eastAsia" w:ascii="Times New Roman" w:hAnsi="Times New Roman" w:eastAsia="仿宋_GB2312" w:cs="Times New Roman"/>
          <w:sz w:val="32"/>
          <w:szCs w:val="32"/>
          <w:highlight w:val="none"/>
          <w:lang w:val="en-US" w:eastAsia="zh-CN"/>
        </w:rPr>
        <w:t>的限量值为</w:t>
      </w:r>
      <w:r>
        <w:rPr>
          <w:rFonts w:hint="eastAsia" w:ascii="仿宋_GB2312" w:hAnsi="仿宋_GB2312" w:eastAsia="仿宋_GB2312" w:cs="仿宋_GB2312"/>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14</w:t>
      </w:r>
      <w:r>
        <w:rPr>
          <w:rFonts w:hint="default" w:ascii="Times New Roman" w:hAnsi="Times New Roman" w:eastAsia="仿宋_GB2312" w:cs="Times New Roman"/>
          <w:sz w:val="32"/>
          <w:szCs w:val="32"/>
          <w:highlight w:val="none"/>
          <w:lang w:val="en-US" w:eastAsia="zh-CN"/>
        </w:rPr>
        <w:t>.0g/100g。</w:t>
      </w:r>
      <w:r>
        <w:rPr>
          <w:rFonts w:hint="eastAsia" w:ascii="Times New Roman" w:hAnsi="Times New Roman" w:eastAsia="仿宋_GB2312" w:cs="Times New Roman"/>
          <w:sz w:val="32"/>
          <w:szCs w:val="32"/>
          <w:highlight w:val="none"/>
          <w:lang w:val="en-US" w:eastAsia="zh-CN"/>
        </w:rPr>
        <w:t>方便米粉（米线）</w:t>
      </w:r>
      <w:r>
        <w:rPr>
          <w:rFonts w:hint="default" w:ascii="Times New Roman" w:hAnsi="Times New Roman" w:eastAsia="仿宋_GB2312" w:cs="Times New Roman"/>
          <w:sz w:val="32"/>
          <w:szCs w:val="32"/>
          <w:highlight w:val="none"/>
          <w:lang w:val="en-US" w:eastAsia="zh-CN"/>
        </w:rPr>
        <w:t>中水分</w:t>
      </w:r>
      <w:r>
        <w:rPr>
          <w:rFonts w:hint="eastAsia" w:ascii="Times New Roman" w:hAnsi="Times New Roman" w:eastAsia="仿宋_GB2312" w:cs="Times New Roman"/>
          <w:sz w:val="32"/>
          <w:szCs w:val="32"/>
          <w:highlight w:val="none"/>
          <w:lang w:val="en-US" w:eastAsia="zh-CN"/>
        </w:rPr>
        <w:t>含量</w:t>
      </w:r>
      <w:r>
        <w:rPr>
          <w:rFonts w:hint="default" w:ascii="Times New Roman" w:hAnsi="Times New Roman" w:eastAsia="仿宋_GB2312" w:cs="Times New Roman"/>
          <w:sz w:val="32"/>
          <w:szCs w:val="32"/>
          <w:highlight w:val="none"/>
          <w:lang w:val="en-US" w:eastAsia="zh-CN"/>
        </w:rPr>
        <w:t>超标的原因</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可能是生产企业对原材料把关不严；也可能是加工或储运条件控制不当。</w:t>
      </w:r>
    </w:p>
    <w:p w14:paraId="6F8F27DD">
      <w:pPr>
        <w:pStyle w:val="9"/>
        <w:keepNext w:val="0"/>
        <w:keepLines w:val="0"/>
        <w:pageBreakBefore w:val="0"/>
        <w:widowControl w:val="0"/>
        <w:numPr>
          <w:ilvl w:val="0"/>
          <w:numId w:val="0"/>
        </w:numPr>
        <w:kinsoku/>
        <w:wordWrap/>
        <w:overflowPunct/>
        <w:topLinePunct w:val="0"/>
        <w:autoSpaceDE/>
        <w:autoSpaceDN/>
        <w:bidi w:val="0"/>
        <w:adjustRightInd w:val="0"/>
        <w:snapToGrid/>
        <w:spacing w:after="0" w:line="594" w:lineRule="exact"/>
        <w:ind w:firstLine="572" w:firstLineChars="200"/>
        <w:jc w:val="both"/>
        <w:textAlignment w:val="auto"/>
        <w:rPr>
          <w:rFonts w:hint="eastAsia" w:ascii="黑体" w:hAnsi="黑体" w:eastAsia="黑体" w:cs="黑体"/>
          <w:szCs w:val="32"/>
          <w:highlight w:val="none"/>
          <w:lang w:eastAsia="zh-CN"/>
        </w:rPr>
      </w:pPr>
      <w:r>
        <w:rPr>
          <w:rFonts w:hint="default" w:ascii="Times New Roman" w:hAnsi="Times New Roman" w:eastAsia="黑体" w:cs="Times New Roman"/>
          <w:color w:val="auto"/>
          <w:spacing w:val="-17"/>
          <w:sz w:val="32"/>
          <w:szCs w:val="32"/>
          <w:highlight w:val="none"/>
          <w:lang w:val="en-US" w:eastAsia="zh-CN"/>
        </w:rPr>
        <w:t>二十二</w:t>
      </w:r>
      <w:r>
        <w:rPr>
          <w:rFonts w:hint="default" w:ascii="Times New Roman" w:hAnsi="Times New Roman" w:eastAsia="黑体" w:cs="Times New Roman"/>
          <w:color w:val="auto"/>
          <w:spacing w:val="-17"/>
          <w:sz w:val="32"/>
          <w:szCs w:val="32"/>
          <w:highlight w:val="none"/>
        </w:rPr>
        <w:t>、</w:t>
      </w:r>
      <w:r>
        <w:rPr>
          <w:rFonts w:hint="eastAsia" w:ascii="黑体" w:hAnsi="黑体" w:eastAsia="黑体" w:cs="黑体"/>
          <w:szCs w:val="32"/>
          <w:highlight w:val="none"/>
          <w:lang w:eastAsia="zh-CN"/>
        </w:rPr>
        <w:t>过氧化值（以脂肪计）</w:t>
      </w:r>
    </w:p>
    <w:p w14:paraId="550485A0">
      <w:pPr>
        <w:adjustRightInd/>
        <w:spacing w:after="0" w:line="594"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lang w:val="en-US" w:eastAsia="zh-CN"/>
        </w:rPr>
        <w:t>过氧化值是油脂酸败的早期指标，主要反映油脂被氧化的程度。食用过氧化值超标的食品一般不会对人体健康造成损害，但长期食用过氧化值严重超标的食品可能导致肠胃不适、腹泻等。</w:t>
      </w:r>
      <w:r>
        <w:rPr>
          <w:rFonts w:hint="eastAsia" w:ascii="Times New Roman" w:hAnsi="Times New Roman" w:eastAsia="仿宋_GB2312" w:cs="Times New Roman"/>
          <w:sz w:val="32"/>
          <w:szCs w:val="32"/>
          <w:highlight w:val="none"/>
          <w:lang w:val="en-US" w:eastAsia="zh-CN"/>
        </w:rPr>
        <w:t>《食品安全国家标准 糕点、面包》（GB 7099—2015）</w:t>
      </w:r>
      <w:r>
        <w:rPr>
          <w:rFonts w:ascii="Times New Roman" w:hAnsi="Times New Roman" w:eastAsia="仿宋_GB2312" w:cs="Times New Roman"/>
          <w:sz w:val="32"/>
          <w:szCs w:val="32"/>
        </w:rPr>
        <w:t>中规定，</w:t>
      </w:r>
      <w:r>
        <w:rPr>
          <w:rFonts w:hint="eastAsia" w:ascii="Times New Roman" w:hAnsi="Times New Roman" w:eastAsia="仿宋_GB2312"/>
          <w:sz w:val="32"/>
          <w:szCs w:val="32"/>
          <w:lang w:val="en-US" w:eastAsia="zh-CN"/>
        </w:rPr>
        <w:t>糕点</w:t>
      </w:r>
      <w:r>
        <w:rPr>
          <w:rFonts w:hint="eastAsia" w:ascii="Times New Roman" w:hAnsi="Times New Roman" w:eastAsia="仿宋_GB2312" w:cs="Times New Roman"/>
          <w:color w:val="auto"/>
          <w:sz w:val="32"/>
          <w:szCs w:val="32"/>
          <w:highlight w:val="none"/>
          <w:lang w:val="en-US" w:eastAsia="zh-CN"/>
        </w:rPr>
        <w:t>中</w:t>
      </w:r>
      <w:r>
        <w:rPr>
          <w:rFonts w:ascii="Times New Roman" w:hAnsi="Times New Roman" w:eastAsia="仿宋_GB2312" w:cs="Times New Roman"/>
          <w:sz w:val="32"/>
          <w:szCs w:val="32"/>
        </w:rPr>
        <w:t>过氧化值（以脂肪计）的最大限量值为0.</w:t>
      </w: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g/100</w:t>
      </w:r>
      <w:r>
        <w:rPr>
          <w:rFonts w:ascii="Times New Roman" w:hAnsi="Times New Roman" w:eastAsia="仿宋_GB2312"/>
          <w:sz w:val="32"/>
          <w:szCs w:val="32"/>
        </w:rPr>
        <w:t>g</w:t>
      </w:r>
      <w:r>
        <w:rPr>
          <w:rFonts w:hint="eastAsia" w:ascii="Times New Roman" w:hAnsi="Times New Roman" w:eastAsia="仿宋_GB2312"/>
          <w:sz w:val="32"/>
          <w:szCs w:val="32"/>
          <w:lang w:eastAsia="zh-CN"/>
        </w:rPr>
        <w:t>；</w:t>
      </w:r>
      <w:r>
        <w:rPr>
          <w:rFonts w:ascii="Times New Roman" w:hAnsi="Times New Roman" w:eastAsia="仿宋_GB2312" w:cs="Times New Roman"/>
          <w:sz w:val="32"/>
          <w:szCs w:val="32"/>
        </w:rPr>
        <w:t>《食品安全国家标准 坚果与籽类食品》（GB 19300</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2014）中规定，</w:t>
      </w:r>
      <w:r>
        <w:rPr>
          <w:rFonts w:hint="eastAsia" w:ascii="Times New Roman" w:hAnsi="Times New Roman" w:eastAsia="仿宋_GB2312" w:cs="Times New Roman"/>
          <w:color w:val="auto"/>
          <w:sz w:val="32"/>
          <w:szCs w:val="32"/>
          <w:highlight w:val="none"/>
          <w:lang w:val="en-US" w:eastAsia="zh-CN"/>
        </w:rPr>
        <w:t>熟制葵花籽中</w:t>
      </w:r>
      <w:r>
        <w:rPr>
          <w:rFonts w:ascii="Times New Roman" w:hAnsi="Times New Roman" w:eastAsia="仿宋_GB2312" w:cs="Times New Roman"/>
          <w:sz w:val="32"/>
          <w:szCs w:val="32"/>
        </w:rPr>
        <w:t>过氧化值（以脂肪计）的最大限量值为0.</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0g/100</w:t>
      </w:r>
      <w:r>
        <w:rPr>
          <w:rFonts w:ascii="Times New Roman" w:hAnsi="Times New Roman" w:eastAsia="仿宋_GB2312"/>
          <w:sz w:val="32"/>
          <w:szCs w:val="32"/>
        </w:rPr>
        <w:t>g</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糕点、</w:t>
      </w:r>
      <w:r>
        <w:rPr>
          <w:rFonts w:hint="eastAsia" w:ascii="Times New Roman" w:hAnsi="Times New Roman" w:eastAsia="仿宋_GB2312" w:cs="Times New Roman"/>
          <w:color w:val="auto"/>
          <w:sz w:val="32"/>
          <w:szCs w:val="32"/>
          <w:highlight w:val="none"/>
          <w:lang w:val="en-US" w:eastAsia="zh-CN"/>
        </w:rPr>
        <w:t>熟制坚果与籽类食品</w:t>
      </w:r>
      <w:r>
        <w:rPr>
          <w:rFonts w:hint="default" w:ascii="Times New Roman" w:hAnsi="Times New Roman" w:eastAsia="仿宋_GB2312" w:cs="Times New Roman"/>
          <w:color w:val="auto"/>
          <w:sz w:val="32"/>
          <w:szCs w:val="32"/>
          <w:lang w:val="en-US" w:eastAsia="zh-CN"/>
        </w:rPr>
        <w:t>中过氧化值（以脂肪计）检验值超标的原因，可能是原料中的脂肪已经被氧化；也可能与产品在储运过程中环境条件控制不当等有关。</w:t>
      </w:r>
    </w:p>
    <w:p w14:paraId="0A582882">
      <w:pPr>
        <w:keepNext w:val="0"/>
        <w:keepLines w:val="0"/>
        <w:pageBreakBefore w:val="0"/>
        <w:numPr>
          <w:ilvl w:val="0"/>
          <w:numId w:val="0"/>
        </w:numPr>
        <w:kinsoku/>
        <w:wordWrap/>
        <w:overflowPunct/>
        <w:topLinePunct w:val="0"/>
        <w:autoSpaceDE/>
        <w:autoSpaceDN/>
        <w:bidi w:val="0"/>
        <w:adjustRightInd/>
        <w:snapToGrid/>
        <w:spacing w:line="594" w:lineRule="exact"/>
        <w:ind w:firstLine="572" w:firstLineChars="200"/>
        <w:textAlignment w:val="auto"/>
        <w:rPr>
          <w:rFonts w:hint="default" w:ascii="Times New Roman" w:hAnsi="Times New Roman" w:eastAsia="黑体" w:cs="Times New Roman"/>
          <w:spacing w:val="-12"/>
          <w:sz w:val="32"/>
          <w:szCs w:val="32"/>
          <w:highlight w:val="none"/>
          <w:lang w:val="en-US" w:eastAsia="zh-CN"/>
        </w:rPr>
      </w:pPr>
      <w:r>
        <w:rPr>
          <w:rFonts w:hint="default" w:ascii="Times New Roman" w:hAnsi="Times New Roman" w:eastAsia="黑体" w:cs="Times New Roman"/>
          <w:color w:val="auto"/>
          <w:spacing w:val="-17"/>
          <w:sz w:val="32"/>
          <w:szCs w:val="32"/>
          <w:highlight w:val="none"/>
          <w:lang w:val="en-US" w:eastAsia="zh-CN"/>
        </w:rPr>
        <w:t>二十三</w:t>
      </w:r>
      <w:r>
        <w:rPr>
          <w:rFonts w:hint="default" w:ascii="Times New Roman" w:hAnsi="Times New Roman" w:eastAsia="黑体" w:cs="Times New Roman"/>
          <w:color w:val="auto"/>
          <w:spacing w:val="-17"/>
          <w:sz w:val="32"/>
          <w:szCs w:val="32"/>
          <w:highlight w:val="none"/>
        </w:rPr>
        <w:t>、</w:t>
      </w:r>
      <w:r>
        <w:rPr>
          <w:rFonts w:hint="default" w:ascii="Times New Roman" w:hAnsi="Times New Roman" w:eastAsia="黑体" w:cs="Times New Roman"/>
          <w:spacing w:val="-12"/>
          <w:sz w:val="32"/>
          <w:szCs w:val="32"/>
          <w:highlight w:val="none"/>
          <w:lang w:val="en-US" w:eastAsia="zh-CN"/>
        </w:rPr>
        <w:t>乳酸菌数</w:t>
      </w:r>
    </w:p>
    <w:p w14:paraId="0AD1F4FD">
      <w:pPr>
        <w:numPr>
          <w:ilvl w:val="0"/>
          <w:numId w:val="0"/>
        </w:numPr>
        <w:autoSpaceDE/>
        <w:autoSpaceDN/>
        <w:adjustRightInd w:val="0"/>
        <w:snapToGrid w:val="0"/>
        <w:spacing w:line="594" w:lineRule="exact"/>
        <w:ind w:firstLine="640" w:firstLineChars="200"/>
        <w:rPr>
          <w:rFonts w:hint="eastAsia" w:ascii="黑体" w:hAnsi="黑体" w:eastAsia="黑体" w:cs="黑体"/>
          <w:color w:val="auto"/>
          <w:sz w:val="32"/>
          <w:szCs w:val="32"/>
          <w:highlight w:val="lightGray"/>
          <w:lang w:val="en-US" w:eastAsia="zh-CN"/>
        </w:rPr>
      </w:pPr>
      <w:r>
        <w:rPr>
          <w:rFonts w:hint="default" w:ascii="Times New Roman" w:hAnsi="Times New Roman" w:eastAsia="仿宋_GB2312" w:cs="Times New Roman"/>
          <w:color w:val="000000"/>
          <w:kern w:val="2"/>
          <w:sz w:val="32"/>
          <w:szCs w:val="32"/>
          <w:highlight w:val="none"/>
          <w:lang w:val="en-US" w:eastAsia="zh-CN" w:bidi="ar-SA"/>
        </w:rPr>
        <w:t>乳酸菌是益生菌中最具代表性的菌属之一，其要发挥益生作用，活菌数需要达到1×10</w:t>
      </w:r>
      <w:r>
        <w:rPr>
          <w:rFonts w:hint="default" w:ascii="Times New Roman" w:hAnsi="Times New Roman" w:eastAsia="仿宋_GB2312" w:cs="Times New Roman"/>
          <w:color w:val="000000"/>
          <w:kern w:val="2"/>
          <w:sz w:val="32"/>
          <w:szCs w:val="32"/>
          <w:highlight w:val="none"/>
          <w:vertAlign w:val="superscript"/>
          <w:lang w:val="en-US" w:eastAsia="zh-CN" w:bidi="ar-SA"/>
        </w:rPr>
        <w:t>6</w:t>
      </w:r>
      <w:r>
        <w:rPr>
          <w:rFonts w:hint="default" w:ascii="Times New Roman" w:hAnsi="Times New Roman" w:eastAsia="仿宋_GB2312" w:cs="Times New Roman"/>
          <w:color w:val="000000"/>
          <w:kern w:val="2"/>
          <w:sz w:val="32"/>
          <w:szCs w:val="32"/>
          <w:highlight w:val="none"/>
          <w:lang w:val="en-US" w:eastAsia="zh-CN" w:bidi="ar-SA"/>
        </w:rPr>
        <w:t>CFU/g。乳酸菌数不达标可能导致食品不能发挥其应有的益生作用。《食品安全国家标准 饮料》（GB 7101</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color w:val="000000"/>
          <w:kern w:val="2"/>
          <w:sz w:val="32"/>
          <w:szCs w:val="32"/>
          <w:highlight w:val="none"/>
          <w:lang w:val="en-US" w:eastAsia="zh-CN" w:bidi="ar-SA"/>
        </w:rPr>
        <w:t>2022）中规定，添加乳酸菌的活菌（未杀菌）型产品乳酸菌数应</w:t>
      </w:r>
      <w:r>
        <w:rPr>
          <w:rFonts w:hint="eastAsia" w:ascii="仿宋_GB2312" w:hAnsi="仿宋_GB2312" w:eastAsia="仿宋_GB2312" w:cs="仿宋_GB2312"/>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CN" w:bidi="ar-SA"/>
        </w:rPr>
        <w:t>10</w:t>
      </w:r>
      <w:r>
        <w:rPr>
          <w:rFonts w:hint="default" w:ascii="Times New Roman" w:hAnsi="Times New Roman" w:eastAsia="仿宋_GB2312" w:cs="Times New Roman"/>
          <w:color w:val="000000"/>
          <w:kern w:val="2"/>
          <w:sz w:val="32"/>
          <w:szCs w:val="32"/>
          <w:highlight w:val="none"/>
          <w:vertAlign w:val="superscript"/>
          <w:lang w:val="en-US" w:eastAsia="zh-CN" w:bidi="ar-SA"/>
        </w:rPr>
        <w:t>6</w:t>
      </w:r>
      <w:r>
        <w:rPr>
          <w:rFonts w:hint="default" w:ascii="Times New Roman" w:hAnsi="Times New Roman" w:eastAsia="仿宋_GB2312" w:cs="Times New Roman"/>
          <w:color w:val="000000"/>
          <w:kern w:val="2"/>
          <w:sz w:val="32"/>
          <w:szCs w:val="32"/>
          <w:highlight w:val="none"/>
          <w:lang w:val="en-US" w:eastAsia="zh-CN" w:bidi="ar-SA"/>
        </w:rPr>
        <w:t>CFU/g，并在产品标签上标识乳酸菌含量。固体饮料中乳酸菌数不</w:t>
      </w:r>
      <w:r>
        <w:rPr>
          <w:rFonts w:hint="eastAsia" w:ascii="Times New Roman" w:hAnsi="Times New Roman" w:eastAsia="仿宋_GB2312" w:cs="Times New Roman"/>
          <w:color w:val="000000"/>
          <w:kern w:val="2"/>
          <w:sz w:val="32"/>
          <w:szCs w:val="32"/>
          <w:highlight w:val="none"/>
          <w:lang w:val="en-US" w:eastAsia="zh-CN" w:bidi="ar-SA"/>
        </w:rPr>
        <w:t>达标</w:t>
      </w:r>
      <w:r>
        <w:rPr>
          <w:rFonts w:hint="default" w:ascii="Times New Roman" w:hAnsi="Times New Roman" w:eastAsia="仿宋_GB2312" w:cs="Times New Roman"/>
          <w:color w:val="000000"/>
          <w:kern w:val="2"/>
          <w:sz w:val="32"/>
          <w:szCs w:val="32"/>
          <w:highlight w:val="none"/>
          <w:lang w:val="en-US" w:eastAsia="zh-CN" w:bidi="ar-SA"/>
        </w:rPr>
        <w:t>的原因，可能是由于产品在生产过程中未严格按照生产工艺操作</w:t>
      </w:r>
      <w:r>
        <w:rPr>
          <w:rFonts w:hint="eastAsia"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CN" w:bidi="ar-SA"/>
        </w:rPr>
        <w:t>也可能是在运输、销售</w:t>
      </w:r>
      <w:r>
        <w:rPr>
          <w:rFonts w:hint="default" w:ascii="Times New Roman" w:hAnsi="Times New Roman" w:eastAsia="仿宋_GB2312" w:cs="Times New Roman"/>
          <w:b w:val="0"/>
          <w:bCs w:val="0"/>
          <w:color w:val="000000"/>
          <w:sz w:val="32"/>
          <w:szCs w:val="32"/>
          <w:highlight w:val="none"/>
          <w:lang w:val="en-US" w:eastAsia="zh-CN"/>
        </w:rPr>
        <w:t>等环节没能达到相应条件。</w:t>
      </w:r>
    </w:p>
    <w:p w14:paraId="6FE7FFFE">
      <w:pPr>
        <w:keepNext w:val="0"/>
        <w:keepLines w:val="0"/>
        <w:pageBreakBefore w:val="0"/>
        <w:numPr>
          <w:ilvl w:val="0"/>
          <w:numId w:val="0"/>
        </w:numPr>
        <w:kinsoku/>
        <w:wordWrap/>
        <w:overflowPunct/>
        <w:topLinePunct w:val="0"/>
        <w:autoSpaceDE/>
        <w:autoSpaceDN/>
        <w:bidi w:val="0"/>
        <w:adjustRightInd/>
        <w:snapToGrid/>
        <w:spacing w:line="594" w:lineRule="exact"/>
        <w:ind w:left="0" w:leftChars="0" w:firstLine="640" w:firstLineChars="200"/>
        <w:textAlignment w:val="auto"/>
        <w:rPr>
          <w:rFonts w:hint="default" w:ascii="Times New Roman" w:hAnsi="Times New Roman" w:eastAsia="黑体" w:cs="Times New Roman"/>
          <w:spacing w:val="-12"/>
          <w:kern w:val="2"/>
          <w:sz w:val="32"/>
          <w:szCs w:val="32"/>
          <w:lang w:val="en-US" w:eastAsia="zh-CN" w:bidi="ar-SA"/>
        </w:rPr>
      </w:pPr>
      <w:r>
        <w:rPr>
          <w:rFonts w:hint="eastAsia" w:ascii="黑体" w:hAnsi="黑体" w:eastAsia="黑体" w:cs="黑体"/>
          <w:color w:val="auto"/>
          <w:spacing w:val="0"/>
          <w:sz w:val="32"/>
          <w:szCs w:val="32"/>
          <w:highlight w:val="none"/>
          <w:lang w:val="en-US" w:eastAsia="zh-CN"/>
        </w:rPr>
        <w:t>二十四</w:t>
      </w:r>
      <w:r>
        <w:rPr>
          <w:rFonts w:hint="eastAsia" w:ascii="黑体" w:hAnsi="黑体" w:eastAsia="黑体" w:cs="黑体"/>
          <w:color w:val="auto"/>
          <w:spacing w:val="0"/>
          <w:sz w:val="32"/>
          <w:szCs w:val="32"/>
          <w:highlight w:val="none"/>
        </w:rPr>
        <w:t>、</w:t>
      </w:r>
      <w:r>
        <w:rPr>
          <w:rFonts w:hint="default" w:ascii="Times New Roman" w:hAnsi="Times New Roman" w:eastAsia="黑体" w:cs="Times New Roman"/>
          <w:spacing w:val="-12"/>
          <w:kern w:val="2"/>
          <w:sz w:val="32"/>
          <w:szCs w:val="32"/>
          <w:lang w:val="en-US" w:eastAsia="zh-CN" w:bidi="ar-SA"/>
        </w:rPr>
        <w:t>蛋白质</w:t>
      </w:r>
    </w:p>
    <w:p w14:paraId="52721FCB">
      <w:pPr>
        <w:autoSpaceDE/>
        <w:autoSpaceDN/>
        <w:adjustRightInd/>
        <w:spacing w:line="594"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蛋白质是由氨基酸以肽键连接在一起，并形成一定空间结构的高分子有机化合物，是构成机体组织、器官的重要成分，也是构成机体多种重要生理活性物质的成分，还能供给能量。长期摄入蛋白质不足可能会导致营养不良、抵抗力下降。蛋白质是蛋白固体饮料的重要质量指标之一。《固体饮料》（GB/T 29602</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2013）中规定，含乳固体饮料中乳蛋白质含量（质量分数）在按照标签标示的冲调或冲泡方法稀释后应</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1%。含乳固体饮料中蛋白质含量不达标的原因，可能是原辅料质量控制不严</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也可能是企业未进行严格的出厂检验保证产品质量。</w:t>
      </w:r>
    </w:p>
    <w:p w14:paraId="4FEB7E6D">
      <w:pPr>
        <w:spacing w:line="594" w:lineRule="exact"/>
        <w:ind w:firstLine="592" w:firstLineChars="200"/>
        <w:jc w:val="both"/>
        <w:rPr>
          <w:rFonts w:hint="default" w:ascii="Times New Roman" w:hAnsi="Times New Roman" w:eastAsia="黑体" w:cs="Times New Roman"/>
          <w:spacing w:val="0"/>
          <w:sz w:val="32"/>
          <w:szCs w:val="32"/>
          <w:lang w:val="en-US" w:eastAsia="zh-CN"/>
        </w:rPr>
      </w:pPr>
      <w:r>
        <w:rPr>
          <w:rFonts w:hint="eastAsia" w:ascii="Times New Roman" w:hAnsi="Times New Roman" w:eastAsia="黑体" w:cs="Times New Roman"/>
          <w:spacing w:val="-12"/>
          <w:sz w:val="32"/>
          <w:szCs w:val="32"/>
          <w:highlight w:val="none"/>
          <w:lang w:val="en-US" w:eastAsia="zh-CN"/>
        </w:rPr>
        <w:t>二十五</w:t>
      </w:r>
      <w:r>
        <w:rPr>
          <w:rFonts w:hint="default" w:ascii="Times New Roman" w:hAnsi="Times New Roman" w:eastAsia="黑体" w:cs="Times New Roman"/>
          <w:spacing w:val="-12"/>
          <w:sz w:val="32"/>
          <w:szCs w:val="32"/>
          <w:highlight w:val="none"/>
          <w:lang w:val="en-US" w:eastAsia="zh-CN"/>
        </w:rPr>
        <w:t>、</w:t>
      </w:r>
      <w:r>
        <w:rPr>
          <w:rFonts w:hint="default" w:ascii="Times New Roman" w:hAnsi="Times New Roman" w:eastAsia="黑体" w:cs="Times New Roman"/>
          <w:spacing w:val="0"/>
          <w:sz w:val="32"/>
          <w:szCs w:val="32"/>
          <w:lang w:val="en-US" w:eastAsia="zh-CN"/>
        </w:rPr>
        <w:t>界限指标</w:t>
      </w:r>
      <w:r>
        <w:rPr>
          <w:rFonts w:hint="eastAsia" w:ascii="黑体" w:hAnsi="黑体" w:eastAsia="黑体" w:cs="黑体"/>
          <w:b w:val="0"/>
          <w:bCs w:val="0"/>
          <w:color w:val="000000"/>
          <w:sz w:val="32"/>
          <w:szCs w:val="32"/>
          <w:highlight w:val="none"/>
          <w:lang w:val="en-US" w:eastAsia="zh-CN"/>
        </w:rPr>
        <w:t>—</w:t>
      </w:r>
      <w:r>
        <w:rPr>
          <w:rFonts w:hint="default" w:ascii="Times New Roman" w:hAnsi="Times New Roman" w:eastAsia="黑体" w:cs="Times New Roman"/>
          <w:spacing w:val="0"/>
          <w:sz w:val="32"/>
          <w:szCs w:val="32"/>
          <w:lang w:val="en-US" w:eastAsia="zh-CN"/>
        </w:rPr>
        <w:t>偏硅酸</w:t>
      </w:r>
    </w:p>
    <w:p w14:paraId="73A61272">
      <w:pPr>
        <w:spacing w:line="594" w:lineRule="exact"/>
        <w:ind w:firstLine="640" w:firstLineChars="200"/>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界限指标是区别饮用天然矿泉水与其他饮用水的主要品质指标。其中偏硅酸是评价矿泉水水质最常用、最重要的界限指标之一，对人体健康有着重要的影响。《食品安全国家标准 饮用天然矿泉水》（GB 8537</w:t>
      </w:r>
      <w:r>
        <w:rPr>
          <w:rFonts w:hint="eastAsia" w:ascii="仿宋_GB2312" w:hAnsi="仿宋_GB2312" w:eastAsia="仿宋_GB2312" w:cs="仿宋_GB2312"/>
          <w:b w:val="0"/>
          <w:bCs w:val="0"/>
          <w:color w:val="000000"/>
          <w:sz w:val="32"/>
          <w:szCs w:val="32"/>
          <w:highlight w:val="none"/>
          <w:lang w:val="en-US" w:eastAsia="zh-CN"/>
        </w:rPr>
        <w:t>—</w:t>
      </w:r>
      <w:r>
        <w:rPr>
          <w:rFonts w:hint="default" w:ascii="Times New Roman" w:hAnsi="Times New Roman" w:eastAsia="仿宋_GB2312" w:cs="Times New Roman"/>
          <w:b w:val="0"/>
          <w:bCs w:val="0"/>
          <w:color w:val="000000"/>
          <w:sz w:val="32"/>
          <w:szCs w:val="32"/>
          <w:highlight w:val="none"/>
          <w:lang w:val="en-US" w:eastAsia="zh-CN"/>
        </w:rPr>
        <w:t>2018）规定中，饮用天然矿泉水中界限指标应有一项（或一项以上）指标符合要求，其中偏硅酸作为界限指标时应</w:t>
      </w:r>
      <w:r>
        <w:rPr>
          <w:rFonts w:hint="eastAsia" w:ascii="仿宋_GB2312" w:hAnsi="仿宋_GB2312" w:eastAsia="仿宋_GB2312" w:cs="仿宋_GB2312"/>
          <w:b w:val="0"/>
          <w:bCs w:val="0"/>
          <w:color w:val="000000"/>
          <w:sz w:val="32"/>
          <w:szCs w:val="32"/>
          <w:highlight w:val="none"/>
          <w:lang w:val="en-US" w:eastAsia="zh-CN"/>
        </w:rPr>
        <w:t>≥</w:t>
      </w:r>
      <w:r>
        <w:rPr>
          <w:rFonts w:hint="default" w:ascii="Times New Roman" w:hAnsi="Times New Roman" w:eastAsia="仿宋_GB2312" w:cs="Times New Roman"/>
          <w:b w:val="0"/>
          <w:bCs w:val="0"/>
          <w:color w:val="000000"/>
          <w:sz w:val="32"/>
          <w:szCs w:val="32"/>
          <w:highlight w:val="none"/>
          <w:lang w:val="en-US" w:eastAsia="zh-CN"/>
        </w:rPr>
        <w:t>25.0mg/L。“饮用天然矿泉水”</w:t>
      </w:r>
      <w:r>
        <w:rPr>
          <w:rFonts w:hint="default" w:ascii="Times New Roman" w:hAnsi="Times New Roman" w:eastAsia="仿宋_GB2312" w:cs="Times New Roman"/>
          <w:spacing w:val="0"/>
          <w:sz w:val="32"/>
          <w:szCs w:val="32"/>
          <w:lang w:val="en-US" w:eastAsia="zh-CN"/>
        </w:rPr>
        <w:t>产品中界限指标</w:t>
      </w:r>
      <w:r>
        <w:rPr>
          <w:rFonts w:hint="default" w:ascii="Times New Roman" w:hAnsi="Times New Roman" w:eastAsia="仿宋_GB2312" w:cs="Times New Roman"/>
          <w:b w:val="0"/>
          <w:bCs w:val="0"/>
          <w:color w:val="000000"/>
          <w:sz w:val="32"/>
          <w:szCs w:val="32"/>
          <w:highlight w:val="none"/>
          <w:lang w:val="en-US" w:eastAsia="zh-CN"/>
        </w:rPr>
        <w:t>—</w:t>
      </w:r>
      <w:r>
        <w:rPr>
          <w:rFonts w:hint="default" w:ascii="Times New Roman" w:hAnsi="Times New Roman" w:eastAsia="仿宋_GB2312" w:cs="Times New Roman"/>
          <w:spacing w:val="0"/>
          <w:sz w:val="32"/>
          <w:szCs w:val="32"/>
          <w:lang w:val="en-US" w:eastAsia="zh-CN"/>
        </w:rPr>
        <w:t>偏硅酸检验值既不符合食品安全国家标准规定，也不符合产品标签标示要求“25</w:t>
      </w:r>
      <w:r>
        <w:rPr>
          <w:rFonts w:hint="eastAsia" w:ascii="仿宋_GB2312" w:hAnsi="仿宋_GB2312" w:eastAsia="仿宋_GB2312" w:cs="仿宋_GB2312"/>
          <w:spacing w:val="0"/>
          <w:sz w:val="32"/>
          <w:szCs w:val="32"/>
          <w:lang w:val="en-US" w:eastAsia="zh-CN"/>
        </w:rPr>
        <w:t>—</w:t>
      </w:r>
      <w:r>
        <w:rPr>
          <w:rFonts w:hint="default" w:ascii="Times New Roman" w:hAnsi="Times New Roman" w:eastAsia="仿宋_GB2312" w:cs="Times New Roman"/>
          <w:spacing w:val="0"/>
          <w:sz w:val="32"/>
          <w:szCs w:val="32"/>
          <w:lang w:val="en-US" w:eastAsia="zh-CN"/>
        </w:rPr>
        <w:t>40mg/L”。</w:t>
      </w:r>
      <w:r>
        <w:rPr>
          <w:rFonts w:hint="default" w:ascii="Times New Roman" w:hAnsi="Times New Roman" w:eastAsia="仿宋_GB2312" w:cs="Times New Roman"/>
          <w:b w:val="0"/>
          <w:bCs w:val="0"/>
          <w:color w:val="000000"/>
          <w:sz w:val="32"/>
          <w:szCs w:val="32"/>
          <w:highlight w:val="none"/>
          <w:lang w:val="en-US" w:eastAsia="zh-CN"/>
        </w:rPr>
        <w:t>饮用天然矿泉水中的界限指标</w:t>
      </w:r>
      <w:r>
        <w:rPr>
          <w:rFonts w:hint="eastAsia" w:ascii="仿宋_GB2312" w:hAnsi="仿宋_GB2312" w:eastAsia="仿宋_GB2312" w:cs="仿宋_GB2312"/>
          <w:b w:val="0"/>
          <w:bCs w:val="0"/>
          <w:color w:val="000000"/>
          <w:sz w:val="32"/>
          <w:szCs w:val="32"/>
          <w:highlight w:val="none"/>
          <w:lang w:val="en-US" w:eastAsia="zh-CN"/>
        </w:rPr>
        <w:t>-</w:t>
      </w:r>
      <w:r>
        <w:rPr>
          <w:rFonts w:hint="default" w:ascii="Times New Roman" w:hAnsi="Times New Roman" w:eastAsia="仿宋_GB2312" w:cs="Times New Roman"/>
          <w:b w:val="0"/>
          <w:bCs w:val="0"/>
          <w:color w:val="000000"/>
          <w:sz w:val="32"/>
          <w:szCs w:val="32"/>
          <w:highlight w:val="none"/>
          <w:lang w:val="en-US" w:eastAsia="zh-CN"/>
        </w:rPr>
        <w:t>偏硅酸</w:t>
      </w:r>
      <w:r>
        <w:rPr>
          <w:rFonts w:hint="eastAsia" w:ascii="Times New Roman" w:hAnsi="Times New Roman" w:eastAsia="仿宋_GB2312" w:cs="Times New Roman"/>
          <w:b w:val="0"/>
          <w:bCs w:val="0"/>
          <w:color w:val="000000"/>
          <w:sz w:val="32"/>
          <w:szCs w:val="32"/>
          <w:highlight w:val="none"/>
          <w:lang w:val="en-US" w:eastAsia="zh-CN"/>
        </w:rPr>
        <w:t>检验值</w:t>
      </w:r>
      <w:r>
        <w:rPr>
          <w:rFonts w:hint="default" w:ascii="Times New Roman" w:hAnsi="Times New Roman" w:eastAsia="仿宋_GB2312" w:cs="Times New Roman"/>
          <w:b w:val="0"/>
          <w:bCs w:val="0"/>
          <w:color w:val="000000"/>
          <w:sz w:val="32"/>
          <w:szCs w:val="32"/>
          <w:highlight w:val="none"/>
          <w:lang w:val="en-US" w:eastAsia="zh-CN"/>
        </w:rPr>
        <w:t>不达标的原因</w:t>
      </w:r>
      <w:r>
        <w:rPr>
          <w:rFonts w:hint="eastAsia" w:ascii="Times New Roman" w:hAnsi="Times New Roman" w:eastAsia="仿宋_GB2312" w:cs="Times New Roman"/>
          <w:b w:val="0"/>
          <w:bCs w:val="0"/>
          <w:color w:val="000000"/>
          <w:sz w:val="32"/>
          <w:szCs w:val="32"/>
          <w:highlight w:val="none"/>
          <w:lang w:val="en-US" w:eastAsia="zh-CN"/>
        </w:rPr>
        <w:t>，</w:t>
      </w:r>
      <w:r>
        <w:rPr>
          <w:rFonts w:hint="default" w:ascii="Times New Roman" w:hAnsi="Times New Roman" w:eastAsia="仿宋_GB2312" w:cs="Times New Roman"/>
          <w:b w:val="0"/>
          <w:bCs w:val="0"/>
          <w:color w:val="000000"/>
          <w:sz w:val="32"/>
          <w:szCs w:val="32"/>
          <w:highlight w:val="none"/>
          <w:lang w:val="en-US" w:eastAsia="zh-CN"/>
        </w:rPr>
        <w:t>可能是水处理过度导致元素损失</w:t>
      </w:r>
      <w:r>
        <w:rPr>
          <w:rFonts w:hint="eastAsia" w:ascii="Times New Roman" w:hAnsi="Times New Roman" w:eastAsia="仿宋_GB2312" w:cs="Times New Roman"/>
          <w:b w:val="0"/>
          <w:bCs w:val="0"/>
          <w:color w:val="000000"/>
          <w:sz w:val="32"/>
          <w:szCs w:val="32"/>
          <w:highlight w:val="none"/>
          <w:lang w:val="en-US" w:eastAsia="zh-CN"/>
        </w:rPr>
        <w:t>；</w:t>
      </w:r>
      <w:r>
        <w:rPr>
          <w:rFonts w:hint="default" w:ascii="Times New Roman" w:hAnsi="Times New Roman" w:eastAsia="仿宋_GB2312" w:cs="Times New Roman"/>
          <w:b w:val="0"/>
          <w:bCs w:val="0"/>
          <w:color w:val="000000"/>
          <w:sz w:val="32"/>
          <w:szCs w:val="32"/>
          <w:highlight w:val="none"/>
          <w:lang w:val="en-US" w:eastAsia="zh-CN"/>
        </w:rPr>
        <w:t>也可能是水源受环境、季节等因素影响造成含量波动，最终导致终产品中界限指标不达标。</w:t>
      </w:r>
    </w:p>
    <w:p w14:paraId="22CE3AED">
      <w:pPr>
        <w:pStyle w:val="9"/>
        <w:keepNext w:val="0"/>
        <w:keepLines w:val="0"/>
        <w:pageBreakBefore w:val="0"/>
        <w:widowControl w:val="0"/>
        <w:kinsoku/>
        <w:wordWrap/>
        <w:overflowPunct/>
        <w:topLinePunct w:val="0"/>
        <w:bidi w:val="0"/>
        <w:snapToGrid/>
        <w:spacing w:after="0" w:line="594" w:lineRule="exact"/>
        <w:textAlignment w:val="auto"/>
        <w:rPr>
          <w:rFonts w:hint="default" w:ascii="Times New Roman" w:hAnsi="Times New Roman" w:eastAsia="黑体" w:cs="Times New Roman"/>
          <w:spacing w:val="0"/>
          <w:sz w:val="32"/>
          <w:szCs w:val="32"/>
          <w:lang w:val="en-US" w:eastAsia="zh-CN"/>
        </w:rPr>
      </w:pPr>
      <w:r>
        <w:rPr>
          <w:rFonts w:hint="eastAsia" w:ascii="Times New Roman" w:hAnsi="Times New Roman" w:eastAsia="黑体" w:cs="Times New Roman"/>
          <w:color w:val="auto"/>
          <w:spacing w:val="0"/>
          <w:sz w:val="32"/>
          <w:szCs w:val="32"/>
          <w:highlight w:val="none"/>
          <w:lang w:val="en-US" w:eastAsia="zh-CN"/>
        </w:rPr>
        <w:t>二十六</w:t>
      </w:r>
      <w:r>
        <w:rPr>
          <w:rFonts w:hint="default" w:ascii="Times New Roman" w:hAnsi="Times New Roman" w:eastAsia="黑体" w:cs="Times New Roman"/>
          <w:color w:val="auto"/>
          <w:spacing w:val="0"/>
          <w:sz w:val="32"/>
          <w:szCs w:val="32"/>
          <w:highlight w:val="none"/>
        </w:rPr>
        <w:t>、</w:t>
      </w:r>
      <w:r>
        <w:rPr>
          <w:rFonts w:hint="default" w:ascii="Times New Roman" w:hAnsi="Times New Roman" w:eastAsia="黑体" w:cs="Times New Roman"/>
          <w:spacing w:val="0"/>
          <w:sz w:val="32"/>
          <w:szCs w:val="32"/>
          <w:lang w:val="en-US" w:eastAsia="zh-CN"/>
        </w:rPr>
        <w:t>维生素A</w:t>
      </w:r>
    </w:p>
    <w:p w14:paraId="0EF614B6">
      <w:pPr>
        <w:pStyle w:val="9"/>
        <w:spacing w:after="0" w:line="594" w:lineRule="exact"/>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sz w:val="32"/>
          <w:szCs w:val="32"/>
          <w:lang w:val="en-US" w:eastAsia="zh-CN"/>
        </w:rPr>
        <w:t>维生素A是一种脂溶性维生素，在人体代谢过程中发挥重要作用。维生素A缺乏可能引起夜盲症、干眼症等眼部症状，还可能会导致食欲减退、免疫功能低下。《食品安全国家标准 运动营养食品通则》（GB 24154</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2015）</w:t>
      </w:r>
      <w:r>
        <w:rPr>
          <w:rFonts w:hint="default" w:ascii="Times New Roman" w:hAnsi="Times New Roman" w:eastAsia="仿宋_GB2312" w:cs="Times New Roman"/>
          <w:sz w:val="32"/>
          <w:szCs w:val="32"/>
        </w:rPr>
        <w:t>中规定，</w:t>
      </w:r>
      <w:r>
        <w:rPr>
          <w:rFonts w:hint="default" w:ascii="Times New Roman" w:hAnsi="Times New Roman" w:eastAsia="仿宋_GB2312" w:cs="Times New Roman"/>
          <w:sz w:val="32"/>
          <w:szCs w:val="32"/>
          <w:lang w:val="en-US" w:eastAsia="zh-CN"/>
        </w:rPr>
        <w:t>运动营养食品中</w:t>
      </w:r>
      <w:r>
        <w:rPr>
          <w:rFonts w:hint="default" w:ascii="Times New Roman" w:hAnsi="Times New Roman" w:eastAsia="仿宋_GB2312" w:cs="Times New Roman"/>
          <w:sz w:val="32"/>
        </w:rPr>
        <w:t>维生素</w:t>
      </w:r>
      <w:r>
        <w:rPr>
          <w:rFonts w:hint="default" w:ascii="Times New Roman" w:hAnsi="Times New Roman" w:eastAsia="仿宋_GB2312" w:cs="Times New Roman"/>
          <w:sz w:val="32"/>
          <w:lang w:val="en-US" w:eastAsia="zh-CN"/>
        </w:rPr>
        <w:t>A</w:t>
      </w:r>
      <w:r>
        <w:rPr>
          <w:rFonts w:hint="default" w:ascii="Times New Roman" w:hAnsi="Times New Roman" w:eastAsia="仿宋_GB2312" w:cs="Times New Roman"/>
          <w:sz w:val="32"/>
          <w:szCs w:val="32"/>
          <w:lang w:val="en-US" w:eastAsia="zh-CN"/>
        </w:rPr>
        <w:t>含量（以每日计）</w:t>
      </w:r>
      <w:r>
        <w:rPr>
          <w:rFonts w:hint="default" w:ascii="Times New Roman" w:hAnsi="Times New Roman" w:eastAsia="仿宋_GB2312" w:cs="Times New Roman"/>
          <w:sz w:val="32"/>
          <w:szCs w:val="32"/>
        </w:rPr>
        <w:t>应在</w:t>
      </w:r>
      <w:r>
        <w:rPr>
          <w:rFonts w:hint="default" w:ascii="Times New Roman" w:hAnsi="Times New Roman" w:eastAsia="仿宋_GB2312" w:cs="Times New Roman"/>
          <w:sz w:val="32"/>
          <w:szCs w:val="32"/>
          <w:lang w:val="en-US" w:eastAsia="zh-CN"/>
        </w:rPr>
        <w:t>120</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lang w:val="en-US" w:eastAsia="zh-CN"/>
        </w:rPr>
        <w:t>375μ</w:t>
      </w:r>
      <w:r>
        <w:rPr>
          <w:rFonts w:hint="default" w:ascii="Times New Roman" w:hAnsi="Times New Roman" w:eastAsia="仿宋_GB2312" w:cs="Times New Roman"/>
          <w:sz w:val="32"/>
          <w:szCs w:val="32"/>
        </w:rPr>
        <w:t>g</w:t>
      </w:r>
      <w:r>
        <w:rPr>
          <w:rFonts w:hint="default" w:ascii="Times New Roman" w:hAnsi="Times New Roman" w:eastAsia="仿宋_GB2312" w:cs="Times New Roman"/>
          <w:sz w:val="32"/>
          <w:szCs w:val="32"/>
          <w:lang w:val="en-US" w:eastAsia="zh-CN"/>
        </w:rPr>
        <w:t>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《食品安全国家标准 预包装特殊膳食用食品标签》（GB 13432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rPr>
        <w:t>2013）中规定，在产品保质期内，能量和营养成分的实际含量不应低于标示值的80%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运动营养食品中维生素A含量不达标的原因，可能是</w:t>
      </w:r>
      <w:r>
        <w:rPr>
          <w:rFonts w:hint="default" w:ascii="Times New Roman" w:hAnsi="Times New Roman" w:eastAsia="仿宋_GB2312" w:cs="Times New Roman"/>
          <w:sz w:val="32"/>
          <w:szCs w:val="32"/>
        </w:rPr>
        <w:t>原辅料用食品营养强化剂不</w:t>
      </w:r>
      <w:r>
        <w:rPr>
          <w:rFonts w:hint="default" w:ascii="Times New Roman" w:hAnsi="Times New Roman" w:eastAsia="仿宋_GB2312" w:cs="Times New Roman"/>
          <w:sz w:val="32"/>
          <w:szCs w:val="32"/>
          <w:lang w:eastAsia="zh-CN"/>
        </w:rPr>
        <w:t>符合</w:t>
      </w:r>
      <w:r>
        <w:rPr>
          <w:rFonts w:hint="default" w:ascii="Times New Roman" w:hAnsi="Times New Roman" w:eastAsia="仿宋_GB2312" w:cs="Times New Roman"/>
          <w:sz w:val="32"/>
          <w:szCs w:val="32"/>
        </w:rPr>
        <w:t>质量要求</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也</w:t>
      </w:r>
      <w:r>
        <w:rPr>
          <w:rFonts w:hint="default" w:ascii="Times New Roman" w:hAnsi="Times New Roman" w:eastAsia="仿宋_GB2312" w:cs="Times New Roman"/>
          <w:sz w:val="32"/>
          <w:szCs w:val="32"/>
        </w:rPr>
        <w:t>可能是生产加工过程中搅拌不均匀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还可能是</w:t>
      </w:r>
      <w:r>
        <w:rPr>
          <w:rFonts w:hint="default" w:ascii="Times New Roman" w:hAnsi="Times New Roman" w:eastAsia="仿宋_GB2312" w:cs="Times New Roman"/>
          <w:sz w:val="32"/>
          <w:szCs w:val="32"/>
        </w:rPr>
        <w:t>在加工或储存过程中损失。</w:t>
      </w:r>
    </w:p>
    <w:p w14:paraId="23093A93">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黑体" w:cs="Times New Roman"/>
          <w:spacing w:val="0"/>
          <w:sz w:val="32"/>
          <w:szCs w:val="32"/>
          <w:lang w:val="en-US" w:eastAsia="zh-CN"/>
        </w:rPr>
      </w:pPr>
      <w:r>
        <w:rPr>
          <w:rFonts w:hint="eastAsia" w:ascii="黑体" w:hAnsi="黑体" w:eastAsia="黑体" w:cs="黑体"/>
          <w:color w:val="auto"/>
          <w:kern w:val="2"/>
          <w:sz w:val="32"/>
          <w:szCs w:val="32"/>
          <w:highlight w:val="none"/>
          <w:lang w:val="en-US" w:eastAsia="zh-CN" w:bidi="ar-SA"/>
        </w:rPr>
        <w:t>二十七、</w:t>
      </w:r>
      <w:r>
        <w:rPr>
          <w:rFonts w:hint="default" w:ascii="Times New Roman" w:hAnsi="Times New Roman" w:eastAsia="黑体" w:cs="Times New Roman"/>
          <w:spacing w:val="0"/>
          <w:sz w:val="32"/>
          <w:szCs w:val="32"/>
          <w:lang w:val="en-US" w:eastAsia="zh-CN"/>
        </w:rPr>
        <w:t>维生素B</w:t>
      </w:r>
      <w:r>
        <w:rPr>
          <w:rFonts w:hint="default" w:ascii="Times New Roman" w:hAnsi="Times New Roman" w:eastAsia="黑体" w:cs="Times New Roman"/>
          <w:spacing w:val="0"/>
          <w:sz w:val="32"/>
          <w:szCs w:val="32"/>
          <w:vertAlign w:val="subscript"/>
          <w:lang w:val="en-US" w:eastAsia="zh-CN"/>
        </w:rPr>
        <w:t>1</w:t>
      </w:r>
    </w:p>
    <w:p w14:paraId="0A8210CD">
      <w:pPr>
        <w:keepNext w:val="0"/>
        <w:keepLines w:val="0"/>
        <w:pageBreakBefore w:val="0"/>
        <w:widowControl w:val="0"/>
        <w:numPr>
          <w:ilvl w:val="-1"/>
          <w:numId w:val="0"/>
        </w:numPr>
        <w:kinsoku/>
        <w:wordWrap/>
        <w:overflowPunct/>
        <w:topLinePunct w:val="0"/>
        <w:autoSpaceDE w:val="0"/>
        <w:autoSpaceDN w:val="0"/>
        <w:bidi w:val="0"/>
        <w:adjustRightInd w:val="0"/>
        <w:snapToGrid/>
        <w:spacing w:line="594" w:lineRule="exact"/>
        <w:ind w:firstLine="640" w:firstLineChars="200"/>
        <w:textAlignment w:val="auto"/>
        <w:rPr>
          <w:rFonts w:hint="eastAsia" w:ascii="黑体" w:hAnsi="黑体" w:eastAsia="黑体" w:cs="黑体"/>
          <w:color w:val="auto"/>
          <w:sz w:val="32"/>
          <w:szCs w:val="32"/>
          <w:highlight w:val="none"/>
          <w:lang w:val="en-US" w:eastAsia="zh-CN"/>
        </w:rPr>
      </w:pPr>
      <w:r>
        <w:rPr>
          <w:rFonts w:hint="default" w:ascii="Times New Roman" w:hAnsi="Times New Roman" w:eastAsia="仿宋_GB2312" w:cs="Times New Roman"/>
          <w:kern w:val="2"/>
          <w:sz w:val="32"/>
          <w:szCs w:val="32"/>
          <w:lang w:val="en-US" w:eastAsia="zh-CN" w:bidi="ar-SA"/>
        </w:rPr>
        <w:t>维生素B</w:t>
      </w:r>
      <w:r>
        <w:rPr>
          <w:rFonts w:hint="default" w:ascii="Times New Roman" w:hAnsi="Times New Roman" w:eastAsia="仿宋_GB2312" w:cs="Times New Roman"/>
          <w:kern w:val="2"/>
          <w:sz w:val="32"/>
          <w:szCs w:val="32"/>
          <w:vertAlign w:val="subscript"/>
          <w:lang w:val="en-US" w:eastAsia="zh-CN" w:bidi="ar-SA"/>
        </w:rPr>
        <w:t>1</w:t>
      </w:r>
      <w:r>
        <w:rPr>
          <w:rFonts w:hint="default" w:ascii="Times New Roman" w:hAnsi="Times New Roman" w:eastAsia="仿宋_GB2312" w:cs="Times New Roman"/>
          <w:kern w:val="2"/>
          <w:sz w:val="32"/>
          <w:szCs w:val="32"/>
          <w:lang w:val="en-US" w:eastAsia="zh-CN" w:bidi="ar-SA"/>
        </w:rPr>
        <w:t>是一种水溶性维生素，能够参与人体内能量代谢，</w:t>
      </w:r>
      <w:r>
        <w:rPr>
          <w:rFonts w:hint="default" w:ascii="Times New Roman" w:hAnsi="Times New Roman" w:eastAsia="仿宋_GB2312" w:cs="Times New Roman"/>
          <w:kern w:val="2"/>
          <w:sz w:val="32"/>
          <w:szCs w:val="32"/>
          <w:highlight w:val="none"/>
          <w:lang w:val="en-US" w:eastAsia="zh-CN" w:bidi="ar-SA"/>
        </w:rPr>
        <w:t>对维持神经、肌肉特别是心肌正常功能方面有重要作用。维生素B</w:t>
      </w:r>
      <w:r>
        <w:rPr>
          <w:rFonts w:hint="default" w:ascii="Times New Roman" w:hAnsi="Times New Roman" w:eastAsia="仿宋_GB2312" w:cs="Times New Roman"/>
          <w:kern w:val="2"/>
          <w:sz w:val="32"/>
          <w:szCs w:val="32"/>
          <w:highlight w:val="none"/>
          <w:vertAlign w:val="subscript"/>
          <w:lang w:val="en-US" w:eastAsia="zh-CN" w:bidi="ar-SA"/>
        </w:rPr>
        <w:t>1</w:t>
      </w:r>
      <w:r>
        <w:rPr>
          <w:rFonts w:hint="default" w:ascii="Times New Roman" w:hAnsi="Times New Roman" w:eastAsia="仿宋_GB2312" w:cs="Times New Roman"/>
          <w:kern w:val="2"/>
          <w:sz w:val="32"/>
          <w:szCs w:val="32"/>
          <w:highlight w:val="none"/>
          <w:lang w:val="en-US" w:eastAsia="zh-CN" w:bidi="ar-SA"/>
        </w:rPr>
        <w:t>缺乏容易导致人体产生疲劳、食欲不振，还可能引起脚气病等神经</w:t>
      </w:r>
      <w:r>
        <w:rPr>
          <w:rFonts w:hint="eastAsia" w:ascii="仿宋_GB2312" w:hAnsi="仿宋_GB2312" w:eastAsia="仿宋_GB2312" w:cs="仿宋_GB2312"/>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血管系统损伤</w:t>
      </w:r>
      <w:r>
        <w:rPr>
          <w:rFonts w:hint="default"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sz w:val="32"/>
          <w:szCs w:val="32"/>
          <w:lang w:val="en-US" w:eastAsia="zh-CN"/>
        </w:rPr>
        <w:t>《食品安全国家标准 运动营养食品通则》（GB 24154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2015）中规定，运动营养食品中维生素B</w:t>
      </w:r>
      <w:r>
        <w:rPr>
          <w:rFonts w:hint="default" w:ascii="Times New Roman" w:hAnsi="Times New Roman" w:eastAsia="仿宋_GB2312" w:cs="Times New Roman"/>
          <w:sz w:val="32"/>
          <w:szCs w:val="32"/>
          <w:vertAlign w:val="subscript"/>
          <w:lang w:val="en-US" w:eastAsia="zh-CN"/>
        </w:rPr>
        <w:t>1</w:t>
      </w:r>
      <w:r>
        <w:rPr>
          <w:rFonts w:hint="default" w:ascii="Times New Roman" w:hAnsi="Times New Roman" w:eastAsia="仿宋_GB2312" w:cs="Times New Roman"/>
          <w:sz w:val="32"/>
          <w:szCs w:val="32"/>
          <w:lang w:val="en-US" w:eastAsia="zh-CN"/>
        </w:rPr>
        <w:t>含量（以每日计）应在0.2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4mg范围内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《食品安全国家标准 预包装特殊膳食用食品标签》（GB 13432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2013）中规定，在产品保质期内，能量和营养成分的实际含量不应低于标示值的80%。</w:t>
      </w:r>
      <w:r>
        <w:rPr>
          <w:rFonts w:hint="default" w:ascii="Times New Roman" w:hAnsi="Times New Roman" w:eastAsia="仿宋_GB2312" w:cs="Times New Roman"/>
          <w:sz w:val="32"/>
          <w:szCs w:val="32"/>
          <w:lang w:val="en-US" w:eastAsia="zh-CN"/>
        </w:rPr>
        <w:t>运动营养食品中维生素B</w:t>
      </w:r>
      <w:r>
        <w:rPr>
          <w:rFonts w:hint="default" w:ascii="Times New Roman" w:hAnsi="Times New Roman" w:eastAsia="仿宋_GB2312" w:cs="Times New Roman"/>
          <w:sz w:val="32"/>
          <w:szCs w:val="32"/>
          <w:vertAlign w:val="subscript"/>
          <w:lang w:val="en-US" w:eastAsia="zh-CN"/>
        </w:rPr>
        <w:t>1</w:t>
      </w:r>
      <w:r>
        <w:rPr>
          <w:rFonts w:hint="default" w:ascii="Times New Roman" w:hAnsi="Times New Roman" w:eastAsia="仿宋_GB2312" w:cs="Times New Roman"/>
          <w:sz w:val="32"/>
          <w:szCs w:val="32"/>
          <w:lang w:val="en-US" w:eastAsia="zh-CN"/>
        </w:rPr>
        <w:t>含量不达标的原因，可能是</w:t>
      </w:r>
      <w:r>
        <w:rPr>
          <w:rFonts w:hint="default" w:ascii="Times New Roman" w:hAnsi="Times New Roman" w:eastAsia="仿宋_GB2312" w:cs="Times New Roman"/>
          <w:sz w:val="32"/>
          <w:szCs w:val="32"/>
        </w:rPr>
        <w:t>原辅料用食品营养强化剂不</w:t>
      </w:r>
      <w:r>
        <w:rPr>
          <w:rFonts w:hint="default" w:ascii="Times New Roman" w:hAnsi="Times New Roman" w:eastAsia="仿宋_GB2312" w:cs="Times New Roman"/>
          <w:sz w:val="32"/>
          <w:szCs w:val="32"/>
          <w:lang w:eastAsia="zh-CN"/>
        </w:rPr>
        <w:t>符合</w:t>
      </w:r>
      <w:r>
        <w:rPr>
          <w:rFonts w:hint="default" w:ascii="Times New Roman" w:hAnsi="Times New Roman" w:eastAsia="仿宋_GB2312" w:cs="Times New Roman"/>
          <w:sz w:val="32"/>
          <w:szCs w:val="32"/>
        </w:rPr>
        <w:t>质量要求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也可能是</w:t>
      </w:r>
      <w:r>
        <w:rPr>
          <w:rFonts w:hint="default" w:ascii="Times New Roman" w:hAnsi="Times New Roman" w:eastAsia="仿宋_GB2312" w:cs="Times New Roman"/>
          <w:sz w:val="32"/>
          <w:szCs w:val="32"/>
        </w:rPr>
        <w:t>生产加工过程中搅拌不均匀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还</w:t>
      </w:r>
      <w:r>
        <w:rPr>
          <w:rFonts w:hint="default" w:ascii="Times New Roman" w:hAnsi="Times New Roman" w:eastAsia="仿宋_GB2312" w:cs="Times New Roman"/>
          <w:sz w:val="32"/>
          <w:szCs w:val="32"/>
        </w:rPr>
        <w:t>可能是在加工或储存过程中损失。</w:t>
      </w:r>
    </w:p>
    <w:p w14:paraId="20B3F55F">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黑体" w:cs="Times New Roman"/>
          <w:sz w:val="32"/>
          <w:szCs w:val="32"/>
          <w:lang w:val="en-US" w:eastAsia="zh-CN"/>
        </w:rPr>
      </w:pPr>
      <w:r>
        <w:rPr>
          <w:rFonts w:hint="eastAsia" w:ascii="黑体" w:hAnsi="黑体" w:eastAsia="黑体" w:cs="黑体"/>
          <w:color w:val="auto"/>
          <w:sz w:val="32"/>
          <w:szCs w:val="32"/>
          <w:highlight w:val="none"/>
          <w:lang w:val="en-US" w:eastAsia="zh-CN"/>
        </w:rPr>
        <w:t>二十八</w:t>
      </w:r>
      <w:r>
        <w:rPr>
          <w:rFonts w:hint="default" w:ascii="Times New Roman" w:hAnsi="Times New Roman" w:eastAsia="黑体" w:cs="Times New Roman"/>
          <w:color w:val="auto"/>
          <w:sz w:val="32"/>
          <w:szCs w:val="32"/>
          <w:highlight w:val="none"/>
          <w:lang w:eastAsia="zh-CN"/>
        </w:rPr>
        <w:t>、</w:t>
      </w:r>
      <w:r>
        <w:rPr>
          <w:rFonts w:hint="default" w:ascii="Times New Roman" w:hAnsi="Times New Roman" w:eastAsia="黑体" w:cs="Times New Roman"/>
          <w:sz w:val="32"/>
          <w:szCs w:val="32"/>
          <w:lang w:val="en-US" w:eastAsia="zh-CN"/>
        </w:rPr>
        <w:t>维生素B</w:t>
      </w:r>
      <w:r>
        <w:rPr>
          <w:rFonts w:hint="default" w:ascii="Times New Roman" w:hAnsi="Times New Roman" w:eastAsia="黑体" w:cs="Times New Roman"/>
          <w:sz w:val="32"/>
          <w:szCs w:val="32"/>
          <w:vertAlign w:val="subscript"/>
          <w:lang w:val="en-US" w:eastAsia="zh-CN"/>
        </w:rPr>
        <w:t>2</w:t>
      </w:r>
    </w:p>
    <w:p w14:paraId="1082C820">
      <w:pPr>
        <w:pStyle w:val="9"/>
        <w:widowControl/>
        <w:adjustRightInd/>
        <w:spacing w:after="0" w:line="594" w:lineRule="exact"/>
        <w:ind w:firstLine="640" w:firstLineChars="200"/>
        <w:rPr>
          <w:rFonts w:hint="default" w:ascii="Times New Roman" w:hAnsi="Times New Roman" w:eastAsia="仿宋_GB2312" w:cs="Times New Roman"/>
          <w:color w:val="auto"/>
          <w:spacing w:val="-12"/>
          <w:sz w:val="32"/>
          <w:szCs w:val="32"/>
          <w:highlight w:val="none"/>
          <w:lang w:eastAsia="zh-CN"/>
        </w:rPr>
      </w:pPr>
      <w:r>
        <w:rPr>
          <w:rFonts w:hint="default" w:ascii="Times New Roman" w:hAnsi="Times New Roman" w:eastAsia="仿宋_GB2312" w:cs="Times New Roman"/>
          <w:kern w:val="2"/>
          <w:sz w:val="32"/>
          <w:szCs w:val="32"/>
          <w:lang w:val="en-US" w:eastAsia="zh-CN" w:bidi="ar-SA"/>
        </w:rPr>
        <w:t>维生素B</w:t>
      </w:r>
      <w:r>
        <w:rPr>
          <w:rFonts w:hint="default" w:ascii="Times New Roman" w:hAnsi="Times New Roman" w:eastAsia="仿宋_GB2312" w:cs="Times New Roman"/>
          <w:kern w:val="2"/>
          <w:sz w:val="32"/>
          <w:szCs w:val="32"/>
          <w:vertAlign w:val="subscript"/>
          <w:lang w:val="en-US" w:eastAsia="zh-CN" w:bidi="ar-SA"/>
        </w:rPr>
        <w:t>2</w:t>
      </w:r>
      <w:r>
        <w:rPr>
          <w:rFonts w:hint="default" w:ascii="Times New Roman" w:hAnsi="Times New Roman" w:eastAsia="仿宋_GB2312" w:cs="Times New Roman"/>
          <w:kern w:val="2"/>
          <w:sz w:val="32"/>
          <w:szCs w:val="32"/>
          <w:lang w:val="en-US" w:eastAsia="zh-CN" w:bidi="ar-SA"/>
        </w:rPr>
        <w:t>是一种水溶性维生素，能够参与体内生物氧化与能量代谢。维生素B</w:t>
      </w:r>
      <w:r>
        <w:rPr>
          <w:rFonts w:hint="default" w:ascii="Times New Roman" w:hAnsi="Times New Roman" w:eastAsia="仿宋_GB2312" w:cs="Times New Roman"/>
          <w:kern w:val="2"/>
          <w:sz w:val="32"/>
          <w:szCs w:val="32"/>
          <w:vertAlign w:val="subscript"/>
          <w:lang w:val="en-US" w:eastAsia="zh-CN" w:bidi="ar-SA"/>
        </w:rPr>
        <w:t>2</w:t>
      </w:r>
      <w:r>
        <w:rPr>
          <w:rFonts w:hint="default" w:ascii="Times New Roman" w:hAnsi="Times New Roman" w:eastAsia="仿宋_GB2312" w:cs="Times New Roman"/>
          <w:kern w:val="2"/>
          <w:sz w:val="32"/>
          <w:szCs w:val="32"/>
          <w:lang w:val="en-US" w:eastAsia="zh-CN" w:bidi="ar-SA"/>
        </w:rPr>
        <w:t>缺乏可能会导致疲倦乏力、口腔疼痛，严重时可引起维生素B</w:t>
      </w:r>
      <w:r>
        <w:rPr>
          <w:rFonts w:hint="default" w:ascii="Times New Roman" w:hAnsi="Times New Roman" w:eastAsia="仿宋_GB2312" w:cs="Times New Roman"/>
          <w:kern w:val="2"/>
          <w:sz w:val="32"/>
          <w:szCs w:val="32"/>
          <w:vertAlign w:val="subscript"/>
          <w:lang w:val="en-US" w:eastAsia="zh-CN" w:bidi="ar-SA"/>
        </w:rPr>
        <w:t>2</w:t>
      </w:r>
      <w:r>
        <w:rPr>
          <w:rFonts w:hint="default" w:ascii="Times New Roman" w:hAnsi="Times New Roman" w:eastAsia="仿宋_GB2312" w:cs="Times New Roman"/>
          <w:kern w:val="2"/>
          <w:sz w:val="32"/>
          <w:szCs w:val="32"/>
          <w:lang w:val="en-US" w:eastAsia="zh-CN" w:bidi="ar-SA"/>
        </w:rPr>
        <w:t>缺乏病。</w:t>
      </w:r>
      <w:r>
        <w:rPr>
          <w:rFonts w:hint="default" w:ascii="Times New Roman" w:hAnsi="Times New Roman" w:eastAsia="仿宋_GB2312" w:cs="Times New Roman"/>
          <w:sz w:val="32"/>
          <w:szCs w:val="32"/>
          <w:lang w:val="en-US" w:eastAsia="zh-CN"/>
        </w:rPr>
        <w:t>《食品安全国家标准 运动营养食品通则》（GB 24154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2015）中规定，运动营养食品中维生素B</w:t>
      </w:r>
      <w:r>
        <w:rPr>
          <w:rFonts w:hint="default" w:ascii="Times New Roman" w:hAnsi="Times New Roman" w:eastAsia="仿宋_GB2312" w:cs="Times New Roman"/>
          <w:sz w:val="32"/>
          <w:szCs w:val="32"/>
          <w:vertAlign w:val="subscript"/>
          <w:lang w:val="en-US" w:eastAsia="zh-CN"/>
        </w:rPr>
        <w:t>2</w:t>
      </w:r>
      <w:r>
        <w:rPr>
          <w:rFonts w:hint="default" w:ascii="Times New Roman" w:hAnsi="Times New Roman" w:eastAsia="仿宋_GB2312" w:cs="Times New Roman"/>
          <w:sz w:val="32"/>
          <w:szCs w:val="32"/>
          <w:lang w:val="en-US" w:eastAsia="zh-CN"/>
        </w:rPr>
        <w:t>含量（以每日计）应在0.2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2mg范围内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《食品安全国家标准 预包装特殊膳食用食品标签》（GB 13432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2013）中规定，在产品保质期内，能量和营养成分的实际含量不应低于标示值的80%。</w:t>
      </w:r>
      <w:r>
        <w:rPr>
          <w:rFonts w:hint="default" w:ascii="Times New Roman" w:hAnsi="Times New Roman" w:eastAsia="仿宋_GB2312" w:cs="Times New Roman"/>
          <w:sz w:val="32"/>
          <w:szCs w:val="32"/>
          <w:lang w:val="en-US" w:eastAsia="zh-CN"/>
        </w:rPr>
        <w:t>运动营养食品中维生素B</w:t>
      </w:r>
      <w:r>
        <w:rPr>
          <w:rFonts w:hint="default" w:ascii="Times New Roman" w:hAnsi="Times New Roman" w:eastAsia="仿宋_GB2312" w:cs="Times New Roman"/>
          <w:sz w:val="32"/>
          <w:szCs w:val="32"/>
          <w:vertAlign w:val="subscript"/>
          <w:lang w:val="en-US" w:eastAsia="zh-CN"/>
        </w:rPr>
        <w:t>2</w:t>
      </w:r>
      <w:r>
        <w:rPr>
          <w:rFonts w:hint="default" w:ascii="Times New Roman" w:hAnsi="Times New Roman" w:eastAsia="仿宋_GB2312" w:cs="Times New Roman"/>
          <w:sz w:val="32"/>
          <w:szCs w:val="32"/>
          <w:lang w:val="en-US" w:eastAsia="zh-CN"/>
        </w:rPr>
        <w:t>含量不达标</w:t>
      </w:r>
      <w:r>
        <w:rPr>
          <w:rFonts w:hint="default" w:ascii="Times New Roman" w:hAnsi="Times New Roman" w:eastAsia="仿宋_GB2312" w:cs="Times New Roman"/>
          <w:sz w:val="32"/>
          <w:szCs w:val="32"/>
        </w:rPr>
        <w:t>的原因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可能是原辅料用食品营养强化剂不符合质量要求；也可能是生产加工过程中搅拌不均匀；还可能是在加工或储存过程中损失。</w:t>
      </w:r>
    </w:p>
    <w:p w14:paraId="379A5F15">
      <w:pPr>
        <w:pStyle w:val="9"/>
        <w:keepNext w:val="0"/>
        <w:keepLines w:val="0"/>
        <w:pageBreakBefore w:val="0"/>
        <w:widowControl w:val="0"/>
        <w:kinsoku/>
        <w:wordWrap/>
        <w:overflowPunct/>
        <w:topLinePunct w:val="0"/>
        <w:bidi w:val="0"/>
        <w:snapToGrid/>
        <w:spacing w:after="0" w:line="594" w:lineRule="exact"/>
        <w:ind w:firstLine="592"/>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color w:val="auto"/>
          <w:spacing w:val="-12"/>
          <w:sz w:val="32"/>
          <w:szCs w:val="32"/>
          <w:highlight w:val="none"/>
          <w:lang w:val="en-US" w:eastAsia="zh-CN"/>
        </w:rPr>
        <w:t>二十九</w:t>
      </w:r>
      <w:r>
        <w:rPr>
          <w:rFonts w:hint="default" w:ascii="Times New Roman" w:hAnsi="Times New Roman" w:eastAsia="黑体" w:cs="Times New Roman"/>
          <w:color w:val="auto"/>
          <w:spacing w:val="-12"/>
          <w:sz w:val="32"/>
          <w:szCs w:val="32"/>
          <w:highlight w:val="none"/>
        </w:rPr>
        <w:t>、</w:t>
      </w:r>
      <w:r>
        <w:rPr>
          <w:rFonts w:hint="default" w:ascii="Times New Roman" w:hAnsi="Times New Roman" w:eastAsia="黑体" w:cs="Times New Roman"/>
          <w:spacing w:val="0"/>
          <w:sz w:val="32"/>
          <w:szCs w:val="32"/>
          <w:lang w:val="en-US" w:eastAsia="zh-CN"/>
        </w:rPr>
        <w:t>维生素B</w:t>
      </w:r>
      <w:r>
        <w:rPr>
          <w:rFonts w:hint="default" w:ascii="Times New Roman" w:hAnsi="Times New Roman" w:eastAsia="黑体" w:cs="Times New Roman"/>
          <w:spacing w:val="0"/>
          <w:sz w:val="32"/>
          <w:szCs w:val="32"/>
          <w:vertAlign w:val="subscript"/>
          <w:lang w:val="en-US" w:eastAsia="zh-CN"/>
        </w:rPr>
        <w:t>6</w:t>
      </w:r>
    </w:p>
    <w:p w14:paraId="28AAFD65">
      <w:pPr>
        <w:pStyle w:val="9"/>
        <w:spacing w:after="0" w:line="594"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lang w:val="en-US" w:eastAsia="zh-CN"/>
        </w:rPr>
        <w:t>维生素B</w:t>
      </w:r>
      <w:r>
        <w:rPr>
          <w:rFonts w:hint="default" w:ascii="Times New Roman" w:hAnsi="Times New Roman" w:eastAsia="仿宋_GB2312" w:cs="Times New Roman"/>
          <w:sz w:val="32"/>
          <w:szCs w:val="32"/>
          <w:vertAlign w:val="subscript"/>
          <w:lang w:val="en-US" w:eastAsia="zh-CN"/>
        </w:rPr>
        <w:t>6</w:t>
      </w:r>
      <w:r>
        <w:rPr>
          <w:rFonts w:hint="default" w:ascii="Times New Roman" w:hAnsi="Times New Roman" w:eastAsia="仿宋_GB2312" w:cs="Times New Roman"/>
          <w:sz w:val="32"/>
          <w:szCs w:val="32"/>
          <w:lang w:val="en-US" w:eastAsia="zh-CN"/>
        </w:rPr>
        <w:t>是一种水溶性维生素，主要以辅酶的形式参与人体内多种物质及能量代谢。维生素B</w:t>
      </w:r>
      <w:r>
        <w:rPr>
          <w:rFonts w:hint="default" w:ascii="Times New Roman" w:hAnsi="Times New Roman" w:eastAsia="仿宋_GB2312" w:cs="Times New Roman"/>
          <w:sz w:val="32"/>
          <w:szCs w:val="32"/>
          <w:vertAlign w:val="subscript"/>
          <w:lang w:val="en-US" w:eastAsia="zh-CN"/>
        </w:rPr>
        <w:t>6</w:t>
      </w:r>
      <w:r>
        <w:rPr>
          <w:rFonts w:hint="default" w:ascii="Times New Roman" w:hAnsi="Times New Roman" w:eastAsia="仿宋_GB2312" w:cs="Times New Roman"/>
          <w:sz w:val="32"/>
          <w:szCs w:val="32"/>
          <w:lang w:val="en-US" w:eastAsia="zh-CN"/>
        </w:rPr>
        <w:t>缺乏容易导致肌肉酸痛，身体疲惫。《食品安全国家标准 运动营养食品通则》（GB 24154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2015）中规定，运动营养食品中维生素B</w:t>
      </w:r>
      <w:r>
        <w:rPr>
          <w:rFonts w:hint="default" w:ascii="Times New Roman" w:hAnsi="Times New Roman" w:eastAsia="仿宋_GB2312" w:cs="Times New Roman"/>
          <w:sz w:val="32"/>
          <w:szCs w:val="32"/>
          <w:vertAlign w:val="subscript"/>
          <w:lang w:val="en-US" w:eastAsia="zh-CN"/>
        </w:rPr>
        <w:t>6</w:t>
      </w:r>
      <w:r>
        <w:rPr>
          <w:rFonts w:hint="default" w:ascii="Times New Roman" w:hAnsi="Times New Roman" w:eastAsia="仿宋_GB2312" w:cs="Times New Roman"/>
          <w:sz w:val="32"/>
          <w:szCs w:val="32"/>
          <w:lang w:val="en-US" w:eastAsia="zh-CN"/>
        </w:rPr>
        <w:t>含量（以每日计）应在0.2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2mg范围内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《食品安全国家标准 预包装特殊膳食用食品标签》（GB 13432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2013）中规定，在产品保质期内，能量和营养成分的实际含量不应低于标示值的80%。</w:t>
      </w:r>
      <w:r>
        <w:rPr>
          <w:rFonts w:hint="default" w:ascii="Times New Roman" w:hAnsi="Times New Roman" w:eastAsia="仿宋_GB2312" w:cs="Times New Roman"/>
          <w:sz w:val="32"/>
          <w:szCs w:val="32"/>
          <w:lang w:val="en-US" w:eastAsia="zh-CN"/>
        </w:rPr>
        <w:t>运动营养食品中维生素B</w:t>
      </w:r>
      <w:r>
        <w:rPr>
          <w:rFonts w:hint="default" w:ascii="Times New Roman" w:hAnsi="Times New Roman" w:eastAsia="仿宋_GB2312" w:cs="Times New Roman"/>
          <w:sz w:val="32"/>
          <w:szCs w:val="32"/>
          <w:vertAlign w:val="subscript"/>
          <w:lang w:val="en-US" w:eastAsia="zh-CN"/>
        </w:rPr>
        <w:t>6</w:t>
      </w:r>
      <w:r>
        <w:rPr>
          <w:rFonts w:hint="default" w:ascii="Times New Roman" w:hAnsi="Times New Roman" w:eastAsia="仿宋_GB2312" w:cs="Times New Roman"/>
          <w:sz w:val="32"/>
          <w:szCs w:val="32"/>
          <w:lang w:val="en-US" w:eastAsia="zh-CN"/>
        </w:rPr>
        <w:t>含量不达标的原因，可能是</w:t>
      </w:r>
      <w:r>
        <w:rPr>
          <w:rFonts w:hint="default" w:ascii="Times New Roman" w:hAnsi="Times New Roman" w:eastAsia="仿宋_GB2312" w:cs="Times New Roman"/>
          <w:sz w:val="32"/>
          <w:szCs w:val="32"/>
        </w:rPr>
        <w:t>原辅料用食品营养强化剂不</w:t>
      </w:r>
      <w:r>
        <w:rPr>
          <w:rFonts w:hint="default" w:ascii="Times New Roman" w:hAnsi="Times New Roman" w:eastAsia="仿宋_GB2312" w:cs="Times New Roman"/>
          <w:sz w:val="32"/>
          <w:szCs w:val="32"/>
          <w:lang w:eastAsia="zh-CN"/>
        </w:rPr>
        <w:t>符合</w:t>
      </w:r>
      <w:r>
        <w:rPr>
          <w:rFonts w:hint="default" w:ascii="Times New Roman" w:hAnsi="Times New Roman" w:eastAsia="仿宋_GB2312" w:cs="Times New Roman"/>
          <w:sz w:val="32"/>
          <w:szCs w:val="32"/>
        </w:rPr>
        <w:t>质量要求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也</w:t>
      </w:r>
      <w:r>
        <w:rPr>
          <w:rFonts w:hint="default" w:ascii="Times New Roman" w:hAnsi="Times New Roman" w:eastAsia="仿宋_GB2312" w:cs="Times New Roman"/>
          <w:sz w:val="32"/>
          <w:szCs w:val="32"/>
        </w:rPr>
        <w:t>可能是生产加工过程中搅拌不均匀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还可能是</w:t>
      </w:r>
      <w:r>
        <w:rPr>
          <w:rFonts w:hint="default" w:ascii="Times New Roman" w:hAnsi="Times New Roman" w:eastAsia="仿宋_GB2312" w:cs="Times New Roman"/>
          <w:sz w:val="32"/>
          <w:szCs w:val="32"/>
        </w:rPr>
        <w:t>在加工或储存过程中损失。</w:t>
      </w:r>
    </w:p>
    <w:p w14:paraId="17B3D117">
      <w:pPr>
        <w:pStyle w:val="9"/>
        <w:keepNext w:val="0"/>
        <w:keepLines w:val="0"/>
        <w:pageBreakBefore w:val="0"/>
        <w:widowControl w:val="0"/>
        <w:kinsoku/>
        <w:wordWrap/>
        <w:overflowPunct/>
        <w:topLinePunct w:val="0"/>
        <w:bidi w:val="0"/>
        <w:adjustRightInd/>
        <w:snapToGrid/>
        <w:spacing w:after="0" w:line="594" w:lineRule="exact"/>
        <w:ind w:firstLine="640" w:firstLineChars="200"/>
        <w:textAlignment w:val="auto"/>
        <w:rPr>
          <w:rFonts w:hint="default" w:ascii="Times New Roman" w:hAnsi="Times New Roman" w:eastAsia="黑体" w:cs="Times New Roman"/>
          <w:kern w:val="2"/>
          <w:sz w:val="32"/>
          <w:szCs w:val="32"/>
          <w:lang w:val="en-US" w:eastAsia="zh-CN" w:bidi="ar-SA"/>
        </w:rPr>
      </w:pPr>
      <w:r>
        <w:rPr>
          <w:rFonts w:hint="eastAsia" w:ascii="Times New Roman" w:hAnsi="Times New Roman" w:eastAsia="黑体" w:cs="Times New Roman"/>
          <w:color w:val="000000"/>
          <w:sz w:val="32"/>
          <w:szCs w:val="32"/>
          <w:lang w:val="en-US" w:eastAsia="zh-CN"/>
        </w:rPr>
        <w:t>三十、</w:t>
      </w:r>
      <w:r>
        <w:rPr>
          <w:rFonts w:hint="default" w:ascii="Times New Roman" w:hAnsi="Times New Roman" w:eastAsia="黑体" w:cs="Times New Roman"/>
          <w:kern w:val="2"/>
          <w:sz w:val="32"/>
          <w:szCs w:val="32"/>
          <w:lang w:val="en-US" w:eastAsia="zh-CN" w:bidi="ar-SA"/>
        </w:rPr>
        <w:t>维生素B</w:t>
      </w:r>
      <w:r>
        <w:rPr>
          <w:rFonts w:hint="default" w:ascii="Times New Roman" w:hAnsi="Times New Roman" w:eastAsia="黑体" w:cs="Times New Roman"/>
          <w:kern w:val="2"/>
          <w:sz w:val="32"/>
          <w:szCs w:val="32"/>
          <w:vertAlign w:val="subscript"/>
          <w:lang w:val="en-US" w:eastAsia="zh-CN" w:bidi="ar-SA"/>
        </w:rPr>
        <w:t>12</w:t>
      </w:r>
    </w:p>
    <w:p w14:paraId="5690F02C">
      <w:pPr>
        <w:pStyle w:val="9"/>
        <w:widowControl w:val="0"/>
        <w:numPr>
          <w:ilvl w:val="-1"/>
          <w:numId w:val="0"/>
        </w:numPr>
        <w:spacing w:after="0" w:line="594" w:lineRule="exact"/>
        <w:ind w:firstLine="640" w:firstLineChars="200"/>
        <w:rPr>
          <w:rFonts w:hint="eastAsia" w:ascii="黑体" w:hAnsi="黑体" w:eastAsia="黑体" w:cs="Times New Roman"/>
          <w:sz w:val="32"/>
          <w:szCs w:val="32"/>
          <w:highlight w:val="none"/>
          <w:lang w:eastAsia="zh-CN"/>
        </w:rPr>
      </w:pPr>
      <w:r>
        <w:rPr>
          <w:rFonts w:hint="default" w:ascii="Times New Roman" w:hAnsi="Times New Roman" w:eastAsia="仿宋_GB2312" w:cs="Times New Roman"/>
          <w:sz w:val="32"/>
          <w:szCs w:val="32"/>
          <w:lang w:val="en-US" w:eastAsia="zh-CN"/>
        </w:rPr>
        <w:t>维生素B</w:t>
      </w:r>
      <w:r>
        <w:rPr>
          <w:rFonts w:hint="default" w:ascii="Times New Roman" w:hAnsi="Times New Roman" w:eastAsia="仿宋_GB2312" w:cs="Times New Roman"/>
          <w:sz w:val="32"/>
          <w:szCs w:val="32"/>
          <w:vertAlign w:val="subscript"/>
          <w:lang w:val="en-US" w:eastAsia="zh-CN"/>
        </w:rPr>
        <w:t>12</w:t>
      </w:r>
      <w:r>
        <w:rPr>
          <w:rFonts w:hint="default" w:ascii="Times New Roman" w:hAnsi="Times New Roman" w:eastAsia="仿宋_GB2312" w:cs="Times New Roman"/>
          <w:sz w:val="32"/>
          <w:szCs w:val="32"/>
          <w:lang w:val="en-US" w:eastAsia="zh-CN"/>
        </w:rPr>
        <w:t>是一种水溶性维生素，主要以辅酶的形式存在并参与体内生化反应。维生素B</w:t>
      </w:r>
      <w:r>
        <w:rPr>
          <w:rFonts w:hint="default" w:ascii="Times New Roman" w:hAnsi="Times New Roman" w:eastAsia="仿宋_GB2312" w:cs="Times New Roman"/>
          <w:sz w:val="32"/>
          <w:szCs w:val="32"/>
          <w:vertAlign w:val="subscript"/>
          <w:lang w:val="en-US" w:eastAsia="zh-CN"/>
        </w:rPr>
        <w:t>12</w:t>
      </w:r>
      <w:r>
        <w:rPr>
          <w:rFonts w:hint="default" w:ascii="Times New Roman" w:hAnsi="Times New Roman" w:eastAsia="仿宋_GB2312" w:cs="Times New Roman"/>
          <w:sz w:val="32"/>
          <w:szCs w:val="32"/>
          <w:lang w:val="en-US" w:eastAsia="zh-CN"/>
        </w:rPr>
        <w:t>是一种预防和治疗恶性贫血的维生素，在人体内参与蛋白质、脂肪和碳水化合物等生物大分子的转化和利用，促进红细胞的发育和成熟。《食品安全国家标准 运动营养食品通则》（GB 24154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2015）中规定，运动营养食品中维生素B</w:t>
      </w:r>
      <w:r>
        <w:rPr>
          <w:rFonts w:hint="default" w:ascii="Times New Roman" w:hAnsi="Times New Roman" w:eastAsia="仿宋_GB2312" w:cs="Times New Roman"/>
          <w:sz w:val="32"/>
          <w:szCs w:val="32"/>
          <w:vertAlign w:val="subscript"/>
          <w:lang w:val="en-US" w:eastAsia="zh-CN"/>
        </w:rPr>
        <w:t>12</w:t>
      </w:r>
      <w:r>
        <w:rPr>
          <w:rFonts w:hint="default" w:ascii="Times New Roman" w:hAnsi="Times New Roman" w:eastAsia="仿宋_GB2312" w:cs="Times New Roman"/>
          <w:sz w:val="32"/>
          <w:szCs w:val="32"/>
          <w:lang w:val="en-US" w:eastAsia="zh-CN"/>
        </w:rPr>
        <w:t>含量（以每日计）应在0.4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4μg范围内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《食品安全国家标准 预包装特殊膳食用食品标签》（GB 13432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2013）中规定，在产品保质期内，能量和营养成分的实际含量不应低于标示值的80%。运动营养食品中维生素B</w:t>
      </w:r>
      <w:r>
        <w:rPr>
          <w:rFonts w:hint="default" w:ascii="Times New Roman" w:hAnsi="Times New Roman" w:eastAsia="仿宋_GB2312" w:cs="Times New Roman"/>
          <w:sz w:val="32"/>
          <w:szCs w:val="32"/>
          <w:vertAlign w:val="subscript"/>
          <w:lang w:val="en-US" w:eastAsia="zh-CN"/>
        </w:rPr>
        <w:t>12</w:t>
      </w:r>
      <w:r>
        <w:rPr>
          <w:rFonts w:hint="default" w:ascii="Times New Roman" w:hAnsi="Times New Roman" w:eastAsia="仿宋_GB2312" w:cs="Times New Roman"/>
          <w:sz w:val="32"/>
          <w:szCs w:val="32"/>
          <w:lang w:val="en-US" w:eastAsia="zh-CN"/>
        </w:rPr>
        <w:t>含量不达标的原因，可能是原辅料用食品营养强化剂不符合质量要求；也可能是生产加工过程中搅拌不均匀；还可能是在加工或储存过程中损失。</w:t>
      </w:r>
    </w:p>
    <w:p w14:paraId="4D9B0DB6">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color w:val="auto"/>
          <w:sz w:val="32"/>
          <w:szCs w:val="32"/>
          <w:highlight w:val="none"/>
          <w:lang w:val="en-US" w:eastAsia="zh-CN"/>
        </w:rPr>
        <w:t>三十</w:t>
      </w:r>
      <w:r>
        <w:rPr>
          <w:rFonts w:hint="eastAsia" w:ascii="Times New Roman" w:hAnsi="Times New Roman" w:eastAsia="黑体" w:cs="Times New Roman"/>
          <w:color w:val="auto"/>
          <w:sz w:val="32"/>
          <w:szCs w:val="32"/>
          <w:highlight w:val="none"/>
          <w:lang w:val="en-US" w:eastAsia="zh-CN"/>
        </w:rPr>
        <w:t>一</w:t>
      </w:r>
      <w:r>
        <w:rPr>
          <w:rFonts w:hint="default" w:ascii="Times New Roman" w:hAnsi="Times New Roman" w:eastAsia="黑体" w:cs="Times New Roman"/>
          <w:color w:val="auto"/>
          <w:sz w:val="32"/>
          <w:szCs w:val="32"/>
          <w:highlight w:val="none"/>
          <w:lang w:val="en-US" w:eastAsia="zh-CN"/>
        </w:rPr>
        <w:t>、</w:t>
      </w:r>
      <w:r>
        <w:rPr>
          <w:rFonts w:hint="default" w:ascii="Times New Roman" w:hAnsi="Times New Roman" w:eastAsia="黑体" w:cs="Times New Roman"/>
          <w:spacing w:val="-12"/>
          <w:sz w:val="32"/>
          <w:szCs w:val="32"/>
          <w:lang w:val="en-US" w:eastAsia="zh-CN"/>
        </w:rPr>
        <w:t>维生素C</w:t>
      </w:r>
    </w:p>
    <w:p w14:paraId="3CE81348">
      <w:pPr>
        <w:pStyle w:val="9"/>
        <w:keepNext w:val="0"/>
        <w:keepLines w:val="0"/>
        <w:pageBreakBefore w:val="0"/>
        <w:widowControl w:val="0"/>
        <w:kinsoku/>
        <w:wordWrap/>
        <w:overflowPunct/>
        <w:topLinePunct w:val="0"/>
        <w:bidi w:val="0"/>
        <w:adjustRightInd/>
        <w:snapToGrid/>
        <w:spacing w:after="0" w:line="594"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维生素C是一种水溶性维生素，在人体代谢过程中发挥重要作用。维生素C缺乏会影响人体正常生理功能，长期严重缺乏可能导致坏血病。《食品安全国家标准 运动营养食品通则》（GB 24154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2015）中规定，运动营养食品中维生素C含量（以每日计）应在15</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100mg范围内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《食品安全国家标准 预包装特殊膳食用食品标签》（GB 13432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2013）中规定，在产品保质期内，能量和营养成分的实际含量不应低于标示值的80%。运动营养食品中维生素C含量不达标的原因，可能是原辅料用食品营养强化剂不符合质量要求；也可能是生产加工过程中搅拌不均匀；还可能是在加工或储存过程中损失。</w:t>
      </w:r>
    </w:p>
    <w:p w14:paraId="2D92EA2C">
      <w:pPr>
        <w:pStyle w:val="9"/>
        <w:keepNext w:val="0"/>
        <w:keepLines w:val="0"/>
        <w:pageBreakBefore w:val="0"/>
        <w:widowControl w:val="0"/>
        <w:kinsoku/>
        <w:wordWrap/>
        <w:overflowPunct/>
        <w:topLinePunct w:val="0"/>
        <w:bidi w:val="0"/>
        <w:snapToGrid/>
        <w:spacing w:after="0" w:line="594" w:lineRule="exact"/>
        <w:textAlignment w:val="auto"/>
        <w:rPr>
          <w:rFonts w:hint="default" w:ascii="Times New Roman" w:hAnsi="Times New Roman" w:eastAsia="黑体" w:cs="Times New Roman"/>
          <w:spacing w:val="0"/>
          <w:sz w:val="32"/>
          <w:szCs w:val="32"/>
          <w:lang w:val="en-US" w:eastAsia="zh-CN"/>
        </w:rPr>
      </w:pPr>
      <w:r>
        <w:rPr>
          <w:rFonts w:hint="eastAsia" w:ascii="Times New Roman" w:hAnsi="Times New Roman" w:eastAsia="黑体" w:cs="Times New Roman"/>
          <w:spacing w:val="0"/>
          <w:sz w:val="32"/>
          <w:szCs w:val="32"/>
          <w:lang w:val="en-US" w:eastAsia="zh-CN"/>
        </w:rPr>
        <w:t>三十二、</w:t>
      </w:r>
      <w:r>
        <w:rPr>
          <w:rFonts w:hint="default" w:ascii="Times New Roman" w:hAnsi="Times New Roman" w:eastAsia="黑体" w:cs="Times New Roman"/>
          <w:spacing w:val="0"/>
          <w:sz w:val="32"/>
          <w:szCs w:val="32"/>
          <w:lang w:val="en-US" w:eastAsia="zh-CN"/>
        </w:rPr>
        <w:t>维生素D</w:t>
      </w:r>
    </w:p>
    <w:p w14:paraId="07BC28FA">
      <w:pPr>
        <w:pStyle w:val="9"/>
        <w:keepNext w:val="0"/>
        <w:keepLines w:val="0"/>
        <w:pageBreakBefore w:val="0"/>
        <w:widowControl w:val="0"/>
        <w:kinsoku/>
        <w:wordWrap/>
        <w:overflowPunct/>
        <w:topLinePunct w:val="0"/>
        <w:bidi w:val="0"/>
        <w:snapToGrid/>
        <w:spacing w:after="0" w:line="594"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rPr>
        <w:t>维生素D是一种脂溶性维生素，</w:t>
      </w:r>
      <w:r>
        <w:rPr>
          <w:rFonts w:hint="default" w:ascii="Times New Roman" w:hAnsi="Times New Roman" w:eastAsia="仿宋_GB2312" w:cs="Times New Roman"/>
          <w:sz w:val="32"/>
          <w:szCs w:val="32"/>
          <w:lang w:val="en-US" w:eastAsia="zh-CN"/>
        </w:rPr>
        <w:t>可以维持血浆钙和磷的水平稳定，满足骨骼矿物质化、肌肉收缩、神经传导及细胞的基本功能。</w:t>
      </w:r>
      <w:r>
        <w:rPr>
          <w:rFonts w:hint="default" w:ascii="Times New Roman" w:hAnsi="Times New Roman" w:eastAsia="仿宋_GB2312" w:cs="Times New Roman"/>
          <w:sz w:val="32"/>
        </w:rPr>
        <w:t>维生素D缺乏</w:t>
      </w:r>
      <w:r>
        <w:rPr>
          <w:rFonts w:hint="default" w:ascii="Times New Roman" w:hAnsi="Times New Roman" w:eastAsia="仿宋_GB2312" w:cs="Times New Roman"/>
          <w:sz w:val="32"/>
          <w:lang w:val="en-US" w:eastAsia="zh-CN"/>
        </w:rPr>
        <w:t>可能</w:t>
      </w:r>
      <w:r>
        <w:rPr>
          <w:rFonts w:hint="default" w:ascii="Times New Roman" w:hAnsi="Times New Roman" w:eastAsia="仿宋_GB2312" w:cs="Times New Roman"/>
          <w:sz w:val="32"/>
        </w:rPr>
        <w:t>导致钙的吸收利用降低，出现佝偻病、骨软化症及骨质疏松等问题。</w:t>
      </w:r>
      <w:r>
        <w:rPr>
          <w:rFonts w:hint="default" w:ascii="Times New Roman" w:hAnsi="Times New Roman" w:eastAsia="仿宋_GB2312" w:cs="Times New Roman"/>
          <w:sz w:val="32"/>
          <w:szCs w:val="32"/>
          <w:lang w:val="en-US" w:eastAsia="zh-CN"/>
        </w:rPr>
        <w:t>《食品安全国家标准 运动营养食品通则》（GB 24154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2015）</w:t>
      </w:r>
      <w:r>
        <w:rPr>
          <w:rFonts w:hint="default" w:ascii="Times New Roman" w:hAnsi="Times New Roman" w:eastAsia="仿宋_GB2312" w:cs="Times New Roman"/>
          <w:sz w:val="32"/>
          <w:szCs w:val="32"/>
        </w:rPr>
        <w:t>中规定，</w:t>
      </w:r>
      <w:r>
        <w:rPr>
          <w:rFonts w:hint="default" w:ascii="Times New Roman" w:hAnsi="Times New Roman" w:eastAsia="仿宋_GB2312" w:cs="Times New Roman"/>
          <w:sz w:val="32"/>
          <w:szCs w:val="32"/>
          <w:lang w:val="en-US" w:eastAsia="zh-CN"/>
        </w:rPr>
        <w:t>运动营养食品中</w:t>
      </w:r>
      <w:r>
        <w:rPr>
          <w:rFonts w:hint="default" w:ascii="Times New Roman" w:hAnsi="Times New Roman" w:eastAsia="仿宋_GB2312" w:cs="Times New Roman"/>
          <w:sz w:val="32"/>
        </w:rPr>
        <w:t>维生素D</w:t>
      </w:r>
      <w:r>
        <w:rPr>
          <w:rFonts w:hint="default" w:ascii="Times New Roman" w:hAnsi="Times New Roman" w:eastAsia="仿宋_GB2312" w:cs="Times New Roman"/>
          <w:sz w:val="32"/>
          <w:szCs w:val="32"/>
          <w:lang w:val="en-US" w:eastAsia="zh-CN"/>
        </w:rPr>
        <w:t>含量（以每日计）</w:t>
      </w:r>
      <w:r>
        <w:rPr>
          <w:rFonts w:hint="default" w:ascii="Times New Roman" w:hAnsi="Times New Roman" w:eastAsia="仿宋_GB2312" w:cs="Times New Roman"/>
          <w:sz w:val="32"/>
          <w:szCs w:val="32"/>
        </w:rPr>
        <w:t>应在</w:t>
      </w:r>
      <w:r>
        <w:rPr>
          <w:rFonts w:hint="default" w:ascii="Times New Roman" w:hAnsi="Times New Roman" w:eastAsia="仿宋_GB2312" w:cs="Times New Roman"/>
          <w:sz w:val="32"/>
          <w:szCs w:val="32"/>
          <w:lang w:val="en-US" w:eastAsia="zh-CN"/>
        </w:rPr>
        <w:t>1.5</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10μ</w:t>
      </w:r>
      <w:r>
        <w:rPr>
          <w:rFonts w:hint="default" w:ascii="Times New Roman" w:hAnsi="Times New Roman" w:eastAsia="仿宋_GB2312" w:cs="Times New Roman"/>
          <w:sz w:val="32"/>
          <w:szCs w:val="32"/>
        </w:rPr>
        <w:t>g</w:t>
      </w:r>
      <w:r>
        <w:rPr>
          <w:rFonts w:hint="default" w:ascii="Times New Roman" w:hAnsi="Times New Roman" w:eastAsia="仿宋_GB2312" w:cs="Times New Roman"/>
          <w:sz w:val="32"/>
          <w:szCs w:val="32"/>
          <w:lang w:val="en-US" w:eastAsia="zh-CN"/>
        </w:rPr>
        <w:t>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rPr>
        <w:t>《食品安全国家标准 预包装特殊膳食用食品标签》（GB 13432</w:t>
      </w:r>
      <w:r>
        <w:rPr>
          <w:rFonts w:hint="eastAsia" w:ascii="Times New Roman" w:hAnsi="Times New Roman" w:eastAsia="仿宋_GB2312" w:cs="Times New Roman"/>
          <w:sz w:val="32"/>
          <w:lang w:eastAsia="zh-CN"/>
        </w:rPr>
        <w:t>—</w:t>
      </w:r>
      <w:r>
        <w:rPr>
          <w:rFonts w:hint="default" w:ascii="Times New Roman" w:hAnsi="Times New Roman" w:eastAsia="仿宋_GB2312" w:cs="Times New Roman"/>
          <w:sz w:val="32"/>
        </w:rPr>
        <w:t>2013）</w:t>
      </w:r>
      <w:r>
        <w:rPr>
          <w:rFonts w:hint="default" w:ascii="Times New Roman" w:hAnsi="Times New Roman" w:eastAsia="仿宋_GB2312" w:cs="Times New Roman"/>
          <w:sz w:val="32"/>
          <w:lang w:val="en-US" w:eastAsia="zh-CN"/>
        </w:rPr>
        <w:t>中</w:t>
      </w:r>
      <w:r>
        <w:rPr>
          <w:rFonts w:hint="default" w:ascii="Times New Roman" w:hAnsi="Times New Roman" w:eastAsia="仿宋_GB2312" w:cs="Times New Roman"/>
          <w:sz w:val="32"/>
        </w:rPr>
        <w:t>规定，在产品保质期内，能量和营养成分的实际含量不应低于标示值的80%。</w:t>
      </w:r>
      <w:r>
        <w:rPr>
          <w:rFonts w:hint="default" w:ascii="Times New Roman" w:hAnsi="Times New Roman" w:eastAsia="仿宋_GB2312" w:cs="Times New Roman"/>
          <w:sz w:val="32"/>
          <w:lang w:val="en-US" w:eastAsia="zh-CN"/>
        </w:rPr>
        <w:t>运动营养食品</w:t>
      </w:r>
      <w:r>
        <w:rPr>
          <w:rFonts w:hint="default" w:ascii="Times New Roman" w:hAnsi="Times New Roman" w:eastAsia="仿宋_GB2312" w:cs="Times New Roman"/>
          <w:sz w:val="32"/>
        </w:rPr>
        <w:t>中维生素D</w:t>
      </w:r>
      <w:r>
        <w:rPr>
          <w:rFonts w:hint="default" w:ascii="Times New Roman" w:hAnsi="Times New Roman" w:eastAsia="仿宋_GB2312" w:cs="Times New Roman"/>
          <w:sz w:val="32"/>
          <w:lang w:val="en-US" w:eastAsia="zh-CN"/>
        </w:rPr>
        <w:t>含量</w:t>
      </w:r>
      <w:r>
        <w:rPr>
          <w:rFonts w:hint="default" w:ascii="Times New Roman" w:hAnsi="Times New Roman" w:eastAsia="仿宋_GB2312" w:cs="Times New Roman"/>
          <w:sz w:val="32"/>
        </w:rPr>
        <w:t>不达标的原因，</w:t>
      </w:r>
      <w:r>
        <w:rPr>
          <w:rFonts w:hint="default" w:ascii="Times New Roman" w:hAnsi="Times New Roman" w:eastAsia="仿宋_GB2312" w:cs="Times New Roman"/>
          <w:sz w:val="32"/>
          <w:szCs w:val="32"/>
          <w:lang w:val="en-US" w:eastAsia="zh-CN"/>
        </w:rPr>
        <w:t>可能是</w:t>
      </w:r>
      <w:r>
        <w:rPr>
          <w:rFonts w:hint="default" w:ascii="Times New Roman" w:hAnsi="Times New Roman" w:eastAsia="仿宋_GB2312" w:cs="Times New Roman"/>
          <w:sz w:val="32"/>
          <w:szCs w:val="32"/>
        </w:rPr>
        <w:t>原辅料用食品营养强化剂不</w:t>
      </w:r>
      <w:r>
        <w:rPr>
          <w:rFonts w:hint="default" w:ascii="Times New Roman" w:hAnsi="Times New Roman" w:eastAsia="仿宋_GB2312" w:cs="Times New Roman"/>
          <w:sz w:val="32"/>
          <w:szCs w:val="32"/>
          <w:lang w:val="en-US" w:eastAsia="zh-CN"/>
        </w:rPr>
        <w:t>符合质量要求</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也</w:t>
      </w:r>
      <w:r>
        <w:rPr>
          <w:rFonts w:hint="default" w:ascii="Times New Roman" w:hAnsi="Times New Roman" w:eastAsia="仿宋_GB2312" w:cs="Times New Roman"/>
          <w:sz w:val="32"/>
          <w:szCs w:val="32"/>
        </w:rPr>
        <w:t>可能是生产加工过程中搅拌不均匀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还可能是</w:t>
      </w:r>
      <w:r>
        <w:rPr>
          <w:rFonts w:hint="default" w:ascii="Times New Roman" w:hAnsi="Times New Roman" w:eastAsia="仿宋_GB2312" w:cs="Times New Roman"/>
          <w:sz w:val="32"/>
          <w:szCs w:val="32"/>
        </w:rPr>
        <w:t>在加工或储存过程中损失。</w:t>
      </w:r>
    </w:p>
    <w:p w14:paraId="41032898">
      <w:pPr>
        <w:pStyle w:val="9"/>
        <w:keepNext w:val="0"/>
        <w:keepLines w:val="0"/>
        <w:pageBreakBefore w:val="0"/>
        <w:widowControl w:val="0"/>
        <w:kinsoku/>
        <w:wordWrap/>
        <w:overflowPunct/>
        <w:topLinePunct w:val="0"/>
        <w:bidi w:val="0"/>
        <w:snapToGrid/>
        <w:spacing w:after="0" w:line="594" w:lineRule="exact"/>
        <w:textAlignment w:val="auto"/>
        <w:rPr>
          <w:rFonts w:hint="default" w:ascii="Times New Roman" w:hAnsi="Times New Roman" w:eastAsia="黑体" w:cs="Times New Roman"/>
          <w:spacing w:val="0"/>
          <w:kern w:val="2"/>
          <w:sz w:val="32"/>
          <w:szCs w:val="32"/>
          <w:lang w:val="en-US" w:eastAsia="zh-CN" w:bidi="ar-SA"/>
        </w:rPr>
      </w:pPr>
      <w:r>
        <w:rPr>
          <w:rFonts w:hint="default" w:ascii="Times New Roman" w:hAnsi="Times New Roman" w:eastAsia="黑体" w:cs="Times New Roman"/>
          <w:spacing w:val="0"/>
          <w:kern w:val="2"/>
          <w:sz w:val="32"/>
          <w:szCs w:val="32"/>
          <w:lang w:val="en-US" w:eastAsia="zh-CN" w:bidi="ar-SA"/>
        </w:rPr>
        <w:t>三</w:t>
      </w:r>
      <w:r>
        <w:rPr>
          <w:rFonts w:hint="eastAsia" w:ascii="Times New Roman" w:hAnsi="Times New Roman" w:eastAsia="黑体" w:cs="Times New Roman"/>
          <w:spacing w:val="0"/>
          <w:kern w:val="2"/>
          <w:sz w:val="32"/>
          <w:szCs w:val="32"/>
          <w:lang w:val="en-US" w:eastAsia="zh-CN" w:bidi="ar-SA"/>
        </w:rPr>
        <w:t>十三</w:t>
      </w:r>
      <w:r>
        <w:rPr>
          <w:rFonts w:hint="default" w:ascii="Times New Roman" w:hAnsi="Times New Roman" w:eastAsia="黑体" w:cs="Times New Roman"/>
          <w:spacing w:val="0"/>
          <w:kern w:val="2"/>
          <w:sz w:val="32"/>
          <w:szCs w:val="32"/>
          <w:lang w:val="en-US" w:eastAsia="zh-CN" w:bidi="ar-SA"/>
        </w:rPr>
        <w:t>、维生素E</w:t>
      </w:r>
    </w:p>
    <w:p w14:paraId="2A7D58F1">
      <w:pPr>
        <w:pStyle w:val="9"/>
        <w:keepNext w:val="0"/>
        <w:keepLines w:val="0"/>
        <w:pageBreakBefore w:val="0"/>
        <w:widowControl w:val="0"/>
        <w:kinsoku/>
        <w:wordWrap/>
        <w:overflowPunct/>
        <w:topLinePunct w:val="0"/>
        <w:bidi w:val="0"/>
        <w:snapToGrid/>
        <w:spacing w:after="0" w:line="594"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维生素E又名生育酚，是一种重要的脂溶性抗氧化剂。维生素E缺乏可能会导致神经肌肉障碍等。《食品安全国家标准 运动营养食品通则》（GB 24154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2015）</w:t>
      </w:r>
      <w:r>
        <w:rPr>
          <w:rFonts w:hint="default" w:ascii="Times New Roman" w:hAnsi="Times New Roman" w:eastAsia="仿宋_GB2312" w:cs="Times New Roman"/>
          <w:sz w:val="32"/>
          <w:szCs w:val="32"/>
        </w:rPr>
        <w:t>中规定，</w:t>
      </w:r>
      <w:r>
        <w:rPr>
          <w:rFonts w:hint="default" w:ascii="Times New Roman" w:hAnsi="Times New Roman" w:eastAsia="仿宋_GB2312" w:cs="Times New Roman"/>
          <w:sz w:val="32"/>
          <w:szCs w:val="32"/>
          <w:lang w:val="en-US" w:eastAsia="zh-CN"/>
        </w:rPr>
        <w:t>运动营养食品中</w:t>
      </w:r>
      <w:r>
        <w:rPr>
          <w:rFonts w:hint="default" w:ascii="Times New Roman" w:hAnsi="Times New Roman" w:eastAsia="仿宋_GB2312" w:cs="Times New Roman"/>
          <w:sz w:val="32"/>
        </w:rPr>
        <w:t>维生素</w:t>
      </w:r>
      <w:r>
        <w:rPr>
          <w:rFonts w:hint="default" w:ascii="Times New Roman" w:hAnsi="Times New Roman" w:eastAsia="仿宋_GB2312" w:cs="Times New Roman"/>
          <w:sz w:val="32"/>
          <w:lang w:val="en-US" w:eastAsia="zh-CN"/>
        </w:rPr>
        <w:t>E</w:t>
      </w:r>
      <w:r>
        <w:rPr>
          <w:rFonts w:hint="default" w:ascii="Times New Roman" w:hAnsi="Times New Roman" w:eastAsia="仿宋_GB2312" w:cs="Times New Roman"/>
          <w:sz w:val="32"/>
          <w:szCs w:val="32"/>
          <w:lang w:val="en-US" w:eastAsia="zh-CN"/>
        </w:rPr>
        <w:t>含量（以每日计）</w:t>
      </w:r>
      <w:r>
        <w:rPr>
          <w:rFonts w:hint="default" w:ascii="Times New Roman" w:hAnsi="Times New Roman" w:eastAsia="仿宋_GB2312" w:cs="Times New Roman"/>
          <w:sz w:val="32"/>
          <w:szCs w:val="32"/>
        </w:rPr>
        <w:t>应在</w:t>
      </w:r>
      <w:r>
        <w:rPr>
          <w:rFonts w:hint="default"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20mg α-TE</w:t>
      </w:r>
      <w:r>
        <w:rPr>
          <w:rFonts w:hint="default" w:ascii="Times New Roman" w:hAnsi="Times New Roman" w:eastAsia="仿宋_GB2312" w:cs="Times New Roman"/>
          <w:sz w:val="32"/>
          <w:szCs w:val="32"/>
        </w:rPr>
        <w:t>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rPr>
        <w:t>《食品安全国家标准 预包装特殊膳食用食品标签》（GB 13432</w:t>
      </w:r>
      <w:r>
        <w:rPr>
          <w:rFonts w:hint="eastAsia" w:ascii="Times New Roman" w:hAnsi="Times New Roman" w:eastAsia="仿宋_GB2312" w:cs="Times New Roman"/>
          <w:sz w:val="32"/>
          <w:lang w:eastAsia="zh-CN"/>
        </w:rPr>
        <w:t>—</w:t>
      </w:r>
      <w:r>
        <w:rPr>
          <w:rFonts w:hint="default" w:ascii="Times New Roman" w:hAnsi="Times New Roman" w:eastAsia="仿宋_GB2312" w:cs="Times New Roman"/>
          <w:sz w:val="32"/>
        </w:rPr>
        <w:t>2013）</w:t>
      </w:r>
      <w:r>
        <w:rPr>
          <w:rFonts w:hint="default" w:ascii="Times New Roman" w:hAnsi="Times New Roman" w:eastAsia="仿宋_GB2312" w:cs="Times New Roman"/>
          <w:sz w:val="32"/>
          <w:lang w:val="en-US" w:eastAsia="zh-CN"/>
        </w:rPr>
        <w:t>中</w:t>
      </w:r>
      <w:r>
        <w:rPr>
          <w:rFonts w:hint="default" w:ascii="Times New Roman" w:hAnsi="Times New Roman" w:eastAsia="仿宋_GB2312" w:cs="Times New Roman"/>
          <w:sz w:val="32"/>
        </w:rPr>
        <w:t>规定，在产品保质期内，能量和营养成分的实际含量不应低于标示值的80%</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sz w:val="32"/>
          <w:szCs w:val="32"/>
          <w:lang w:val="en-US" w:eastAsia="zh-CN"/>
        </w:rPr>
        <w:t>运动营养食品中维生素E含量不达标的原因，可能是</w:t>
      </w:r>
      <w:r>
        <w:rPr>
          <w:rFonts w:hint="default" w:ascii="Times New Roman" w:hAnsi="Times New Roman" w:eastAsia="仿宋_GB2312" w:cs="Times New Roman"/>
          <w:sz w:val="32"/>
          <w:szCs w:val="32"/>
        </w:rPr>
        <w:t>原辅料用食品营养强化剂不</w:t>
      </w:r>
      <w:r>
        <w:rPr>
          <w:rFonts w:hint="default" w:ascii="Times New Roman" w:hAnsi="Times New Roman" w:eastAsia="仿宋_GB2312" w:cs="Times New Roman"/>
          <w:sz w:val="32"/>
          <w:szCs w:val="32"/>
          <w:lang w:val="en-US" w:eastAsia="zh-CN"/>
        </w:rPr>
        <w:t>符合质量要求</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也</w:t>
      </w:r>
      <w:r>
        <w:rPr>
          <w:rFonts w:hint="default" w:ascii="Times New Roman" w:hAnsi="Times New Roman" w:eastAsia="仿宋_GB2312" w:cs="Times New Roman"/>
          <w:sz w:val="32"/>
          <w:szCs w:val="32"/>
        </w:rPr>
        <w:t>可能是生产加工过程中搅拌不均匀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还可能是</w:t>
      </w:r>
      <w:r>
        <w:rPr>
          <w:rFonts w:hint="default" w:ascii="Times New Roman" w:hAnsi="Times New Roman" w:eastAsia="仿宋_GB2312" w:cs="Times New Roman"/>
          <w:sz w:val="32"/>
          <w:szCs w:val="32"/>
        </w:rPr>
        <w:t>在加工或储存过程中损失。</w:t>
      </w:r>
    </w:p>
    <w:p w14:paraId="003ACF65">
      <w:pPr>
        <w:pStyle w:val="9"/>
        <w:keepNext w:val="0"/>
        <w:keepLines w:val="0"/>
        <w:pageBreakBefore w:val="0"/>
        <w:widowControl w:val="0"/>
        <w:kinsoku/>
        <w:wordWrap/>
        <w:overflowPunct/>
        <w:topLinePunct w:val="0"/>
        <w:bidi w:val="0"/>
        <w:adjustRightInd/>
        <w:snapToGrid/>
        <w:spacing w:after="0" w:line="594" w:lineRule="exact"/>
        <w:textAlignment w:val="auto"/>
        <w:rPr>
          <w:rFonts w:hint="default" w:ascii="Times New Roman" w:hAnsi="Times New Roman" w:eastAsia="黑体" w:cs="Times New Roman"/>
          <w:spacing w:val="0"/>
          <w:sz w:val="32"/>
          <w:szCs w:val="32"/>
          <w:lang w:val="en-US" w:eastAsia="zh-CN"/>
        </w:rPr>
      </w:pPr>
      <w:r>
        <w:rPr>
          <w:rFonts w:hint="eastAsia" w:ascii="Times New Roman" w:hAnsi="Times New Roman" w:eastAsia="黑体" w:cs="Times New Roman"/>
          <w:spacing w:val="0"/>
          <w:sz w:val="32"/>
          <w:szCs w:val="32"/>
          <w:lang w:val="en-US" w:eastAsia="zh-CN"/>
        </w:rPr>
        <w:t>三十四</w:t>
      </w:r>
      <w:r>
        <w:rPr>
          <w:rFonts w:hint="default" w:ascii="Times New Roman" w:hAnsi="Times New Roman" w:eastAsia="黑体" w:cs="Times New Roman"/>
          <w:spacing w:val="0"/>
          <w:sz w:val="32"/>
          <w:szCs w:val="32"/>
          <w:lang w:val="en-US" w:eastAsia="zh-CN"/>
        </w:rPr>
        <w:t>、烟酸</w:t>
      </w:r>
    </w:p>
    <w:p w14:paraId="1BA67CA0">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kern w:val="2"/>
          <w:sz w:val="32"/>
          <w:szCs w:val="22"/>
          <w:lang w:val="en-US" w:eastAsia="zh-CN" w:bidi="ar-SA"/>
        </w:rPr>
      </w:pPr>
      <w:r>
        <w:rPr>
          <w:rFonts w:hint="default" w:ascii="Times New Roman" w:hAnsi="Times New Roman" w:eastAsia="仿宋_GB2312" w:cs="Times New Roman"/>
          <w:kern w:val="2"/>
          <w:sz w:val="32"/>
          <w:szCs w:val="22"/>
          <w:lang w:val="en-US" w:eastAsia="zh-CN" w:bidi="ar-SA"/>
        </w:rPr>
        <w:t>烟酸是一种B族维生素，可参与人体内物质和能量代谢，在维持皮肤和消化器官正常功能中起重要作用。烟酸缺乏可能会引起糙皮病或癞皮病。</w:t>
      </w:r>
      <w:r>
        <w:rPr>
          <w:rFonts w:hint="default" w:ascii="Times New Roman" w:hAnsi="Times New Roman" w:eastAsia="仿宋_GB2312" w:cs="Times New Roman"/>
          <w:sz w:val="32"/>
          <w:szCs w:val="32"/>
          <w:lang w:val="en-US" w:eastAsia="zh-CN"/>
        </w:rPr>
        <w:t>《食品安全国家标准 运动营养食品通则》（GB 24154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2015）中规定，运动营养食品中</w:t>
      </w:r>
      <w:r>
        <w:rPr>
          <w:rFonts w:hint="default" w:ascii="Times New Roman" w:hAnsi="Times New Roman" w:eastAsia="仿宋_GB2312" w:cs="Times New Roman"/>
          <w:kern w:val="2"/>
          <w:sz w:val="32"/>
          <w:szCs w:val="22"/>
          <w:lang w:val="en-US" w:eastAsia="zh-CN" w:bidi="ar-SA"/>
        </w:rPr>
        <w:t>烟酸</w:t>
      </w:r>
      <w:r>
        <w:rPr>
          <w:rFonts w:hint="default" w:ascii="Times New Roman" w:hAnsi="Times New Roman" w:eastAsia="仿宋_GB2312" w:cs="Times New Roman"/>
          <w:sz w:val="32"/>
          <w:szCs w:val="32"/>
          <w:lang w:val="en-US" w:eastAsia="zh-CN"/>
        </w:rPr>
        <w:t>含量（以每日计）应在2.1</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20mg范围内</w:t>
      </w:r>
      <w:r>
        <w:rPr>
          <w:rFonts w:hint="eastAsia" w:ascii="Times New Roman" w:hAnsi="Times New Roman" w:eastAsia="仿宋_GB2312" w:cs="Times New Roman"/>
          <w:kern w:val="2"/>
          <w:sz w:val="32"/>
          <w:szCs w:val="22"/>
          <w:lang w:val="en-US" w:eastAsia="zh-CN" w:bidi="ar-SA"/>
        </w:rPr>
        <w:t>；</w:t>
      </w:r>
      <w:r>
        <w:rPr>
          <w:rFonts w:hint="default" w:ascii="Times New Roman" w:hAnsi="Times New Roman" w:eastAsia="仿宋_GB2312" w:cs="Times New Roman"/>
          <w:kern w:val="2"/>
          <w:sz w:val="32"/>
          <w:szCs w:val="22"/>
          <w:lang w:val="en-US" w:eastAsia="zh-CN" w:bidi="ar-SA"/>
        </w:rPr>
        <w:t>《食品安全国家标准 预包装特殊膳食用食品标签》（GB 13432</w:t>
      </w:r>
      <w:r>
        <w:rPr>
          <w:rFonts w:hint="eastAsia" w:ascii="Times New Roman" w:hAnsi="Times New Roman" w:eastAsia="仿宋_GB2312" w:cs="Times New Roman"/>
          <w:kern w:val="2"/>
          <w:sz w:val="32"/>
          <w:szCs w:val="22"/>
          <w:lang w:val="en-US" w:eastAsia="zh-CN" w:bidi="ar-SA"/>
        </w:rPr>
        <w:t>—</w:t>
      </w:r>
      <w:r>
        <w:rPr>
          <w:rFonts w:hint="default" w:ascii="Times New Roman" w:hAnsi="Times New Roman" w:eastAsia="仿宋_GB2312" w:cs="Times New Roman"/>
          <w:kern w:val="2"/>
          <w:sz w:val="32"/>
          <w:szCs w:val="22"/>
          <w:lang w:val="en-US" w:eastAsia="zh-CN" w:bidi="ar-SA"/>
        </w:rPr>
        <w:t>2013）中规定，在产品保质期内，能量和营养成分的实际含量不应低于标示值的80%。</w:t>
      </w:r>
      <w:r>
        <w:rPr>
          <w:rFonts w:hint="default" w:ascii="Times New Roman" w:hAnsi="Times New Roman" w:eastAsia="仿宋_GB2312" w:cs="Times New Roman"/>
          <w:sz w:val="32"/>
          <w:szCs w:val="32"/>
          <w:lang w:val="en-US" w:eastAsia="zh-CN"/>
        </w:rPr>
        <w:t>运动营养食品中烟酸</w:t>
      </w:r>
      <w:r>
        <w:rPr>
          <w:rFonts w:hint="default" w:ascii="Times New Roman" w:hAnsi="Times New Roman" w:eastAsia="仿宋_GB2312" w:cs="Times New Roman"/>
          <w:kern w:val="2"/>
          <w:sz w:val="32"/>
          <w:szCs w:val="22"/>
          <w:lang w:val="en-US" w:eastAsia="zh-CN" w:bidi="ar-SA"/>
        </w:rPr>
        <w:t>含量不达标的原因，</w:t>
      </w:r>
      <w:r>
        <w:rPr>
          <w:rFonts w:hint="default" w:ascii="Times New Roman" w:hAnsi="Times New Roman" w:eastAsia="仿宋_GB2312" w:cs="Times New Roman"/>
          <w:sz w:val="32"/>
          <w:szCs w:val="32"/>
          <w:lang w:val="en-US" w:eastAsia="zh-CN"/>
        </w:rPr>
        <w:t>可能是</w:t>
      </w:r>
      <w:r>
        <w:rPr>
          <w:rFonts w:hint="default" w:ascii="Times New Roman" w:hAnsi="Times New Roman" w:eastAsia="仿宋_GB2312" w:cs="Times New Roman"/>
          <w:sz w:val="32"/>
          <w:szCs w:val="32"/>
        </w:rPr>
        <w:t>原辅料用食品营养强化剂不</w:t>
      </w:r>
      <w:r>
        <w:rPr>
          <w:rFonts w:hint="default" w:ascii="Times New Roman" w:hAnsi="Times New Roman" w:eastAsia="仿宋_GB2312" w:cs="Times New Roman"/>
          <w:sz w:val="32"/>
          <w:szCs w:val="32"/>
          <w:lang w:val="en-US" w:eastAsia="zh-CN"/>
        </w:rPr>
        <w:t>符合质量要求；也</w:t>
      </w:r>
      <w:r>
        <w:rPr>
          <w:rFonts w:hint="default" w:ascii="Times New Roman" w:hAnsi="Times New Roman" w:eastAsia="仿宋_GB2312" w:cs="Times New Roman"/>
          <w:sz w:val="32"/>
          <w:szCs w:val="32"/>
        </w:rPr>
        <w:t>可能是生产加工过程中搅拌不均匀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还可能是</w:t>
      </w:r>
      <w:r>
        <w:rPr>
          <w:rFonts w:hint="default" w:ascii="Times New Roman" w:hAnsi="Times New Roman" w:eastAsia="仿宋_GB2312" w:cs="Times New Roman"/>
          <w:sz w:val="32"/>
          <w:szCs w:val="32"/>
        </w:rPr>
        <w:t>在加工或储存过程中损失</w:t>
      </w:r>
      <w:r>
        <w:rPr>
          <w:rFonts w:hint="default" w:ascii="Times New Roman" w:hAnsi="Times New Roman" w:eastAsia="仿宋_GB2312" w:cs="Times New Roman"/>
          <w:kern w:val="2"/>
          <w:sz w:val="32"/>
          <w:szCs w:val="22"/>
          <w:lang w:val="en-US" w:eastAsia="zh-CN" w:bidi="ar-SA"/>
        </w:rPr>
        <w:t>。</w:t>
      </w:r>
    </w:p>
    <w:p w14:paraId="6112F7F2">
      <w:pPr>
        <w:keepNext w:val="0"/>
        <w:keepLines w:val="0"/>
        <w:pageBreakBefore w:val="0"/>
        <w:widowControl w:val="0"/>
        <w:kinsoku/>
        <w:wordWrap/>
        <w:overflowPunct/>
        <w:topLinePunct w:val="0"/>
        <w:autoSpaceDE/>
        <w:autoSpaceDN/>
        <w:bidi w:val="0"/>
        <w:adjustRightInd/>
        <w:snapToGrid/>
        <w:spacing w:line="594" w:lineRule="exact"/>
        <w:ind w:firstLine="592" w:firstLineChars="200"/>
        <w:textAlignment w:val="auto"/>
        <w:rPr>
          <w:rFonts w:hint="default" w:ascii="Times New Roman" w:hAnsi="Times New Roman" w:eastAsia="黑体" w:cs="Times New Roman"/>
          <w:spacing w:val="0"/>
          <w:sz w:val="32"/>
          <w:szCs w:val="32"/>
          <w:lang w:val="en-US" w:eastAsia="zh-CN"/>
        </w:rPr>
      </w:pPr>
      <w:r>
        <w:rPr>
          <w:rFonts w:hint="eastAsia" w:ascii="Times New Roman" w:hAnsi="Times New Roman" w:eastAsia="黑体" w:cs="Times New Roman"/>
          <w:spacing w:val="-12"/>
          <w:sz w:val="32"/>
          <w:szCs w:val="32"/>
          <w:lang w:val="en-US" w:eastAsia="zh-CN"/>
        </w:rPr>
        <w:t>三十五</w:t>
      </w:r>
      <w:r>
        <w:rPr>
          <w:rFonts w:hint="default" w:ascii="Times New Roman" w:hAnsi="Times New Roman" w:eastAsia="黑体" w:cs="Times New Roman"/>
          <w:spacing w:val="-12"/>
          <w:sz w:val="32"/>
          <w:szCs w:val="32"/>
          <w:lang w:val="en-US" w:eastAsia="zh-CN"/>
        </w:rPr>
        <w:t>、</w:t>
      </w:r>
      <w:r>
        <w:rPr>
          <w:rFonts w:hint="default" w:ascii="Times New Roman" w:hAnsi="Times New Roman" w:eastAsia="黑体" w:cs="Times New Roman"/>
          <w:spacing w:val="0"/>
          <w:sz w:val="32"/>
          <w:szCs w:val="32"/>
          <w:lang w:val="en-US" w:eastAsia="zh-CN"/>
        </w:rPr>
        <w:t>叶酸</w:t>
      </w:r>
    </w:p>
    <w:p w14:paraId="65B56635">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叶酸是一种</w:t>
      </w:r>
      <w:r>
        <w:rPr>
          <w:rFonts w:hint="default" w:ascii="Times New Roman" w:hAnsi="Times New Roman" w:eastAsia="仿宋_GB2312" w:cs="Times New Roman"/>
          <w:sz w:val="32"/>
          <w:szCs w:val="32"/>
          <w:lang w:val="en-US" w:eastAsia="zh-CN"/>
        </w:rPr>
        <w:fldChar w:fldCharType="begin"/>
      </w:r>
      <w:r>
        <w:rPr>
          <w:rFonts w:hint="default" w:ascii="Times New Roman" w:hAnsi="Times New Roman" w:eastAsia="仿宋_GB2312" w:cs="Times New Roman"/>
          <w:sz w:val="32"/>
          <w:szCs w:val="32"/>
          <w:lang w:val="en-US" w:eastAsia="zh-CN"/>
        </w:rPr>
        <w:instrText xml:space="preserve"> HYPERLINK "http://baike.sogou.com/lemma/ShowInnerLink.htm?lemmaId=7561013&amp;ss_c=ssc.citiao.link" \t "http://baike.sogou.com/_blank" </w:instrText>
      </w:r>
      <w:r>
        <w:rPr>
          <w:rFonts w:hint="default" w:ascii="Times New Roman" w:hAnsi="Times New Roman" w:eastAsia="仿宋_GB2312" w:cs="Times New Roman"/>
          <w:sz w:val="32"/>
          <w:szCs w:val="32"/>
          <w:lang w:val="en-US" w:eastAsia="zh-CN"/>
        </w:rPr>
        <w:fldChar w:fldCharType="separate"/>
      </w:r>
      <w:r>
        <w:rPr>
          <w:rFonts w:hint="default" w:ascii="Times New Roman" w:hAnsi="Times New Roman" w:eastAsia="仿宋_GB2312" w:cs="Times New Roman"/>
          <w:sz w:val="32"/>
          <w:szCs w:val="32"/>
          <w:lang w:val="en-US" w:eastAsia="zh-CN"/>
        </w:rPr>
        <w:t>水溶性维生素</w:t>
      </w:r>
      <w:r>
        <w:rPr>
          <w:rFonts w:hint="default" w:ascii="Times New Roman" w:hAnsi="Times New Roman" w:eastAsia="仿宋_GB2312" w:cs="Times New Roman"/>
          <w:sz w:val="32"/>
          <w:szCs w:val="32"/>
          <w:lang w:val="en-US" w:eastAsia="zh-CN"/>
        </w:rPr>
        <w:fldChar w:fldCharType="end"/>
      </w:r>
      <w:r>
        <w:rPr>
          <w:rFonts w:hint="default" w:ascii="Times New Roman" w:hAnsi="Times New Roman" w:eastAsia="仿宋_GB2312" w:cs="Times New Roman"/>
          <w:sz w:val="32"/>
          <w:szCs w:val="32"/>
          <w:lang w:val="en-US" w:eastAsia="zh-CN"/>
        </w:rPr>
        <w:t>，叶酸缺乏可能会导致贫血。《食品安全国家标准 运动营养食品通则》（GB 24154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2015）中规定，运动营养食品中叶酸含量（以每日计）应在60</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260μg范围内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《食品安全国家标准 预包装特殊膳食用食品标签》（GB 13432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2013）中规定，在产品保质期内，能量和营养成分的实际含量不应低于标示值的80%。运动营养食品中叶酸含量不达标的原因，可能是原辅料用食品营养强化剂不符合质量要求；也可能是生产加工过程中搅拌不均匀；还可能是在加工或储存过程中损失。</w:t>
      </w:r>
    </w:p>
    <w:p w14:paraId="7D7BA4FF">
      <w:pPr>
        <w:pStyle w:val="9"/>
        <w:keepNext w:val="0"/>
        <w:keepLines w:val="0"/>
        <w:pageBreakBefore w:val="0"/>
        <w:widowControl w:val="0"/>
        <w:kinsoku/>
        <w:wordWrap/>
        <w:overflowPunct/>
        <w:topLinePunct w:val="0"/>
        <w:bidi w:val="0"/>
        <w:snapToGrid/>
        <w:spacing w:after="0" w:line="594" w:lineRule="exact"/>
        <w:textAlignment w:val="auto"/>
        <w:rPr>
          <w:rFonts w:hint="default" w:ascii="Times New Roman" w:hAnsi="Times New Roman" w:eastAsia="黑体" w:cs="Times New Roman"/>
          <w:spacing w:val="0"/>
          <w:sz w:val="32"/>
          <w:szCs w:val="32"/>
          <w:lang w:val="en-US" w:eastAsia="zh-CN"/>
        </w:rPr>
      </w:pPr>
      <w:r>
        <w:rPr>
          <w:rFonts w:hint="eastAsia" w:ascii="Times New Roman" w:hAnsi="Times New Roman" w:eastAsia="黑体" w:cs="Times New Roman"/>
          <w:spacing w:val="0"/>
          <w:sz w:val="32"/>
          <w:szCs w:val="32"/>
          <w:lang w:val="en-US" w:eastAsia="zh-CN"/>
        </w:rPr>
        <w:t>三十六</w:t>
      </w:r>
      <w:r>
        <w:rPr>
          <w:rFonts w:hint="default" w:ascii="Times New Roman" w:hAnsi="Times New Roman" w:eastAsia="黑体" w:cs="Times New Roman"/>
          <w:spacing w:val="0"/>
          <w:sz w:val="32"/>
          <w:szCs w:val="32"/>
          <w:lang w:val="en-US" w:eastAsia="zh-CN"/>
        </w:rPr>
        <w:t>、泛酸</w:t>
      </w:r>
    </w:p>
    <w:p w14:paraId="3D66B305">
      <w:pPr>
        <w:pStyle w:val="9"/>
        <w:keepNext w:val="0"/>
        <w:keepLines w:val="0"/>
        <w:pageBreakBefore w:val="0"/>
        <w:widowControl w:val="0"/>
        <w:kinsoku/>
        <w:wordWrap/>
        <w:overflowPunct/>
        <w:topLinePunct w:val="0"/>
        <w:bidi w:val="0"/>
        <w:adjustRightInd/>
        <w:snapToGrid/>
        <w:spacing w:after="0" w:line="594" w:lineRule="exact"/>
        <w:textAlignment w:val="auto"/>
        <w:rPr>
          <w:rFonts w:hint="eastAsia" w:ascii="Times New Roman" w:hAnsi="Times New Roman" w:eastAsia="黑体" w:cs="Times New Roman"/>
          <w:spacing w:val="0"/>
          <w:sz w:val="32"/>
          <w:szCs w:val="32"/>
          <w:lang w:val="en-US" w:eastAsia="zh-CN"/>
        </w:rPr>
      </w:pPr>
      <w:r>
        <w:rPr>
          <w:rFonts w:hint="default" w:ascii="Times New Roman" w:hAnsi="Times New Roman" w:eastAsia="仿宋_GB2312" w:cs="Times New Roman"/>
          <w:sz w:val="32"/>
          <w:szCs w:val="32"/>
          <w:lang w:val="en-US" w:eastAsia="zh-CN"/>
        </w:rPr>
        <w:t>泛酸又称维生素B</w:t>
      </w:r>
      <w:r>
        <w:rPr>
          <w:rFonts w:hint="default" w:ascii="Times New Roman" w:hAnsi="Times New Roman" w:eastAsia="仿宋_GB2312" w:cs="Times New Roman"/>
          <w:sz w:val="32"/>
          <w:szCs w:val="32"/>
          <w:vertAlign w:val="subscript"/>
          <w:lang w:val="en-US" w:eastAsia="zh-CN"/>
        </w:rPr>
        <w:t>5</w:t>
      </w:r>
      <w:r>
        <w:rPr>
          <w:rFonts w:hint="default" w:ascii="Times New Roman" w:hAnsi="Times New Roman" w:eastAsia="仿宋_GB2312" w:cs="Times New Roman"/>
          <w:sz w:val="32"/>
          <w:szCs w:val="32"/>
          <w:lang w:val="en-US" w:eastAsia="zh-CN"/>
        </w:rPr>
        <w:t>，是一种水溶性维生素，可以构成辅酶A和酰基载体蛋白，在人体代谢中发挥作用。泛酸缺乏可能会引起食欲减退、消化不良、疲倦无力等。《食品安全国家标准 运动营养食品通则》（GB 24154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2015）中规定，运动营养食品中</w:t>
      </w:r>
      <w:r>
        <w:rPr>
          <w:rFonts w:hint="default" w:ascii="Times New Roman" w:hAnsi="Times New Roman" w:eastAsia="仿宋_GB2312" w:cs="Times New Roman"/>
          <w:kern w:val="2"/>
          <w:sz w:val="32"/>
          <w:szCs w:val="22"/>
          <w:lang w:val="en-US" w:eastAsia="zh-CN" w:bidi="ar-SA"/>
        </w:rPr>
        <w:t>泛酸</w:t>
      </w:r>
      <w:r>
        <w:rPr>
          <w:rFonts w:hint="default" w:ascii="Times New Roman" w:hAnsi="Times New Roman" w:eastAsia="仿宋_GB2312" w:cs="Times New Roman"/>
          <w:sz w:val="32"/>
          <w:szCs w:val="32"/>
          <w:lang w:val="en-US" w:eastAsia="zh-CN"/>
        </w:rPr>
        <w:t>含量（以每日计）应在0.8</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7mg范围内</w:t>
      </w:r>
      <w:r>
        <w:rPr>
          <w:rFonts w:hint="eastAsia" w:ascii="Times New Roman" w:hAnsi="Times New Roman" w:eastAsia="仿宋_GB2312" w:cs="Times New Roman"/>
          <w:kern w:val="2"/>
          <w:sz w:val="32"/>
          <w:szCs w:val="22"/>
          <w:lang w:val="en-US" w:eastAsia="zh-CN" w:bidi="ar-SA"/>
        </w:rPr>
        <w:t>；</w:t>
      </w:r>
      <w:r>
        <w:rPr>
          <w:rFonts w:hint="default" w:ascii="Times New Roman" w:hAnsi="Times New Roman" w:eastAsia="仿宋_GB2312" w:cs="Times New Roman"/>
          <w:sz w:val="32"/>
        </w:rPr>
        <w:t>《食品安全国家标准 预包装特殊膳食用食品标签》（GB 13432</w:t>
      </w:r>
      <w:r>
        <w:rPr>
          <w:rFonts w:hint="eastAsia" w:ascii="Times New Roman" w:hAnsi="Times New Roman" w:eastAsia="仿宋_GB2312" w:cs="Times New Roman"/>
          <w:sz w:val="32"/>
          <w:lang w:eastAsia="zh-CN"/>
        </w:rPr>
        <w:t>—</w:t>
      </w:r>
      <w:r>
        <w:rPr>
          <w:rFonts w:hint="default" w:ascii="Times New Roman" w:hAnsi="Times New Roman" w:eastAsia="仿宋_GB2312" w:cs="Times New Roman"/>
          <w:sz w:val="32"/>
        </w:rPr>
        <w:t>2013）</w:t>
      </w:r>
      <w:r>
        <w:rPr>
          <w:rFonts w:hint="default" w:ascii="Times New Roman" w:hAnsi="Times New Roman" w:eastAsia="仿宋_GB2312" w:cs="Times New Roman"/>
          <w:sz w:val="32"/>
          <w:lang w:val="en-US" w:eastAsia="zh-CN"/>
        </w:rPr>
        <w:t>中</w:t>
      </w:r>
      <w:r>
        <w:rPr>
          <w:rFonts w:hint="default" w:ascii="Times New Roman" w:hAnsi="Times New Roman" w:eastAsia="仿宋_GB2312" w:cs="Times New Roman"/>
          <w:sz w:val="32"/>
        </w:rPr>
        <w:t>规定，在产品保质期内，能量和营养成分的实际含量不应低于标示值的80%。</w:t>
      </w:r>
      <w:r>
        <w:rPr>
          <w:rFonts w:hint="default" w:ascii="Times New Roman" w:hAnsi="Times New Roman" w:eastAsia="仿宋_GB2312" w:cs="Times New Roman"/>
          <w:sz w:val="32"/>
          <w:szCs w:val="32"/>
          <w:lang w:val="en-US" w:eastAsia="zh-CN"/>
        </w:rPr>
        <w:t>运动营养食品中</w:t>
      </w:r>
      <w:r>
        <w:rPr>
          <w:rFonts w:hint="default" w:ascii="Times New Roman" w:hAnsi="Times New Roman" w:eastAsia="仿宋_GB2312" w:cs="Times New Roman"/>
          <w:sz w:val="32"/>
          <w:lang w:val="en-US" w:eastAsia="zh-CN"/>
        </w:rPr>
        <w:t>泛酸含量</w:t>
      </w:r>
      <w:r>
        <w:rPr>
          <w:rFonts w:hint="default" w:ascii="Times New Roman" w:hAnsi="Times New Roman" w:eastAsia="仿宋_GB2312" w:cs="Times New Roman"/>
          <w:sz w:val="32"/>
        </w:rPr>
        <w:t>不达标的原因，</w:t>
      </w:r>
      <w:r>
        <w:rPr>
          <w:rFonts w:hint="default" w:ascii="Times New Roman" w:hAnsi="Times New Roman" w:eastAsia="仿宋_GB2312" w:cs="Times New Roman"/>
          <w:sz w:val="32"/>
          <w:szCs w:val="32"/>
          <w:lang w:val="en-US" w:eastAsia="zh-CN"/>
        </w:rPr>
        <w:t>可能是</w:t>
      </w:r>
      <w:r>
        <w:rPr>
          <w:rFonts w:hint="default" w:ascii="Times New Roman" w:hAnsi="Times New Roman" w:eastAsia="仿宋_GB2312" w:cs="Times New Roman"/>
          <w:sz w:val="32"/>
          <w:szCs w:val="32"/>
        </w:rPr>
        <w:t>原辅料用食品营养强化剂不</w:t>
      </w:r>
      <w:r>
        <w:rPr>
          <w:rFonts w:hint="default" w:ascii="Times New Roman" w:hAnsi="Times New Roman" w:eastAsia="仿宋_GB2312" w:cs="Times New Roman"/>
          <w:sz w:val="32"/>
          <w:szCs w:val="32"/>
          <w:lang w:val="en-US" w:eastAsia="zh-CN"/>
        </w:rPr>
        <w:t>符合质量要求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也</w:t>
      </w:r>
      <w:r>
        <w:rPr>
          <w:rFonts w:hint="default" w:ascii="Times New Roman" w:hAnsi="Times New Roman" w:eastAsia="仿宋_GB2312" w:cs="Times New Roman"/>
          <w:sz w:val="32"/>
          <w:szCs w:val="32"/>
        </w:rPr>
        <w:t>可能是生产加工过程中搅拌不均匀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还可能是</w:t>
      </w:r>
      <w:r>
        <w:rPr>
          <w:rFonts w:hint="default" w:ascii="Times New Roman" w:hAnsi="Times New Roman" w:eastAsia="仿宋_GB2312" w:cs="Times New Roman"/>
          <w:sz w:val="32"/>
          <w:szCs w:val="32"/>
        </w:rPr>
        <w:t>在加工或储存过程中损失。</w:t>
      </w:r>
    </w:p>
    <w:p w14:paraId="189A7EF0">
      <w:pPr>
        <w:pStyle w:val="9"/>
        <w:keepNext w:val="0"/>
        <w:keepLines w:val="0"/>
        <w:pageBreakBefore w:val="0"/>
        <w:widowControl w:val="0"/>
        <w:kinsoku/>
        <w:wordWrap/>
        <w:overflowPunct/>
        <w:topLinePunct w:val="0"/>
        <w:bidi w:val="0"/>
        <w:adjustRightInd/>
        <w:snapToGrid/>
        <w:spacing w:after="0" w:line="594" w:lineRule="exact"/>
        <w:textAlignment w:val="auto"/>
        <w:rPr>
          <w:rFonts w:hint="default" w:ascii="Times New Roman" w:hAnsi="Times New Roman" w:eastAsia="黑体" w:cs="Times New Roman"/>
          <w:spacing w:val="0"/>
          <w:sz w:val="32"/>
          <w:szCs w:val="32"/>
          <w:lang w:val="en-US" w:eastAsia="zh-CN"/>
        </w:rPr>
      </w:pPr>
      <w:r>
        <w:rPr>
          <w:rFonts w:hint="eastAsia" w:ascii="Times New Roman" w:hAnsi="Times New Roman" w:eastAsia="黑体" w:cs="Times New Roman"/>
          <w:spacing w:val="0"/>
          <w:sz w:val="32"/>
          <w:szCs w:val="32"/>
          <w:lang w:val="en-US" w:eastAsia="zh-CN"/>
        </w:rPr>
        <w:t>三十七、</w:t>
      </w:r>
      <w:r>
        <w:rPr>
          <w:rFonts w:hint="default" w:ascii="Times New Roman" w:hAnsi="Times New Roman" w:eastAsia="黑体" w:cs="Times New Roman"/>
          <w:spacing w:val="0"/>
          <w:sz w:val="32"/>
          <w:szCs w:val="32"/>
          <w:lang w:val="en-US" w:eastAsia="zh-CN"/>
        </w:rPr>
        <w:t>生物素</w:t>
      </w:r>
    </w:p>
    <w:p w14:paraId="209CDB96">
      <w:pPr>
        <w:pStyle w:val="9"/>
        <w:keepNext w:val="0"/>
        <w:keepLines w:val="0"/>
        <w:pageBreakBefore w:val="0"/>
        <w:widowControl w:val="0"/>
        <w:kinsoku/>
        <w:wordWrap/>
        <w:overflowPunct/>
        <w:topLinePunct w:val="0"/>
        <w:autoSpaceDE/>
        <w:autoSpaceDN/>
        <w:bidi w:val="0"/>
        <w:adjustRightInd/>
        <w:snapToGrid/>
        <w:spacing w:after="0" w:line="594" w:lineRule="exact"/>
        <w:textAlignment w:val="auto"/>
        <w:rPr>
          <w:rFonts w:hint="default" w:ascii="Times New Roman" w:hAnsi="Times New Roman" w:eastAsia="黑体" w:cs="Times New Roman"/>
          <w:spacing w:val="0"/>
          <w:sz w:val="32"/>
          <w:szCs w:val="32"/>
          <w:lang w:val="en-US" w:eastAsia="zh-CN"/>
        </w:rPr>
      </w:pPr>
      <w:r>
        <w:rPr>
          <w:rFonts w:hint="default" w:ascii="Times New Roman" w:hAnsi="Times New Roman" w:eastAsia="仿宋_GB2312" w:cs="Times New Roman"/>
          <w:sz w:val="32"/>
          <w:szCs w:val="32"/>
          <w:lang w:val="en-US" w:eastAsia="zh-CN"/>
        </w:rPr>
        <w:t>生物素是一种水溶性维生素，参与机体脂肪酸合成和能量的代谢，维护神经系统健康。生物素缺乏可能会引起皮肤和中枢神经系统症状。《食品安全国家标准 运动营养食品通则》（GB 24154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2015）</w:t>
      </w:r>
      <w:r>
        <w:rPr>
          <w:rFonts w:hint="default" w:ascii="Times New Roman" w:hAnsi="Times New Roman" w:eastAsia="仿宋_GB2312" w:cs="Times New Roman"/>
          <w:sz w:val="32"/>
          <w:szCs w:val="32"/>
        </w:rPr>
        <w:t>中规定，</w:t>
      </w:r>
      <w:r>
        <w:rPr>
          <w:rFonts w:hint="default" w:ascii="Times New Roman" w:hAnsi="Times New Roman" w:eastAsia="仿宋_GB2312" w:cs="Times New Roman"/>
          <w:sz w:val="32"/>
          <w:szCs w:val="32"/>
          <w:lang w:val="en-US" w:eastAsia="zh-CN"/>
        </w:rPr>
        <w:t>运动营养食品中生物素含量（以每日计）</w:t>
      </w:r>
      <w:r>
        <w:rPr>
          <w:rFonts w:hint="default" w:ascii="Times New Roman" w:hAnsi="Times New Roman" w:eastAsia="仿宋_GB2312" w:cs="Times New Roman"/>
          <w:sz w:val="32"/>
          <w:szCs w:val="32"/>
        </w:rPr>
        <w:t>应在</w:t>
      </w:r>
      <w:r>
        <w:rPr>
          <w:rFonts w:hint="default" w:ascii="Times New Roman" w:hAnsi="Times New Roman" w:eastAsia="仿宋_GB2312" w:cs="Times New Roman"/>
          <w:sz w:val="32"/>
          <w:szCs w:val="32"/>
          <w:lang w:val="en-US" w:eastAsia="zh-CN"/>
        </w:rPr>
        <w:t>4.5</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0μg</w:t>
      </w:r>
      <w:r>
        <w:rPr>
          <w:rFonts w:hint="default" w:ascii="Times New Roman" w:hAnsi="Times New Roman" w:eastAsia="仿宋_GB2312" w:cs="Times New Roman"/>
          <w:sz w:val="32"/>
          <w:szCs w:val="32"/>
          <w:lang w:val="en-US" w:eastAsia="zh-CN"/>
        </w:rPr>
        <w:t>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《食品安全国家标准 预包装特殊膳食用食品标</w:t>
      </w:r>
      <w:r>
        <w:rPr>
          <w:rFonts w:hint="default" w:ascii="Times New Roman" w:hAnsi="Times New Roman" w:eastAsia="仿宋_GB2312" w:cs="Times New Roman"/>
          <w:sz w:val="32"/>
          <w:szCs w:val="32"/>
        </w:rPr>
        <w:t>签》（GB 13432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2013）中规定，在产品保质期内，能量和营养成分的实际含量不应低于标示值的80%。</w:t>
      </w:r>
      <w:r>
        <w:rPr>
          <w:rFonts w:hint="default" w:ascii="Times New Roman" w:hAnsi="Times New Roman" w:eastAsia="仿宋_GB2312" w:cs="Times New Roman"/>
          <w:sz w:val="32"/>
          <w:szCs w:val="32"/>
          <w:lang w:val="en-US" w:eastAsia="zh-CN"/>
        </w:rPr>
        <w:t>运动营养食品中生物素含量不达标</w:t>
      </w:r>
      <w:r>
        <w:rPr>
          <w:rFonts w:hint="default" w:ascii="Times New Roman" w:hAnsi="Times New Roman" w:eastAsia="仿宋_GB2312" w:cs="Times New Roman"/>
          <w:sz w:val="32"/>
          <w:szCs w:val="32"/>
        </w:rPr>
        <w:t>的原因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可能是原辅料用食品营养强化剂不符合质量要求；也可能是生产加工过程中搅拌不均匀；还可能是在加工或储存过程中损失。</w:t>
      </w:r>
    </w:p>
    <w:p w14:paraId="67BDD955">
      <w:pPr>
        <w:keepNext w:val="0"/>
        <w:keepLines w:val="0"/>
        <w:pageBreakBefore w:val="0"/>
        <w:widowControl w:val="0"/>
        <w:kinsoku/>
        <w:wordWrap/>
        <w:overflowPunct/>
        <w:topLinePunct w:val="0"/>
        <w:bidi w:val="0"/>
        <w:adjustRightInd/>
        <w:snapToGrid/>
        <w:spacing w:after="0" w:line="594" w:lineRule="exact"/>
        <w:ind w:left="0" w:leftChars="0" w:firstLine="640" w:firstLineChars="200"/>
        <w:jc w:val="both"/>
        <w:textAlignment w:val="auto"/>
        <w:rPr>
          <w:rFonts w:hint="default" w:ascii="Times New Roman" w:hAnsi="Times New Roman" w:eastAsia="黑体" w:cs="Times New Roman"/>
          <w:spacing w:val="0"/>
          <w:kern w:val="2"/>
          <w:sz w:val="32"/>
          <w:szCs w:val="32"/>
          <w:lang w:val="en-US" w:eastAsia="zh-CN" w:bidi="ar-SA"/>
        </w:rPr>
      </w:pPr>
      <w:r>
        <w:rPr>
          <w:rFonts w:hint="eastAsia" w:ascii="Times New Roman" w:hAnsi="Times New Roman" w:eastAsia="黑体" w:cs="Times New Roman"/>
          <w:spacing w:val="0"/>
          <w:kern w:val="2"/>
          <w:sz w:val="32"/>
          <w:szCs w:val="32"/>
          <w:lang w:val="en-US" w:eastAsia="zh-CN" w:bidi="ar-SA"/>
        </w:rPr>
        <w:t>三十八、</w:t>
      </w:r>
      <w:r>
        <w:rPr>
          <w:rFonts w:hint="default" w:ascii="Times New Roman" w:hAnsi="Times New Roman" w:eastAsia="黑体" w:cs="Times New Roman"/>
          <w:spacing w:val="0"/>
          <w:kern w:val="2"/>
          <w:sz w:val="32"/>
          <w:szCs w:val="32"/>
          <w:lang w:val="en-US" w:eastAsia="zh-CN" w:bidi="ar-SA"/>
        </w:rPr>
        <w:t>铁</w:t>
      </w:r>
    </w:p>
    <w:p w14:paraId="2F65D057">
      <w:pPr>
        <w:spacing w:line="594" w:lineRule="exact"/>
        <w:ind w:firstLine="640" w:firstLineChars="200"/>
        <w:rPr>
          <w:rFonts w:hint="default" w:ascii="Times New Roman" w:hAnsi="Times New Roman" w:eastAsia="仿宋_GB2312" w:cs="Times New Roman"/>
          <w:kern w:val="2"/>
          <w:sz w:val="32"/>
          <w:szCs w:val="24"/>
          <w:lang w:val="en-US" w:eastAsia="zh-CN" w:bidi="ar-SA"/>
        </w:rPr>
      </w:pPr>
      <w:r>
        <w:rPr>
          <w:rFonts w:hint="default" w:ascii="Times New Roman" w:hAnsi="Times New Roman" w:eastAsia="仿宋_GB2312" w:cs="Times New Roman"/>
          <w:kern w:val="2"/>
          <w:sz w:val="32"/>
          <w:szCs w:val="24"/>
          <w:lang w:val="en-US" w:eastAsia="zh-CN" w:bidi="ar-SA"/>
        </w:rPr>
        <w:t>铁是人体必需的微量元素。长期铁摄入不足可能会引起体内铁缺乏或导致缺铁性贫血。</w:t>
      </w:r>
      <w:r>
        <w:rPr>
          <w:rFonts w:hint="default" w:ascii="Times New Roman" w:hAnsi="Times New Roman" w:eastAsia="仿宋_GB2312" w:cs="Times New Roman"/>
          <w:color w:val="auto"/>
          <w:kern w:val="2"/>
          <w:sz w:val="32"/>
          <w:szCs w:val="32"/>
          <w:highlight w:val="none"/>
          <w:lang w:val="en-US" w:eastAsia="zh-CN" w:bidi="ar-SA"/>
        </w:rPr>
        <w:t>《食品安全国家标准 运动营养食品通则》（GB 24154</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2015）中规定，运动营养食品中铁含量（以每日计）应在</w:t>
      </w:r>
      <w:r>
        <w:rPr>
          <w:rFonts w:hint="default" w:ascii="Times New Roman" w:hAnsi="Times New Roman" w:eastAsia="仿宋_GB2312" w:cs="Times New Roman"/>
          <w:color w:val="auto"/>
          <w:kern w:val="2"/>
          <w:sz w:val="32"/>
          <w:szCs w:val="32"/>
          <w:lang w:val="en-US" w:eastAsia="zh-CN" w:bidi="ar-SA"/>
        </w:rPr>
        <w:t>2.3</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14mg范围内</w:t>
      </w:r>
      <w:r>
        <w:rPr>
          <w:rFonts w:hint="eastAsia" w:ascii="Times New Roman" w:hAnsi="Times New Roman" w:eastAsia="仿宋_GB2312" w:cs="Times New Roman"/>
          <w:kern w:val="2"/>
          <w:sz w:val="32"/>
          <w:szCs w:val="24"/>
          <w:lang w:val="en-US" w:eastAsia="zh-CN" w:bidi="ar-SA"/>
        </w:rPr>
        <w:t>；</w:t>
      </w:r>
      <w:r>
        <w:rPr>
          <w:rFonts w:hint="default" w:ascii="Times New Roman" w:hAnsi="Times New Roman" w:eastAsia="仿宋_GB2312" w:cs="Times New Roman"/>
          <w:kern w:val="2"/>
          <w:sz w:val="32"/>
          <w:szCs w:val="24"/>
          <w:lang w:val="en-US" w:eastAsia="zh-CN" w:bidi="ar-SA"/>
        </w:rPr>
        <w:t>《食品安全国家标准 预包装特殊膳食用食品标签》（GB 13432</w:t>
      </w:r>
      <w:r>
        <w:rPr>
          <w:rFonts w:hint="eastAsia" w:ascii="Times New Roman" w:hAnsi="Times New Roman" w:eastAsia="仿宋_GB2312" w:cs="Times New Roman"/>
          <w:kern w:val="2"/>
          <w:sz w:val="32"/>
          <w:szCs w:val="24"/>
          <w:lang w:val="en-US" w:eastAsia="zh-CN" w:bidi="ar-SA"/>
        </w:rPr>
        <w:t>—</w:t>
      </w:r>
      <w:r>
        <w:rPr>
          <w:rFonts w:hint="default" w:ascii="Times New Roman" w:hAnsi="Times New Roman" w:eastAsia="仿宋_GB2312" w:cs="Times New Roman"/>
          <w:kern w:val="2"/>
          <w:sz w:val="32"/>
          <w:szCs w:val="24"/>
          <w:lang w:val="en-US" w:eastAsia="zh-CN" w:bidi="ar-SA"/>
        </w:rPr>
        <w:t>2013）中规定，在产品保质期内，能量和营养成分的实际含量不应低于标示值的80%。</w:t>
      </w:r>
      <w:r>
        <w:rPr>
          <w:rFonts w:hint="default" w:ascii="Times New Roman" w:hAnsi="Times New Roman" w:eastAsia="仿宋_GB2312" w:cs="Times New Roman"/>
          <w:color w:val="auto"/>
          <w:kern w:val="2"/>
          <w:sz w:val="32"/>
          <w:szCs w:val="32"/>
          <w:highlight w:val="none"/>
          <w:lang w:val="en-US" w:eastAsia="zh-CN" w:bidi="ar-SA"/>
        </w:rPr>
        <w:t>运动营养食品</w:t>
      </w:r>
      <w:r>
        <w:rPr>
          <w:rFonts w:hint="default" w:ascii="Times New Roman" w:hAnsi="Times New Roman" w:eastAsia="仿宋_GB2312" w:cs="Times New Roman"/>
          <w:kern w:val="2"/>
          <w:sz w:val="32"/>
          <w:szCs w:val="24"/>
          <w:lang w:val="en-US" w:eastAsia="zh-CN" w:bidi="ar-SA"/>
        </w:rPr>
        <w:t>中铁含量不达标的原因，可能是原辅料用食品营养强化剂不符合质量要求；也可能是生产加工过程中搅拌不均匀。</w:t>
      </w:r>
    </w:p>
    <w:p w14:paraId="7DA2EA82">
      <w:pPr>
        <w:spacing w:line="594" w:lineRule="exact"/>
        <w:ind w:firstLine="640" w:firstLineChars="200"/>
        <w:rPr>
          <w:rFonts w:hint="eastAsia" w:ascii="黑体" w:hAnsi="黑体" w:eastAsia="黑体" w:cs="Times New Roman"/>
          <w:spacing w:val="0"/>
          <w:sz w:val="32"/>
          <w:szCs w:val="32"/>
          <w:lang w:eastAsia="zh-CN"/>
        </w:rPr>
      </w:pPr>
      <w:r>
        <w:rPr>
          <w:rFonts w:hint="eastAsia" w:eastAsia="黑体"/>
          <w:spacing w:val="0"/>
          <w:sz w:val="32"/>
          <w:szCs w:val="32"/>
          <w:lang w:val="en-US" w:eastAsia="zh-CN"/>
        </w:rPr>
        <w:t>三十九、酒精度</w:t>
      </w:r>
    </w:p>
    <w:p w14:paraId="4DB41997">
      <w:pPr>
        <w:spacing w:line="594"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lang w:val="en-US" w:eastAsia="zh-CN"/>
        </w:rPr>
        <w:t>酒精度又叫酒度，是指在20℃时，100毫升酒中含有乙醇（酒精）的毫升数，即体积（容量）的百分数。酒精度是酒类产品的一个重要理化指标，主要反映产品品质。目前酒类中酒精度暂无食品安全国家标准要求，主要由相关产品执行标准要求规定，《露酒》（GB/T 27588</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2011）中规定，酒精度标签标示值与实测值不得超过</w:t>
      </w:r>
      <w:r>
        <w:rPr>
          <w:rFonts w:hint="eastAsia" w:ascii="仿宋_GB2312" w:hAnsi="仿宋_GB2312" w:eastAsia="仿宋_GB2312" w:cs="仿宋_GB2312"/>
          <w:kern w:val="0"/>
          <w:sz w:val="32"/>
          <w:szCs w:val="32"/>
          <w:lang w:val="en-US" w:eastAsia="zh-CN"/>
        </w:rPr>
        <w:t>±</w:t>
      </w:r>
      <w:r>
        <w:rPr>
          <w:rFonts w:hint="default" w:ascii="Times New Roman" w:hAnsi="Times New Roman" w:eastAsia="仿宋_GB2312" w:cs="Times New Roman"/>
          <w:kern w:val="0"/>
          <w:sz w:val="32"/>
          <w:szCs w:val="32"/>
          <w:lang w:val="en-US" w:eastAsia="zh-CN"/>
        </w:rPr>
        <w:t>1.0%vol。酒精度超过产品明示标准要求的原因，可能是企业生产工艺控制不严或生产工艺水平较低，无法准确控制酒精度；也可能是生产企业检验器具未检定或检验过程不规范，造成出厂检验结果有偏差。</w:t>
      </w:r>
    </w:p>
    <w:p w14:paraId="4C6B657E">
      <w:pPr>
        <w:pStyle w:val="9"/>
        <w:adjustRightInd/>
        <w:spacing w:after="0" w:line="594" w:lineRule="exact"/>
        <w:ind w:firstLine="640" w:firstLineChars="200"/>
        <w:rPr>
          <w:rFonts w:hint="default" w:ascii="Times New Roman" w:hAnsi="Times New Roman" w:eastAsia="仿宋_GB2312" w:cs="Times New Roman"/>
          <w:sz w:val="32"/>
          <w:szCs w:val="32"/>
          <w:lang w:val="en-US" w:eastAsia="zh-CN"/>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0792034"/>
    </w:sdtPr>
    <w:sdtEndPr>
      <w:rPr>
        <w:lang w:val="zh-CN"/>
      </w:rPr>
    </w:sdtEndPr>
    <w:sdtContent>
      <w:p w14:paraId="69D6350B">
        <w:pPr>
          <w:pStyle w:val="5"/>
          <w:jc w:val="center"/>
          <w:rPr>
            <w:lang w:val="zh-CN"/>
          </w:rPr>
        </w:pPr>
        <w:r>
          <w:rPr>
            <w:lang w:val="zh-CN"/>
          </w:rPr>
          <w:fldChar w:fldCharType="begin"/>
        </w:r>
        <w:r>
          <w:rPr>
            <w:lang w:val="zh-CN"/>
          </w:rPr>
          <w:instrText xml:space="preserve">PAGE   \* MERGEFORMAT</w:instrText>
        </w:r>
        <w:r>
          <w:rPr>
            <w:lang w:val="zh-CN"/>
          </w:rPr>
          <w:fldChar w:fldCharType="separate"/>
        </w:r>
        <w:r>
          <w:rPr>
            <w:lang w:val="zh-CN"/>
          </w:rPr>
          <w:t>3</w:t>
        </w:r>
        <w:r>
          <w:rPr>
            <w:lang w:val="zh-CN"/>
          </w:rPr>
          <w:fldChar w:fldCharType="end"/>
        </w:r>
      </w:p>
    </w:sdtContent>
  </w:sdt>
  <w:p w14:paraId="0334816A">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1Nzk0NGJjYjlhZTdmZjU0YmM5NTY3ODhkYTUwMzcifQ=="/>
  </w:docVars>
  <w:rsids>
    <w:rsidRoot w:val="052446EE"/>
    <w:rsid w:val="00020497"/>
    <w:rsid w:val="00024C6D"/>
    <w:rsid w:val="00043432"/>
    <w:rsid w:val="00043867"/>
    <w:rsid w:val="00053AE6"/>
    <w:rsid w:val="00083C9A"/>
    <w:rsid w:val="000A1FB4"/>
    <w:rsid w:val="000B21AE"/>
    <w:rsid w:val="000B4026"/>
    <w:rsid w:val="000B4DAD"/>
    <w:rsid w:val="000C502F"/>
    <w:rsid w:val="000C6083"/>
    <w:rsid w:val="000D1C58"/>
    <w:rsid w:val="000D34F7"/>
    <w:rsid w:val="000F7117"/>
    <w:rsid w:val="0010216A"/>
    <w:rsid w:val="00107958"/>
    <w:rsid w:val="00110259"/>
    <w:rsid w:val="001220AD"/>
    <w:rsid w:val="00123FF4"/>
    <w:rsid w:val="00131A76"/>
    <w:rsid w:val="0013226B"/>
    <w:rsid w:val="0015275C"/>
    <w:rsid w:val="001727C1"/>
    <w:rsid w:val="00177381"/>
    <w:rsid w:val="0019592F"/>
    <w:rsid w:val="001C1A51"/>
    <w:rsid w:val="001D168E"/>
    <w:rsid w:val="001D3191"/>
    <w:rsid w:val="001E3878"/>
    <w:rsid w:val="001E40B2"/>
    <w:rsid w:val="001F4428"/>
    <w:rsid w:val="001F5BDC"/>
    <w:rsid w:val="0024004A"/>
    <w:rsid w:val="00242E9A"/>
    <w:rsid w:val="00244971"/>
    <w:rsid w:val="0025796E"/>
    <w:rsid w:val="002849D1"/>
    <w:rsid w:val="00287BFF"/>
    <w:rsid w:val="002A1219"/>
    <w:rsid w:val="002A2616"/>
    <w:rsid w:val="002A3534"/>
    <w:rsid w:val="002D0E99"/>
    <w:rsid w:val="002D2E25"/>
    <w:rsid w:val="00305C48"/>
    <w:rsid w:val="00312A7A"/>
    <w:rsid w:val="0033388D"/>
    <w:rsid w:val="003347AE"/>
    <w:rsid w:val="00336B1D"/>
    <w:rsid w:val="00343C07"/>
    <w:rsid w:val="00363809"/>
    <w:rsid w:val="00375893"/>
    <w:rsid w:val="00390C6C"/>
    <w:rsid w:val="003B1570"/>
    <w:rsid w:val="003C27DE"/>
    <w:rsid w:val="003F22EE"/>
    <w:rsid w:val="00415A66"/>
    <w:rsid w:val="00423285"/>
    <w:rsid w:val="00434D14"/>
    <w:rsid w:val="00452EBB"/>
    <w:rsid w:val="0049668F"/>
    <w:rsid w:val="004A228F"/>
    <w:rsid w:val="004B4C0B"/>
    <w:rsid w:val="004C3F64"/>
    <w:rsid w:val="004F17CC"/>
    <w:rsid w:val="0050201A"/>
    <w:rsid w:val="00503C7B"/>
    <w:rsid w:val="00533D1D"/>
    <w:rsid w:val="005557BE"/>
    <w:rsid w:val="00560DD5"/>
    <w:rsid w:val="0056128C"/>
    <w:rsid w:val="005A1446"/>
    <w:rsid w:val="005B036E"/>
    <w:rsid w:val="005C72E8"/>
    <w:rsid w:val="005E1899"/>
    <w:rsid w:val="005E36FE"/>
    <w:rsid w:val="005E5714"/>
    <w:rsid w:val="005F4FE7"/>
    <w:rsid w:val="006000A5"/>
    <w:rsid w:val="00601F5C"/>
    <w:rsid w:val="0062795C"/>
    <w:rsid w:val="006417C9"/>
    <w:rsid w:val="00674436"/>
    <w:rsid w:val="00681D0D"/>
    <w:rsid w:val="00687989"/>
    <w:rsid w:val="006E2F89"/>
    <w:rsid w:val="006E6218"/>
    <w:rsid w:val="006F0D6D"/>
    <w:rsid w:val="006F22C8"/>
    <w:rsid w:val="006F3B40"/>
    <w:rsid w:val="00704F64"/>
    <w:rsid w:val="00725909"/>
    <w:rsid w:val="007400B0"/>
    <w:rsid w:val="00751527"/>
    <w:rsid w:val="007535B9"/>
    <w:rsid w:val="007576ED"/>
    <w:rsid w:val="00760BDF"/>
    <w:rsid w:val="0077656B"/>
    <w:rsid w:val="007822C5"/>
    <w:rsid w:val="00792534"/>
    <w:rsid w:val="007C73DC"/>
    <w:rsid w:val="007D0852"/>
    <w:rsid w:val="007F55A3"/>
    <w:rsid w:val="007F6A2F"/>
    <w:rsid w:val="00802F57"/>
    <w:rsid w:val="00812F54"/>
    <w:rsid w:val="008270FB"/>
    <w:rsid w:val="0082773A"/>
    <w:rsid w:val="00895609"/>
    <w:rsid w:val="008A22C6"/>
    <w:rsid w:val="008A2568"/>
    <w:rsid w:val="008C1383"/>
    <w:rsid w:val="008C3F7A"/>
    <w:rsid w:val="008D3AA0"/>
    <w:rsid w:val="008E762E"/>
    <w:rsid w:val="008F0056"/>
    <w:rsid w:val="00903A84"/>
    <w:rsid w:val="00906A8C"/>
    <w:rsid w:val="00933FC6"/>
    <w:rsid w:val="00950CBE"/>
    <w:rsid w:val="009568FF"/>
    <w:rsid w:val="00967245"/>
    <w:rsid w:val="00980954"/>
    <w:rsid w:val="009809DA"/>
    <w:rsid w:val="00981C27"/>
    <w:rsid w:val="009941B3"/>
    <w:rsid w:val="009D2294"/>
    <w:rsid w:val="009D56C5"/>
    <w:rsid w:val="009E2E64"/>
    <w:rsid w:val="009F42E5"/>
    <w:rsid w:val="009F75A8"/>
    <w:rsid w:val="00A0189E"/>
    <w:rsid w:val="00A12057"/>
    <w:rsid w:val="00A655ED"/>
    <w:rsid w:val="00A72D59"/>
    <w:rsid w:val="00A819D9"/>
    <w:rsid w:val="00A858FD"/>
    <w:rsid w:val="00A8639F"/>
    <w:rsid w:val="00AE2978"/>
    <w:rsid w:val="00AE3415"/>
    <w:rsid w:val="00AE4163"/>
    <w:rsid w:val="00AE443A"/>
    <w:rsid w:val="00AF3D26"/>
    <w:rsid w:val="00B02836"/>
    <w:rsid w:val="00B17403"/>
    <w:rsid w:val="00B26756"/>
    <w:rsid w:val="00B30079"/>
    <w:rsid w:val="00B342D4"/>
    <w:rsid w:val="00B46A7C"/>
    <w:rsid w:val="00B56A64"/>
    <w:rsid w:val="00B734B6"/>
    <w:rsid w:val="00B82BD1"/>
    <w:rsid w:val="00B83167"/>
    <w:rsid w:val="00B876A6"/>
    <w:rsid w:val="00BA50EB"/>
    <w:rsid w:val="00BE4729"/>
    <w:rsid w:val="00C05D47"/>
    <w:rsid w:val="00C10FA4"/>
    <w:rsid w:val="00C22080"/>
    <w:rsid w:val="00C277F9"/>
    <w:rsid w:val="00C35F32"/>
    <w:rsid w:val="00C425FB"/>
    <w:rsid w:val="00C47869"/>
    <w:rsid w:val="00C52899"/>
    <w:rsid w:val="00C53768"/>
    <w:rsid w:val="00C71CF8"/>
    <w:rsid w:val="00C82E32"/>
    <w:rsid w:val="00C95DA4"/>
    <w:rsid w:val="00CD2658"/>
    <w:rsid w:val="00CD5EC3"/>
    <w:rsid w:val="00CE26B0"/>
    <w:rsid w:val="00CE296E"/>
    <w:rsid w:val="00D026A1"/>
    <w:rsid w:val="00D0282A"/>
    <w:rsid w:val="00D02ED8"/>
    <w:rsid w:val="00D172AA"/>
    <w:rsid w:val="00D17FA8"/>
    <w:rsid w:val="00D221B8"/>
    <w:rsid w:val="00D25ABD"/>
    <w:rsid w:val="00D407AC"/>
    <w:rsid w:val="00D44653"/>
    <w:rsid w:val="00D550F5"/>
    <w:rsid w:val="00D716C1"/>
    <w:rsid w:val="00D75D39"/>
    <w:rsid w:val="00D940B0"/>
    <w:rsid w:val="00DB0F7D"/>
    <w:rsid w:val="00DB3515"/>
    <w:rsid w:val="00DB7633"/>
    <w:rsid w:val="00DB7982"/>
    <w:rsid w:val="00DC4018"/>
    <w:rsid w:val="00DD03EA"/>
    <w:rsid w:val="00DD59C8"/>
    <w:rsid w:val="00DD7C24"/>
    <w:rsid w:val="00E01EB3"/>
    <w:rsid w:val="00E07B1F"/>
    <w:rsid w:val="00E16D89"/>
    <w:rsid w:val="00E45266"/>
    <w:rsid w:val="00E5453C"/>
    <w:rsid w:val="00E54EE8"/>
    <w:rsid w:val="00E651D8"/>
    <w:rsid w:val="00E66BDB"/>
    <w:rsid w:val="00E721EF"/>
    <w:rsid w:val="00E73511"/>
    <w:rsid w:val="00E81D4E"/>
    <w:rsid w:val="00E90919"/>
    <w:rsid w:val="00EA2C6D"/>
    <w:rsid w:val="00EB1898"/>
    <w:rsid w:val="00EB2DC4"/>
    <w:rsid w:val="00ED0033"/>
    <w:rsid w:val="00EE4D2C"/>
    <w:rsid w:val="00EF6290"/>
    <w:rsid w:val="00F009DD"/>
    <w:rsid w:val="00F10843"/>
    <w:rsid w:val="00F129A7"/>
    <w:rsid w:val="00F1663E"/>
    <w:rsid w:val="00F407C3"/>
    <w:rsid w:val="00F502BA"/>
    <w:rsid w:val="00F73C8B"/>
    <w:rsid w:val="00F748C1"/>
    <w:rsid w:val="00F84AAD"/>
    <w:rsid w:val="00F935EF"/>
    <w:rsid w:val="00F94FE6"/>
    <w:rsid w:val="00FA2106"/>
    <w:rsid w:val="00FA4809"/>
    <w:rsid w:val="00FB1217"/>
    <w:rsid w:val="00FB53DF"/>
    <w:rsid w:val="00FB60C0"/>
    <w:rsid w:val="01521B81"/>
    <w:rsid w:val="01A56D4B"/>
    <w:rsid w:val="01C40DDD"/>
    <w:rsid w:val="02661E94"/>
    <w:rsid w:val="027A5D95"/>
    <w:rsid w:val="028D1A14"/>
    <w:rsid w:val="02EE52CA"/>
    <w:rsid w:val="03130978"/>
    <w:rsid w:val="038F0445"/>
    <w:rsid w:val="03A414C8"/>
    <w:rsid w:val="03F93ABC"/>
    <w:rsid w:val="04025BED"/>
    <w:rsid w:val="04185E25"/>
    <w:rsid w:val="04294F27"/>
    <w:rsid w:val="043132CE"/>
    <w:rsid w:val="04B16515"/>
    <w:rsid w:val="04C47CFA"/>
    <w:rsid w:val="052446EE"/>
    <w:rsid w:val="052567B4"/>
    <w:rsid w:val="053242B0"/>
    <w:rsid w:val="05462D97"/>
    <w:rsid w:val="05486422"/>
    <w:rsid w:val="055E15B3"/>
    <w:rsid w:val="05907CAB"/>
    <w:rsid w:val="06A61BD4"/>
    <w:rsid w:val="06A71C34"/>
    <w:rsid w:val="06FC4B75"/>
    <w:rsid w:val="070639D0"/>
    <w:rsid w:val="0722265B"/>
    <w:rsid w:val="07265873"/>
    <w:rsid w:val="0780615A"/>
    <w:rsid w:val="07A30962"/>
    <w:rsid w:val="07DA160B"/>
    <w:rsid w:val="07DC16F6"/>
    <w:rsid w:val="081C479D"/>
    <w:rsid w:val="084F41B0"/>
    <w:rsid w:val="08744366"/>
    <w:rsid w:val="089E37AF"/>
    <w:rsid w:val="09175AF5"/>
    <w:rsid w:val="09227595"/>
    <w:rsid w:val="09FE6495"/>
    <w:rsid w:val="0AAD48BF"/>
    <w:rsid w:val="0AC442D1"/>
    <w:rsid w:val="0ADC3742"/>
    <w:rsid w:val="0B0F0BB5"/>
    <w:rsid w:val="0B107A4A"/>
    <w:rsid w:val="0B437A81"/>
    <w:rsid w:val="0B7A1C33"/>
    <w:rsid w:val="0BAC1F15"/>
    <w:rsid w:val="0BC8771C"/>
    <w:rsid w:val="0BCB7477"/>
    <w:rsid w:val="0BCF39F7"/>
    <w:rsid w:val="0C2A1C3C"/>
    <w:rsid w:val="0C2D133B"/>
    <w:rsid w:val="0C364B74"/>
    <w:rsid w:val="0C476D67"/>
    <w:rsid w:val="0CB80C50"/>
    <w:rsid w:val="0CD40A10"/>
    <w:rsid w:val="0CF0645F"/>
    <w:rsid w:val="0D7B670C"/>
    <w:rsid w:val="0DAC348B"/>
    <w:rsid w:val="0E092D0B"/>
    <w:rsid w:val="0EB456BA"/>
    <w:rsid w:val="0EC81837"/>
    <w:rsid w:val="0EDA7A01"/>
    <w:rsid w:val="0F5238B5"/>
    <w:rsid w:val="0FEB509E"/>
    <w:rsid w:val="0FF5732E"/>
    <w:rsid w:val="0FFF6C37"/>
    <w:rsid w:val="102D3FF1"/>
    <w:rsid w:val="1032287E"/>
    <w:rsid w:val="103364D3"/>
    <w:rsid w:val="105542C0"/>
    <w:rsid w:val="10625608"/>
    <w:rsid w:val="108233AD"/>
    <w:rsid w:val="109070A8"/>
    <w:rsid w:val="10A511DC"/>
    <w:rsid w:val="10C75499"/>
    <w:rsid w:val="10F93D79"/>
    <w:rsid w:val="111C434C"/>
    <w:rsid w:val="11A245C9"/>
    <w:rsid w:val="11A552D9"/>
    <w:rsid w:val="11AD305F"/>
    <w:rsid w:val="12076629"/>
    <w:rsid w:val="122E1D99"/>
    <w:rsid w:val="12C90538"/>
    <w:rsid w:val="12D22C2E"/>
    <w:rsid w:val="12F72E14"/>
    <w:rsid w:val="12FD4DF0"/>
    <w:rsid w:val="130B5CD4"/>
    <w:rsid w:val="133001AE"/>
    <w:rsid w:val="134D526F"/>
    <w:rsid w:val="13971551"/>
    <w:rsid w:val="14D86DA1"/>
    <w:rsid w:val="15044CA6"/>
    <w:rsid w:val="156E0206"/>
    <w:rsid w:val="160A5910"/>
    <w:rsid w:val="164A4168"/>
    <w:rsid w:val="16BB447B"/>
    <w:rsid w:val="16E342D2"/>
    <w:rsid w:val="17033CEF"/>
    <w:rsid w:val="1722569F"/>
    <w:rsid w:val="178C1298"/>
    <w:rsid w:val="17CE2081"/>
    <w:rsid w:val="18B17C05"/>
    <w:rsid w:val="19067FF8"/>
    <w:rsid w:val="195E164B"/>
    <w:rsid w:val="196B1D4E"/>
    <w:rsid w:val="19977A4A"/>
    <w:rsid w:val="19D6063F"/>
    <w:rsid w:val="19DD082F"/>
    <w:rsid w:val="1A907481"/>
    <w:rsid w:val="1AD508F6"/>
    <w:rsid w:val="1AEC7B0C"/>
    <w:rsid w:val="1B03607B"/>
    <w:rsid w:val="1B2E77B1"/>
    <w:rsid w:val="1B3D7278"/>
    <w:rsid w:val="1B7E4CF9"/>
    <w:rsid w:val="1C2A3D09"/>
    <w:rsid w:val="1CCD272D"/>
    <w:rsid w:val="1CD94E78"/>
    <w:rsid w:val="1CE5696D"/>
    <w:rsid w:val="1D513069"/>
    <w:rsid w:val="1D6C2FCD"/>
    <w:rsid w:val="1DA014D7"/>
    <w:rsid w:val="1DA97C4C"/>
    <w:rsid w:val="1DF6698D"/>
    <w:rsid w:val="1E0B5C9C"/>
    <w:rsid w:val="1E1A3721"/>
    <w:rsid w:val="1E37319B"/>
    <w:rsid w:val="1E9157FB"/>
    <w:rsid w:val="1ECF2759"/>
    <w:rsid w:val="1F961D6E"/>
    <w:rsid w:val="1FA03EF4"/>
    <w:rsid w:val="1FCF0608"/>
    <w:rsid w:val="1FF5604A"/>
    <w:rsid w:val="1FF77807"/>
    <w:rsid w:val="203D0B3D"/>
    <w:rsid w:val="20582274"/>
    <w:rsid w:val="2059449C"/>
    <w:rsid w:val="20BC665B"/>
    <w:rsid w:val="20C11697"/>
    <w:rsid w:val="20DF2D7E"/>
    <w:rsid w:val="20E97796"/>
    <w:rsid w:val="21372698"/>
    <w:rsid w:val="215701F0"/>
    <w:rsid w:val="21991D50"/>
    <w:rsid w:val="2298310D"/>
    <w:rsid w:val="22E67475"/>
    <w:rsid w:val="2340612E"/>
    <w:rsid w:val="239D06F1"/>
    <w:rsid w:val="23A75855"/>
    <w:rsid w:val="23D113E8"/>
    <w:rsid w:val="24235EAA"/>
    <w:rsid w:val="24762C28"/>
    <w:rsid w:val="247A6FAA"/>
    <w:rsid w:val="249D47DC"/>
    <w:rsid w:val="25124A75"/>
    <w:rsid w:val="25850A9E"/>
    <w:rsid w:val="259E23E3"/>
    <w:rsid w:val="26314ACD"/>
    <w:rsid w:val="266C5903"/>
    <w:rsid w:val="26846429"/>
    <w:rsid w:val="269D741C"/>
    <w:rsid w:val="26B71989"/>
    <w:rsid w:val="27584E00"/>
    <w:rsid w:val="275A07ED"/>
    <w:rsid w:val="27894434"/>
    <w:rsid w:val="27B8270D"/>
    <w:rsid w:val="27C43035"/>
    <w:rsid w:val="27CF1A25"/>
    <w:rsid w:val="28501F15"/>
    <w:rsid w:val="28CC6DE2"/>
    <w:rsid w:val="2924792E"/>
    <w:rsid w:val="294A7F7D"/>
    <w:rsid w:val="29F504F1"/>
    <w:rsid w:val="29F8276D"/>
    <w:rsid w:val="29FB7D70"/>
    <w:rsid w:val="2A4672BA"/>
    <w:rsid w:val="2A53594F"/>
    <w:rsid w:val="2A6F4459"/>
    <w:rsid w:val="2ABF7615"/>
    <w:rsid w:val="2AEB7548"/>
    <w:rsid w:val="2AF42F2E"/>
    <w:rsid w:val="2B390248"/>
    <w:rsid w:val="2BCB7237"/>
    <w:rsid w:val="2BD07C59"/>
    <w:rsid w:val="2C1205D9"/>
    <w:rsid w:val="2CD74E22"/>
    <w:rsid w:val="2CE70F66"/>
    <w:rsid w:val="2D64060D"/>
    <w:rsid w:val="2D7D16EA"/>
    <w:rsid w:val="2DA62CE5"/>
    <w:rsid w:val="2E1F3F87"/>
    <w:rsid w:val="2E25104B"/>
    <w:rsid w:val="2E4243E1"/>
    <w:rsid w:val="2ECD0714"/>
    <w:rsid w:val="2F033EB0"/>
    <w:rsid w:val="2F197EB6"/>
    <w:rsid w:val="2F2C68FC"/>
    <w:rsid w:val="2F712A79"/>
    <w:rsid w:val="2F9A4E1E"/>
    <w:rsid w:val="2F9B35E3"/>
    <w:rsid w:val="2FD50154"/>
    <w:rsid w:val="2FDD066F"/>
    <w:rsid w:val="2FF4710F"/>
    <w:rsid w:val="302C3947"/>
    <w:rsid w:val="30706BFB"/>
    <w:rsid w:val="30730D18"/>
    <w:rsid w:val="308001C6"/>
    <w:rsid w:val="308A30FA"/>
    <w:rsid w:val="30AC7B38"/>
    <w:rsid w:val="30EE7B7F"/>
    <w:rsid w:val="31252E3F"/>
    <w:rsid w:val="318B5860"/>
    <w:rsid w:val="31B405DF"/>
    <w:rsid w:val="31FD11FC"/>
    <w:rsid w:val="32A67649"/>
    <w:rsid w:val="33844E91"/>
    <w:rsid w:val="339A091A"/>
    <w:rsid w:val="33BA14BA"/>
    <w:rsid w:val="34151A1C"/>
    <w:rsid w:val="342D7174"/>
    <w:rsid w:val="34516D2E"/>
    <w:rsid w:val="34B86E31"/>
    <w:rsid w:val="34DB4439"/>
    <w:rsid w:val="34F97B15"/>
    <w:rsid w:val="358F3E74"/>
    <w:rsid w:val="35AE42B6"/>
    <w:rsid w:val="35B553BC"/>
    <w:rsid w:val="35EC612F"/>
    <w:rsid w:val="36256509"/>
    <w:rsid w:val="36AD5E36"/>
    <w:rsid w:val="36B30709"/>
    <w:rsid w:val="36BB0136"/>
    <w:rsid w:val="36BB4D35"/>
    <w:rsid w:val="3763411B"/>
    <w:rsid w:val="37E01180"/>
    <w:rsid w:val="37E56DDC"/>
    <w:rsid w:val="37F900FD"/>
    <w:rsid w:val="383F0A08"/>
    <w:rsid w:val="38933D71"/>
    <w:rsid w:val="389D7FD9"/>
    <w:rsid w:val="38AA3B42"/>
    <w:rsid w:val="392A1904"/>
    <w:rsid w:val="392E7281"/>
    <w:rsid w:val="394C2E8B"/>
    <w:rsid w:val="395E00B1"/>
    <w:rsid w:val="39673EBA"/>
    <w:rsid w:val="3A4A0926"/>
    <w:rsid w:val="3A52468E"/>
    <w:rsid w:val="3A8A5A19"/>
    <w:rsid w:val="3AA478AB"/>
    <w:rsid w:val="3B2D45F6"/>
    <w:rsid w:val="3B5B0921"/>
    <w:rsid w:val="3C2512EE"/>
    <w:rsid w:val="3C3812CC"/>
    <w:rsid w:val="3C432FF1"/>
    <w:rsid w:val="3C4B12A5"/>
    <w:rsid w:val="3C4D2E8B"/>
    <w:rsid w:val="3C81270D"/>
    <w:rsid w:val="3CE766A7"/>
    <w:rsid w:val="3D54210C"/>
    <w:rsid w:val="3DD57988"/>
    <w:rsid w:val="3E56682C"/>
    <w:rsid w:val="3ED05834"/>
    <w:rsid w:val="3EF229BA"/>
    <w:rsid w:val="3F064ECA"/>
    <w:rsid w:val="3F42581D"/>
    <w:rsid w:val="3FA01312"/>
    <w:rsid w:val="3FED319C"/>
    <w:rsid w:val="401234CD"/>
    <w:rsid w:val="405B301B"/>
    <w:rsid w:val="408B4949"/>
    <w:rsid w:val="40F962F7"/>
    <w:rsid w:val="41025C20"/>
    <w:rsid w:val="411B6563"/>
    <w:rsid w:val="41344E6E"/>
    <w:rsid w:val="41994A06"/>
    <w:rsid w:val="4218656A"/>
    <w:rsid w:val="4236267D"/>
    <w:rsid w:val="42590783"/>
    <w:rsid w:val="42843858"/>
    <w:rsid w:val="42BC2694"/>
    <w:rsid w:val="42C6205B"/>
    <w:rsid w:val="43AF5096"/>
    <w:rsid w:val="43ED18D3"/>
    <w:rsid w:val="44120B90"/>
    <w:rsid w:val="446C036D"/>
    <w:rsid w:val="448604CB"/>
    <w:rsid w:val="44921DE2"/>
    <w:rsid w:val="4493451F"/>
    <w:rsid w:val="44CE64DA"/>
    <w:rsid w:val="44DE50C7"/>
    <w:rsid w:val="452A2755"/>
    <w:rsid w:val="45562D9B"/>
    <w:rsid w:val="458C5588"/>
    <w:rsid w:val="45AF268C"/>
    <w:rsid w:val="460962CF"/>
    <w:rsid w:val="463A646A"/>
    <w:rsid w:val="46994A91"/>
    <w:rsid w:val="46CC3297"/>
    <w:rsid w:val="471E6356"/>
    <w:rsid w:val="47230740"/>
    <w:rsid w:val="47242D51"/>
    <w:rsid w:val="47D450E7"/>
    <w:rsid w:val="47D93B1F"/>
    <w:rsid w:val="48CD06B6"/>
    <w:rsid w:val="48CE02C4"/>
    <w:rsid w:val="48D63B60"/>
    <w:rsid w:val="48F615AA"/>
    <w:rsid w:val="490A2BDA"/>
    <w:rsid w:val="491E2B74"/>
    <w:rsid w:val="493B6E40"/>
    <w:rsid w:val="494C3F8C"/>
    <w:rsid w:val="494E4E79"/>
    <w:rsid w:val="49500E7F"/>
    <w:rsid w:val="495138DA"/>
    <w:rsid w:val="497763FD"/>
    <w:rsid w:val="49B00079"/>
    <w:rsid w:val="49BD4A24"/>
    <w:rsid w:val="49D57EE1"/>
    <w:rsid w:val="4A2B2399"/>
    <w:rsid w:val="4A612A04"/>
    <w:rsid w:val="4A835AE0"/>
    <w:rsid w:val="4ADC5E51"/>
    <w:rsid w:val="4B5D2CD5"/>
    <w:rsid w:val="4C544655"/>
    <w:rsid w:val="4C904C34"/>
    <w:rsid w:val="4C9204E2"/>
    <w:rsid w:val="4C95329C"/>
    <w:rsid w:val="4CA036CC"/>
    <w:rsid w:val="4CAE2F0F"/>
    <w:rsid w:val="4CB7255F"/>
    <w:rsid w:val="4D2968B7"/>
    <w:rsid w:val="4D5B1BD1"/>
    <w:rsid w:val="4D61085B"/>
    <w:rsid w:val="4D96357F"/>
    <w:rsid w:val="4DF711BF"/>
    <w:rsid w:val="4E196222"/>
    <w:rsid w:val="4E8159AF"/>
    <w:rsid w:val="4ED53EED"/>
    <w:rsid w:val="4EF14EDB"/>
    <w:rsid w:val="4EFB0F58"/>
    <w:rsid w:val="4F69410F"/>
    <w:rsid w:val="4F864951"/>
    <w:rsid w:val="4FAF363F"/>
    <w:rsid w:val="4FDF48D9"/>
    <w:rsid w:val="4FE173F8"/>
    <w:rsid w:val="50147C53"/>
    <w:rsid w:val="509C264D"/>
    <w:rsid w:val="50A6290C"/>
    <w:rsid w:val="50B25B41"/>
    <w:rsid w:val="50BC54AF"/>
    <w:rsid w:val="514C2084"/>
    <w:rsid w:val="51861C65"/>
    <w:rsid w:val="51B24EEC"/>
    <w:rsid w:val="51B43769"/>
    <w:rsid w:val="51BC1E2A"/>
    <w:rsid w:val="51F05D16"/>
    <w:rsid w:val="528A11AE"/>
    <w:rsid w:val="52A07CC6"/>
    <w:rsid w:val="52F04014"/>
    <w:rsid w:val="52FD335B"/>
    <w:rsid w:val="532062CE"/>
    <w:rsid w:val="532C26E6"/>
    <w:rsid w:val="533407C0"/>
    <w:rsid w:val="5387412A"/>
    <w:rsid w:val="53FD2F44"/>
    <w:rsid w:val="53FF0DCE"/>
    <w:rsid w:val="543A66FB"/>
    <w:rsid w:val="54544D6D"/>
    <w:rsid w:val="545804DE"/>
    <w:rsid w:val="548D4260"/>
    <w:rsid w:val="549064CF"/>
    <w:rsid w:val="54D819BB"/>
    <w:rsid w:val="55BF59F4"/>
    <w:rsid w:val="55E05282"/>
    <w:rsid w:val="56110C8E"/>
    <w:rsid w:val="564660C6"/>
    <w:rsid w:val="56A276D0"/>
    <w:rsid w:val="56CD4EBA"/>
    <w:rsid w:val="576E53FC"/>
    <w:rsid w:val="57B03788"/>
    <w:rsid w:val="57E966D0"/>
    <w:rsid w:val="57F401E5"/>
    <w:rsid w:val="580C5E2D"/>
    <w:rsid w:val="58184493"/>
    <w:rsid w:val="586C779B"/>
    <w:rsid w:val="58873140"/>
    <w:rsid w:val="588C340E"/>
    <w:rsid w:val="58A7355C"/>
    <w:rsid w:val="58EC7F03"/>
    <w:rsid w:val="58F76D4A"/>
    <w:rsid w:val="5917309A"/>
    <w:rsid w:val="592526F4"/>
    <w:rsid w:val="593443AA"/>
    <w:rsid w:val="59840098"/>
    <w:rsid w:val="59C949EC"/>
    <w:rsid w:val="59D04F91"/>
    <w:rsid w:val="5AA67CB1"/>
    <w:rsid w:val="5AB54607"/>
    <w:rsid w:val="5AB741B0"/>
    <w:rsid w:val="5B035A3A"/>
    <w:rsid w:val="5B3421AF"/>
    <w:rsid w:val="5B7D1719"/>
    <w:rsid w:val="5B9E651D"/>
    <w:rsid w:val="5BE41C7F"/>
    <w:rsid w:val="5BFF1837"/>
    <w:rsid w:val="5C063D09"/>
    <w:rsid w:val="5C435B8D"/>
    <w:rsid w:val="5CC14841"/>
    <w:rsid w:val="5CD643C2"/>
    <w:rsid w:val="5D253771"/>
    <w:rsid w:val="5D3C5BA5"/>
    <w:rsid w:val="5DA1645E"/>
    <w:rsid w:val="5DAE345A"/>
    <w:rsid w:val="5DBB39A0"/>
    <w:rsid w:val="5DBE4F38"/>
    <w:rsid w:val="5E14229A"/>
    <w:rsid w:val="5E38554B"/>
    <w:rsid w:val="5E5431CD"/>
    <w:rsid w:val="5F2065C8"/>
    <w:rsid w:val="5F625760"/>
    <w:rsid w:val="5FEB4A4B"/>
    <w:rsid w:val="60315B4F"/>
    <w:rsid w:val="6051475F"/>
    <w:rsid w:val="611E6C1C"/>
    <w:rsid w:val="613D1EB7"/>
    <w:rsid w:val="61C61E38"/>
    <w:rsid w:val="62331957"/>
    <w:rsid w:val="63213BB4"/>
    <w:rsid w:val="634D1122"/>
    <w:rsid w:val="63BA5678"/>
    <w:rsid w:val="63C45F36"/>
    <w:rsid w:val="64165519"/>
    <w:rsid w:val="643200F6"/>
    <w:rsid w:val="649D4B85"/>
    <w:rsid w:val="64CE046B"/>
    <w:rsid w:val="64D82E8B"/>
    <w:rsid w:val="653E7950"/>
    <w:rsid w:val="65C32FE2"/>
    <w:rsid w:val="661F7A8A"/>
    <w:rsid w:val="66CE2C36"/>
    <w:rsid w:val="66D46B60"/>
    <w:rsid w:val="675A48DF"/>
    <w:rsid w:val="676770CE"/>
    <w:rsid w:val="679E2A0F"/>
    <w:rsid w:val="67FD322B"/>
    <w:rsid w:val="68A74C6B"/>
    <w:rsid w:val="69872FA0"/>
    <w:rsid w:val="69C7211C"/>
    <w:rsid w:val="69D70A50"/>
    <w:rsid w:val="69E34809"/>
    <w:rsid w:val="6A071B71"/>
    <w:rsid w:val="6AE05AA1"/>
    <w:rsid w:val="6B1E0678"/>
    <w:rsid w:val="6B487B7E"/>
    <w:rsid w:val="6B8F3DB5"/>
    <w:rsid w:val="6B997EDF"/>
    <w:rsid w:val="6BA50B91"/>
    <w:rsid w:val="6BC54056"/>
    <w:rsid w:val="6C57653C"/>
    <w:rsid w:val="6C8F263F"/>
    <w:rsid w:val="6D3323BC"/>
    <w:rsid w:val="6E0D279D"/>
    <w:rsid w:val="6E157149"/>
    <w:rsid w:val="6E1B7C7E"/>
    <w:rsid w:val="6E9D44F7"/>
    <w:rsid w:val="6EFF5CCE"/>
    <w:rsid w:val="6F7C56DB"/>
    <w:rsid w:val="707961D1"/>
    <w:rsid w:val="70A95BE0"/>
    <w:rsid w:val="70CF7EE0"/>
    <w:rsid w:val="70F00C1D"/>
    <w:rsid w:val="71052DB8"/>
    <w:rsid w:val="71346E5A"/>
    <w:rsid w:val="716B2491"/>
    <w:rsid w:val="71A343C4"/>
    <w:rsid w:val="72404633"/>
    <w:rsid w:val="728D7A35"/>
    <w:rsid w:val="72DC3B2E"/>
    <w:rsid w:val="72ED6B92"/>
    <w:rsid w:val="735D6752"/>
    <w:rsid w:val="73712CCC"/>
    <w:rsid w:val="739C3AEB"/>
    <w:rsid w:val="73A155A6"/>
    <w:rsid w:val="73F64CEB"/>
    <w:rsid w:val="741C16EF"/>
    <w:rsid w:val="743531C2"/>
    <w:rsid w:val="743B3E91"/>
    <w:rsid w:val="74631C62"/>
    <w:rsid w:val="74807F03"/>
    <w:rsid w:val="749704B3"/>
    <w:rsid w:val="74E50822"/>
    <w:rsid w:val="751C7E3C"/>
    <w:rsid w:val="75A22D1B"/>
    <w:rsid w:val="75A47394"/>
    <w:rsid w:val="7773491F"/>
    <w:rsid w:val="77775FE6"/>
    <w:rsid w:val="77DD70DB"/>
    <w:rsid w:val="784B4258"/>
    <w:rsid w:val="78A92BB3"/>
    <w:rsid w:val="78B574BE"/>
    <w:rsid w:val="78BF19EB"/>
    <w:rsid w:val="78FB4BB6"/>
    <w:rsid w:val="79043F06"/>
    <w:rsid w:val="79993017"/>
    <w:rsid w:val="79A128CE"/>
    <w:rsid w:val="79DE2FF1"/>
    <w:rsid w:val="79F929A6"/>
    <w:rsid w:val="7A023F6B"/>
    <w:rsid w:val="7A7226AF"/>
    <w:rsid w:val="7A971365"/>
    <w:rsid w:val="7AE837E3"/>
    <w:rsid w:val="7AEF51CB"/>
    <w:rsid w:val="7B081C9A"/>
    <w:rsid w:val="7B0C1162"/>
    <w:rsid w:val="7B344CA7"/>
    <w:rsid w:val="7BAF49F6"/>
    <w:rsid w:val="7BBC107B"/>
    <w:rsid w:val="7BDB4D25"/>
    <w:rsid w:val="7C304413"/>
    <w:rsid w:val="7C3A13FB"/>
    <w:rsid w:val="7C3B5127"/>
    <w:rsid w:val="7C6730DA"/>
    <w:rsid w:val="7D750B61"/>
    <w:rsid w:val="7D9B6771"/>
    <w:rsid w:val="7DBD7C50"/>
    <w:rsid w:val="7E0B3EED"/>
    <w:rsid w:val="7E5C2B1F"/>
    <w:rsid w:val="7EC40F71"/>
    <w:rsid w:val="7EF37C31"/>
    <w:rsid w:val="7F056143"/>
    <w:rsid w:val="7F362E0C"/>
    <w:rsid w:val="7F3A6B56"/>
    <w:rsid w:val="7F3C7129"/>
    <w:rsid w:val="7F413799"/>
    <w:rsid w:val="7F7F5721"/>
    <w:rsid w:val="7FBE329C"/>
    <w:rsid w:val="7FC3364F"/>
    <w:rsid w:val="7FD40BD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autoRedefine/>
    <w:semiHidden/>
    <w:unhideWhenUsed/>
    <w:qFormat/>
    <w:uiPriority w:val="0"/>
    <w:pPr>
      <w:jc w:val="left"/>
    </w:pPr>
  </w:style>
  <w:style w:type="paragraph" w:styleId="3">
    <w:name w:val="Body Text Indent"/>
    <w:basedOn w:val="1"/>
    <w:link w:val="17"/>
    <w:autoRedefine/>
    <w:qFormat/>
    <w:uiPriority w:val="0"/>
    <w:pPr>
      <w:spacing w:after="120"/>
      <w:ind w:left="420" w:leftChars="200"/>
    </w:pPr>
  </w:style>
  <w:style w:type="paragraph" w:styleId="4">
    <w:name w:val="Balloon Text"/>
    <w:basedOn w:val="1"/>
    <w:link w:val="16"/>
    <w:autoRedefine/>
    <w:qFormat/>
    <w:uiPriority w:val="0"/>
    <w:rPr>
      <w:sz w:val="18"/>
      <w:szCs w:val="18"/>
    </w:rPr>
  </w:style>
  <w:style w:type="paragraph" w:styleId="5">
    <w:name w:val="footer"/>
    <w:basedOn w:val="1"/>
    <w:link w:val="15"/>
    <w:autoRedefine/>
    <w:qFormat/>
    <w:uiPriority w:val="99"/>
    <w:pPr>
      <w:tabs>
        <w:tab w:val="center" w:pos="4153"/>
        <w:tab w:val="right" w:pos="8306"/>
      </w:tabs>
      <w:snapToGrid w:val="0"/>
      <w:jc w:val="left"/>
    </w:pPr>
    <w:rPr>
      <w:sz w:val="18"/>
      <w:szCs w:val="18"/>
    </w:rPr>
  </w:style>
  <w:style w:type="paragraph" w:styleId="6">
    <w:name w:val="header"/>
    <w:basedOn w:val="1"/>
    <w:link w:val="14"/>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qFormat/>
    <w:uiPriority w:val="0"/>
  </w:style>
  <w:style w:type="paragraph" w:styleId="8">
    <w:name w:val="Normal (Web)"/>
    <w:basedOn w:val="1"/>
    <w:autoRedefine/>
    <w:unhideWhenUsed/>
    <w:qFormat/>
    <w:uiPriority w:val="99"/>
    <w:pPr>
      <w:spacing w:beforeAutospacing="1" w:afterAutospacing="1"/>
      <w:jc w:val="left"/>
    </w:pPr>
    <w:rPr>
      <w:rFonts w:cs="Times New Roman"/>
      <w:kern w:val="0"/>
      <w:sz w:val="24"/>
    </w:rPr>
  </w:style>
  <w:style w:type="paragraph" w:styleId="9">
    <w:name w:val="Body Text First Indent 2"/>
    <w:basedOn w:val="3"/>
    <w:next w:val="1"/>
    <w:link w:val="18"/>
    <w:autoRedefine/>
    <w:qFormat/>
    <w:uiPriority w:val="0"/>
    <w:pPr>
      <w:adjustRightInd w:val="0"/>
      <w:ind w:left="0" w:leftChars="0" w:firstLine="880" w:firstLineChars="200"/>
    </w:pPr>
    <w:rPr>
      <w:rFonts w:ascii="Calibri" w:hAnsi="Calibri" w:eastAsia="仿宋" w:cs="Times New Roman"/>
      <w:sz w:val="32"/>
    </w:rPr>
  </w:style>
  <w:style w:type="character" w:styleId="12">
    <w:name w:val="page number"/>
    <w:basedOn w:val="11"/>
    <w:autoRedefine/>
    <w:qFormat/>
    <w:uiPriority w:val="0"/>
  </w:style>
  <w:style w:type="paragraph" w:customStyle="1" w:styleId="13">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14">
    <w:name w:val="页眉 Char"/>
    <w:basedOn w:val="11"/>
    <w:link w:val="6"/>
    <w:autoRedefine/>
    <w:qFormat/>
    <w:uiPriority w:val="0"/>
    <w:rPr>
      <w:rFonts w:asciiTheme="minorHAnsi" w:hAnsiTheme="minorHAnsi" w:eastAsiaTheme="minorEastAsia" w:cstheme="minorBidi"/>
      <w:kern w:val="2"/>
      <w:sz w:val="18"/>
      <w:szCs w:val="18"/>
    </w:rPr>
  </w:style>
  <w:style w:type="character" w:customStyle="1" w:styleId="15">
    <w:name w:val="页脚 Char"/>
    <w:basedOn w:val="11"/>
    <w:link w:val="5"/>
    <w:autoRedefine/>
    <w:qFormat/>
    <w:uiPriority w:val="99"/>
    <w:rPr>
      <w:rFonts w:asciiTheme="minorHAnsi" w:hAnsiTheme="minorHAnsi" w:eastAsiaTheme="minorEastAsia" w:cstheme="minorBidi"/>
      <w:kern w:val="2"/>
      <w:sz w:val="18"/>
      <w:szCs w:val="18"/>
    </w:rPr>
  </w:style>
  <w:style w:type="character" w:customStyle="1" w:styleId="16">
    <w:name w:val="批注框文本 Char"/>
    <w:basedOn w:val="11"/>
    <w:link w:val="4"/>
    <w:autoRedefine/>
    <w:qFormat/>
    <w:uiPriority w:val="0"/>
    <w:rPr>
      <w:rFonts w:asciiTheme="minorHAnsi" w:hAnsiTheme="minorHAnsi" w:eastAsiaTheme="minorEastAsia" w:cstheme="minorBidi"/>
      <w:kern w:val="2"/>
      <w:sz w:val="18"/>
      <w:szCs w:val="18"/>
    </w:rPr>
  </w:style>
  <w:style w:type="character" w:customStyle="1" w:styleId="17">
    <w:name w:val="正文文本缩进 Char"/>
    <w:basedOn w:val="11"/>
    <w:link w:val="3"/>
    <w:autoRedefine/>
    <w:qFormat/>
    <w:uiPriority w:val="0"/>
    <w:rPr>
      <w:rFonts w:asciiTheme="minorHAnsi" w:hAnsiTheme="minorHAnsi" w:eastAsiaTheme="minorEastAsia" w:cstheme="minorBidi"/>
      <w:kern w:val="2"/>
      <w:sz w:val="21"/>
      <w:szCs w:val="22"/>
    </w:rPr>
  </w:style>
  <w:style w:type="character" w:customStyle="1" w:styleId="18">
    <w:name w:val="正文首行缩进 2 Char"/>
    <w:basedOn w:val="17"/>
    <w:link w:val="9"/>
    <w:autoRedefine/>
    <w:qFormat/>
    <w:uiPriority w:val="0"/>
    <w:rPr>
      <w:rFonts w:ascii="Calibri" w:hAnsi="Calibri" w:eastAsia="仿宋" w:cstheme="minorBidi"/>
      <w:kern w:val="2"/>
      <w:sz w:val="32"/>
      <w:szCs w:val="22"/>
    </w:rPr>
  </w:style>
  <w:style w:type="paragraph" w:customStyle="1" w:styleId="19">
    <w:name w:val="列出段落2"/>
    <w:basedOn w:val="1"/>
    <w:autoRedefine/>
    <w:qFormat/>
    <w:uiPriority w:val="34"/>
    <w:pPr>
      <w:ind w:firstLine="420" w:firstLineChars="200"/>
    </w:pPr>
  </w:style>
  <w:style w:type="paragraph" w:styleId="20">
    <w:name w:val="List Paragraph"/>
    <w:basedOn w:val="1"/>
    <w:autoRedefine/>
    <w:unhideWhenUsed/>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e4dae369-2b0c-4ee4-b647-72d73c1f8bb5</errorID>
      <errorWord>糖精钠</errorWord>
      <group>L1_Word</group>
      <groupName>字词问题</groupName>
      <ability>L2_Typo</ability>
      <abilityName>字词错误</abilityName>
      <candidateList>
        <item>糖钠</item>
      </candidateList>
      <explain/>
      <paraID>78924D57</paraID>
      <start>47</start>
      <end>50</end>
      <status>unmodified</status>
      <modifiedWord/>
      <trackRevisions>false</trackRevisions>
    </reviewItem>
    <reviewItem>
      <errorID>8c745395-9544-4828-963e-33f19592e8f5</errorID>
      <errorWord>硫磺熏蒸</errorWord>
      <group>L1_Word</group>
      <groupName>字词问题</groupName>
      <ability>L2_Alias</ability>
      <abilityName>也作/曾用词</abilityName>
      <candidateList>
        <item>硫黄熏蒸</item>
      </candidateList>
      <explain>词汇[硫磺熏蒸]为不规范表述或旧称，其规范书面表述为[硫黄熏蒸]。</explain>
      <paraID>3FED395B</paraID>
      <start>283</start>
      <end>287</end>
      <status>unmodified</status>
      <modifiedWord/>
      <trackRevisions>false</trackRevisions>
    </reviewItem>
    <reviewItem>
      <errorID>1d9d506c-355f-4c6a-9c73-1f7b9d1fad9e</errorID>
      <errorWord>安息香酸</errorWord>
      <group>L1_Knowledge</group>
      <groupName>知识性问题</groupName>
      <ability>L2_Term</ability>
      <abilityName>专业术语</abilityName>
      <candidateList>
        <item>苯甲酸</item>
      </candidateList>
      <explain>医学名词[安息香酸]为不规范表述或旧称，其规范书面表述为[苯甲酸]。</explain>
      <paraID>70DF326B</paraID>
      <start>5</start>
      <end>9</end>
      <status>unmodified</status>
      <modifiedWord/>
      <trackRevisions>false</trackRevisions>
    </reviewItem>
    <reviewItem>
      <errorID>7c6a2bc9-ff86-4f90-ad11-08a23343a2ce</errorID>
      <errorWord>条件致病菌</errorWord>
      <group>L1_Knowledge</group>
      <groupName>知识性问题</groupName>
      <ability>L2_Term</ability>
      <abilityName>专业术语</abilityName>
      <candidateList>
        <item>机会致病菌</item>
      </candidateList>
      <explain>医学名词[条件致病菌]为不规范表述或旧称，其规范书面表述为[机会致病菌]。</explain>
      <paraID>6280E703</paraID>
      <start>75</start>
      <end>80</end>
      <status>unmodified</status>
      <modifiedWord/>
      <trackRevisions>false</trackRevisions>
    </reviewItem>
    <reviewItem>
      <errorID>cbb30aa4-7b6c-4253-862b-17ed04cf3bf3</errorID>
      <errorWord>葵花籽</errorWord>
      <group>L1_Knowledge</group>
      <groupName>知识性问题</groupName>
      <ability>L2_Knowledge</ability>
      <abilityName>其他知识</abilityName>
      <candidateList>
        <item>葵花子</item>
      </candidateList>
      <explain/>
      <paraID>550485A0</paraID>
      <start>186</start>
      <end>189</end>
      <status>unmodified</status>
      <modifiedWord/>
      <trackRevisions>false</trackRevisions>
    </reviewItem>
    <reviewItem>
      <errorID>93b876b7-979c-4354-bac0-be6484522ede</errorID>
      <errorWord>-</errorWord>
      <group>L1_Format</group>
      <groupName>格式问题</groupName>
      <ability>L2_HalfPunc_CN</ability>
      <abilityName>全半角问题</abilityName>
      <candidateList>
        <item>－</item>
      </candidateList>
      <explain>文本全半角错误。</explain>
      <paraID>73A61272</paraID>
      <start>233</start>
      <end>234</end>
      <status>unmodified</status>
      <modifiedWord/>
      <trackRevisions>false</trackRevisions>
    </reviewItem>
    <reviewItem>
      <errorID>e62f2c03-6659-4122-9e4c-9d0058a918d9</errorID>
      <errorWord>干眼症</errorWord>
      <group>L1_Knowledge</group>
      <groupName>知识性问题</groupName>
      <ability>L2_Term</ability>
      <abilityName>专业术语</abilityName>
      <candidateList>
        <item>眼干燥症</item>
      </candidateList>
      <explain>医学名词[干眼症]为不规范表述或旧称，其规范书面表述为[眼干燥症]。</explain>
      <paraID> EF614B6</paraID>
      <start>43</start>
      <end>46</end>
      <status>unmodified</status>
      <modifiedWord/>
      <trackRevisions>false</trackRevisions>
    </reviewItem>
    <reviewItem>
      <errorID>423f730f-e98e-41f3-bdc8-22db75865708</errorID>
      <errorWord>食欲不振</errorWord>
      <group>L1_Knowledge</group>
      <groupName>知识性问题</groupName>
      <ability>L2_Term</ability>
      <abilityName>专业术语</abilityName>
      <candidateList>
        <item>食欲缺乏</item>
      </candidateList>
      <explain>医学名词[食欲不振]为不规范表述或旧称，其规范书面表述为[食欲缺乏]。</explain>
      <paraID> A8210CD</paraID>
      <start>70</start>
      <end>74</end>
      <status>unmodified</status>
      <modifiedWord/>
      <trackRevisions>false</trackRevisions>
    </reviewItem>
    <reviewItem>
      <errorID>db6ffc11-6a72-44d8-acab-417b06af724d</errorID>
      <errorWord>-</errorWord>
      <group>L1_Format</group>
      <groupName>格式问题</groupName>
      <ability>L2_HalfPunc_CN</ability>
      <abilityName>全半角问题</abilityName>
      <candidateList>
        <item>－</item>
      </candidateList>
      <explain>文本全半角错误。</explain>
      <paraID> A8210CD</paraID>
      <start>86</start>
      <end>87</end>
      <status>unmodified</status>
      <modifiedWord/>
      <trackRevisions>false</trackRevisions>
    </reviewItem>
    <reviewItem>
      <errorID>eda7834f-75d6-4c30-be20-66010341f813</errorID>
      <errorWord>缺乏病</errorWord>
      <group>L1_Word</group>
      <groupName>字词问题</groupName>
      <ability>L2_Typo</ability>
      <abilityName>字词错误</abilityName>
      <candidateList>
        <item>缺乏症</item>
      </candidateList>
      <explain/>
      <paraID>1082C820</paraID>
      <start>64</start>
      <end>67</end>
      <status>unmodified</status>
      <modifiedWord/>
      <trackRevisions>false</trackRevisions>
    </reviewItem>
  </reviewItems>
  <config/>
</contractReview>
</file>

<file path=customXml/itemProps1.xml><?xml version="1.0" encoding="utf-8"?>
<ds:datastoreItem xmlns:ds="http://schemas.openxmlformats.org/officeDocument/2006/customXml" ds:itemID="{85cf78d9-0a9f-4377-8a15-548032b93fa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9733</Words>
  <Characters>10615</Characters>
  <Lines>9</Lines>
  <Paragraphs>2</Paragraphs>
  <TotalTime>17</TotalTime>
  <ScaleCrop>false</ScaleCrop>
  <LinksUpToDate>false</LinksUpToDate>
  <CharactersWithSpaces>10733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2021-01-12T01:57:00Z</dcterms:created>
  <dc:creator>ywk-rx</dc:creator>
  <cp:lastModifiedBy>aly</cp:lastModifiedBy>
  <cp:lastPrinted>2024-06-12T06:27:00Z</cp:lastPrinted>
  <dcterms:modified xsi:type="dcterms:W3CDTF">2026-07-17T06:16:55Z</dcterms:modified>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29F04CB6A1E449C4AE566C60BC03B728_13</vt:lpwstr>
  </property>
  <property fmtid="{D5CDD505-2E9C-101B-9397-08002B2CF9AE}" pid="4" name="KSOTemplateDocerSaveRecord">
    <vt:lpwstr>eyJoZGlkIjoiMTg1Nzk0NGJjYjlhZTdmZjU0YmM5NTY3ODhkYTUwMzciLCJ1c2VySWQiOiI2NDk3NTE4MjIifQ==</vt:lpwstr>
  </property>
</Properties>
</file>