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jc w:val="both"/>
        <w:rPr>
          <w:rFonts w:hint="default" w:ascii="Times New Roman" w:hAnsi="Times New Roman" w:eastAsia="黑体" w:cs="Times New Roman"/>
          <w:sz w:val="32"/>
          <w:szCs w:val="32"/>
          <w:lang w:val="en-US" w:eastAsia="zh-CN"/>
        </w:rPr>
      </w:pPr>
      <w:bookmarkStart w:id="11" w:name="_GoBack"/>
      <w:bookmarkEnd w:id="11"/>
      <w:r>
        <w:rPr>
          <w:rFonts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w:t>
      </w:r>
    </w:p>
    <w:p>
      <w:pPr>
        <w:spacing w:line="594" w:lineRule="exact"/>
        <w:jc w:val="both"/>
        <w:rPr>
          <w:rFonts w:ascii="Times New Roman" w:hAnsi="Times New Roman" w:eastAsia="方正小标宋简体" w:cs="Times New Roman"/>
          <w:sz w:val="44"/>
          <w:szCs w:val="44"/>
        </w:rPr>
      </w:pPr>
    </w:p>
    <w:p>
      <w:pPr>
        <w:spacing w:line="594"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可可及</w:t>
      </w:r>
      <w:r>
        <w:rPr>
          <w:rFonts w:ascii="Times New Roman" w:hAnsi="Times New Roman" w:eastAsia="方正小标宋简体" w:cs="Times New Roman"/>
          <w:sz w:val="44"/>
          <w:szCs w:val="44"/>
        </w:rPr>
        <w:t>焙</w:t>
      </w:r>
      <w:r>
        <w:rPr>
          <w:rFonts w:hint="eastAsia" w:ascii="Times New Roman" w:hAnsi="Times New Roman" w:eastAsia="方正小标宋简体" w:cs="Times New Roman"/>
          <w:sz w:val="44"/>
          <w:szCs w:val="44"/>
        </w:rPr>
        <w:t>炒</w:t>
      </w:r>
      <w:r>
        <w:rPr>
          <w:rFonts w:ascii="Times New Roman" w:hAnsi="Times New Roman" w:eastAsia="方正小标宋简体" w:cs="Times New Roman"/>
          <w:sz w:val="44"/>
          <w:szCs w:val="44"/>
        </w:rPr>
        <w:t>咖啡产品</w:t>
      </w:r>
      <w:r>
        <w:rPr>
          <w:rFonts w:hint="eastAsia" w:ascii="Times New Roman" w:hAnsi="Times New Roman" w:eastAsia="方正小标宋简体" w:cs="Times New Roman"/>
          <w:sz w:val="44"/>
          <w:szCs w:val="44"/>
        </w:rPr>
        <w:t>生产许可审查细则</w:t>
      </w:r>
    </w:p>
    <w:p>
      <w:pPr>
        <w:spacing w:line="594" w:lineRule="exact"/>
        <w:jc w:val="center"/>
        <w:rPr>
          <w:rFonts w:hint="eastAsia" w:ascii="楷体" w:hAnsi="楷体" w:eastAsia="楷体" w:cs="楷体"/>
          <w:sz w:val="32"/>
          <w:szCs w:val="32"/>
        </w:rPr>
      </w:pPr>
      <w:r>
        <w:rPr>
          <w:rFonts w:hint="eastAsia" w:ascii="楷体" w:hAnsi="楷体" w:eastAsia="楷体" w:cs="楷体"/>
          <w:sz w:val="32"/>
          <w:szCs w:val="32"/>
        </w:rPr>
        <w:t>（征求意见稿）</w:t>
      </w:r>
    </w:p>
    <w:p>
      <w:pPr>
        <w:spacing w:line="594" w:lineRule="exact"/>
        <w:ind w:firstLine="880" w:firstLineChars="200"/>
        <w:jc w:val="both"/>
        <w:rPr>
          <w:rFonts w:ascii="Times New Roman" w:hAnsi="Times New Roman" w:eastAsia="方正小标宋简体" w:cs="Times New Roman"/>
          <w:sz w:val="44"/>
          <w:szCs w:val="44"/>
        </w:rPr>
      </w:pPr>
    </w:p>
    <w:p>
      <w:pPr>
        <w:spacing w:line="594" w:lineRule="exact"/>
        <w:jc w:val="center"/>
        <w:rPr>
          <w:rFonts w:ascii="Times New Roman" w:hAnsi="Times New Roman" w:eastAsia="黑体" w:cs="Times New Roman"/>
          <w:sz w:val="32"/>
          <w:szCs w:val="32"/>
        </w:rPr>
      </w:pPr>
      <w:bookmarkStart w:id="0" w:name="_Toc83971196"/>
      <w:r>
        <w:rPr>
          <w:rFonts w:ascii="Times New Roman" w:hAnsi="Times New Roman" w:eastAsia="黑体" w:cs="Times New Roman"/>
          <w:sz w:val="32"/>
          <w:szCs w:val="32"/>
        </w:rPr>
        <w:t>第一章</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总则</w:t>
      </w:r>
      <w:bookmarkEnd w:id="0"/>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第一条 </w:t>
      </w:r>
      <w:r>
        <w:rPr>
          <w:rFonts w:ascii="Times New Roman" w:hAnsi="Times New Roman" w:eastAsia="仿宋_GB2312"/>
          <w:kern w:val="0"/>
          <w:sz w:val="32"/>
          <w:szCs w:val="32"/>
        </w:rPr>
        <w:t>为了加强可可及焙炒咖啡产品生产许可审查工作，依据《中华人民共和国食品安全法》《中华人民共和国食品安全法实施条例》《食品生产许可管理办法》及相关食品安全国家标准等规定，制定《可可及焙炒咖啡产品生产许可审查细则》</w:t>
      </w:r>
      <w:r>
        <w:rPr>
          <w:rFonts w:hint="eastAsia" w:ascii="Times New Roman" w:hAnsi="Times New Roman" w:eastAsia="仿宋_GB2312"/>
          <w:kern w:val="0"/>
          <w:sz w:val="32"/>
          <w:szCs w:val="32"/>
        </w:rPr>
        <w:t>（</w:t>
      </w:r>
      <w:r>
        <w:rPr>
          <w:rFonts w:ascii="Times New Roman" w:hAnsi="Times New Roman" w:eastAsia="仿宋_GB2312"/>
          <w:kern w:val="0"/>
          <w:sz w:val="32"/>
          <w:szCs w:val="32"/>
        </w:rPr>
        <w:t>以下简称《细则》</w:t>
      </w:r>
      <w:r>
        <w:rPr>
          <w:rFonts w:hint="eastAsia" w:ascii="Times New Roman" w:hAnsi="Times New Roman" w:eastAsia="仿宋_GB2312"/>
          <w:kern w:val="0"/>
          <w:sz w:val="32"/>
          <w:szCs w:val="32"/>
        </w:rPr>
        <w:t>）</w:t>
      </w:r>
      <w:r>
        <w:rPr>
          <w:rFonts w:ascii="Times New Roman" w:hAnsi="Times New Roman" w:eastAsia="仿宋_GB2312"/>
          <w:kern w:val="0"/>
          <w:sz w:val="32"/>
          <w:szCs w:val="32"/>
        </w:rPr>
        <w:t>。</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第二条 </w:t>
      </w:r>
      <w:r>
        <w:rPr>
          <w:rFonts w:hint="eastAsia" w:ascii="Times New Roman" w:hAnsi="Times New Roman" w:eastAsia="仿宋_GB2312"/>
          <w:kern w:val="0"/>
          <w:sz w:val="32"/>
          <w:szCs w:val="32"/>
        </w:rPr>
        <w:t>本《细则》适用于可可及焙</w:t>
      </w:r>
      <w:r>
        <w:rPr>
          <w:rFonts w:ascii="Times New Roman" w:hAnsi="Times New Roman" w:eastAsia="仿宋_GB2312"/>
          <w:kern w:val="0"/>
          <w:sz w:val="32"/>
          <w:szCs w:val="32"/>
        </w:rPr>
        <w:t>炒</w:t>
      </w:r>
      <w:r>
        <w:rPr>
          <w:rFonts w:hint="eastAsia" w:ascii="Times New Roman" w:hAnsi="Times New Roman" w:eastAsia="仿宋_GB2312"/>
          <w:kern w:val="0"/>
          <w:sz w:val="32"/>
          <w:szCs w:val="32"/>
        </w:rPr>
        <w:t>咖啡产品生产许可审查工作，应结合《食品生产许可审查通则》使用。</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第三条 </w:t>
      </w:r>
      <w:r>
        <w:rPr>
          <w:rFonts w:hint="eastAsia" w:ascii="Times New Roman" w:hAnsi="Times New Roman" w:eastAsia="仿宋_GB2312"/>
          <w:kern w:val="0"/>
          <w:sz w:val="32"/>
          <w:szCs w:val="32"/>
        </w:rPr>
        <w:t>可可及焙</w:t>
      </w:r>
      <w:r>
        <w:rPr>
          <w:rFonts w:ascii="Times New Roman" w:hAnsi="Times New Roman" w:eastAsia="仿宋_GB2312"/>
          <w:kern w:val="0"/>
          <w:sz w:val="32"/>
          <w:szCs w:val="32"/>
        </w:rPr>
        <w:t>炒</w:t>
      </w:r>
      <w:r>
        <w:rPr>
          <w:rFonts w:hint="eastAsia" w:ascii="Times New Roman" w:hAnsi="Times New Roman" w:eastAsia="仿宋_GB2312"/>
          <w:kern w:val="0"/>
          <w:sz w:val="32"/>
          <w:szCs w:val="32"/>
        </w:rPr>
        <w:t>咖啡产品包括两类，分别为可可制品，类别编号</w:t>
      </w:r>
      <w:r>
        <w:rPr>
          <w:rFonts w:ascii="Times New Roman" w:hAnsi="Times New Roman" w:eastAsia="仿宋_GB2312"/>
          <w:kern w:val="0"/>
          <w:sz w:val="32"/>
          <w:szCs w:val="32"/>
        </w:rPr>
        <w:t>2001</w:t>
      </w:r>
      <w:r>
        <w:rPr>
          <w:rFonts w:hint="eastAsia" w:ascii="Times New Roman" w:hAnsi="Times New Roman" w:eastAsia="仿宋_GB2312"/>
          <w:kern w:val="0"/>
          <w:sz w:val="32"/>
          <w:szCs w:val="32"/>
        </w:rPr>
        <w:t>；焙</w:t>
      </w:r>
      <w:r>
        <w:rPr>
          <w:rFonts w:ascii="Times New Roman" w:hAnsi="Times New Roman" w:eastAsia="仿宋_GB2312"/>
          <w:kern w:val="0"/>
          <w:sz w:val="32"/>
          <w:szCs w:val="32"/>
        </w:rPr>
        <w:t>炒</w:t>
      </w:r>
      <w:r>
        <w:rPr>
          <w:rFonts w:hint="eastAsia" w:ascii="Times New Roman" w:hAnsi="Times New Roman" w:eastAsia="仿宋_GB2312"/>
          <w:kern w:val="0"/>
          <w:sz w:val="32"/>
          <w:szCs w:val="32"/>
        </w:rPr>
        <w:t>咖啡，类别编号</w:t>
      </w:r>
      <w:r>
        <w:rPr>
          <w:rFonts w:ascii="Times New Roman" w:hAnsi="Times New Roman" w:eastAsia="仿宋_GB2312"/>
          <w:kern w:val="0"/>
          <w:sz w:val="32"/>
          <w:szCs w:val="32"/>
        </w:rPr>
        <w:t>2002</w:t>
      </w:r>
      <w:r>
        <w:rPr>
          <w:rFonts w:hint="eastAsia" w:ascii="Times New Roman" w:hAnsi="Times New Roman" w:eastAsia="仿宋_GB2312"/>
          <w:kern w:val="0"/>
          <w:sz w:val="32"/>
          <w:szCs w:val="32"/>
        </w:rPr>
        <w:t>。可可及焙</w:t>
      </w:r>
      <w:r>
        <w:rPr>
          <w:rFonts w:ascii="Times New Roman" w:hAnsi="Times New Roman" w:eastAsia="仿宋_GB2312"/>
          <w:kern w:val="0"/>
          <w:sz w:val="32"/>
          <w:szCs w:val="32"/>
        </w:rPr>
        <w:t>炒</w:t>
      </w:r>
      <w:r>
        <w:rPr>
          <w:rFonts w:hint="eastAsia" w:ascii="Times New Roman" w:hAnsi="Times New Roman" w:eastAsia="仿宋_GB2312"/>
          <w:kern w:val="0"/>
          <w:sz w:val="32"/>
          <w:szCs w:val="32"/>
        </w:rPr>
        <w:t>咖啡产品生产许可类别目录及定义见表</w:t>
      </w:r>
      <w:r>
        <w:rPr>
          <w:rFonts w:ascii="Times New Roman" w:hAnsi="Times New Roman" w:eastAsia="仿宋_GB2312"/>
          <w:kern w:val="0"/>
          <w:sz w:val="32"/>
          <w:szCs w:val="32"/>
        </w:rPr>
        <w:t>1</w:t>
      </w:r>
      <w:r>
        <w:rPr>
          <w:rFonts w:hint="eastAsia" w:ascii="Times New Roman" w:hAnsi="Times New Roman" w:eastAsia="仿宋_GB2312"/>
          <w:kern w:val="0"/>
          <w:sz w:val="32"/>
          <w:szCs w:val="32"/>
        </w:rPr>
        <w:t>。</w:t>
      </w:r>
    </w:p>
    <w:p>
      <w:pPr>
        <w:tabs>
          <w:tab w:val="left" w:pos="0"/>
          <w:tab w:val="left" w:pos="425"/>
        </w:tabs>
        <w:spacing w:line="594" w:lineRule="exact"/>
        <w:jc w:val="center"/>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表</w:t>
      </w:r>
      <w:r>
        <w:rPr>
          <w:rFonts w:ascii="Times New Roman" w:hAnsi="Times New Roman" w:eastAsia="仿宋_GB2312" w:cs="Times New Roman"/>
          <w:b/>
          <w:bCs/>
          <w:sz w:val="28"/>
          <w:szCs w:val="28"/>
        </w:rPr>
        <w:t xml:space="preserve">1 </w:t>
      </w:r>
      <w:r>
        <w:rPr>
          <w:rFonts w:hint="eastAsia" w:ascii="Times New Roman" w:hAnsi="Times New Roman" w:eastAsia="仿宋_GB2312" w:cs="Times New Roman"/>
          <w:b/>
          <w:bCs/>
          <w:sz w:val="28"/>
          <w:szCs w:val="28"/>
        </w:rPr>
        <w:t>可可及焙炒咖啡产品生产许可类别目录及定义</w:t>
      </w:r>
    </w:p>
    <w:tbl>
      <w:tblPr>
        <w:tblStyle w:val="23"/>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337"/>
        <w:gridCol w:w="2325"/>
        <w:gridCol w:w="3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blHeader/>
          <w:jc w:val="center"/>
        </w:trPr>
        <w:tc>
          <w:tcPr>
            <w:tcW w:w="118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食品类别</w:t>
            </w:r>
          </w:p>
        </w:tc>
        <w:tc>
          <w:tcPr>
            <w:tcW w:w="133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类别名称</w:t>
            </w:r>
          </w:p>
        </w:tc>
        <w:tc>
          <w:tcPr>
            <w:tcW w:w="23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品种明细</w:t>
            </w:r>
          </w:p>
        </w:tc>
        <w:tc>
          <w:tcPr>
            <w:tcW w:w="394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88" w:type="dxa"/>
            <w:vMerge w:val="restart"/>
            <w:tcBorders>
              <w:top w:val="single" w:color="auto" w:sz="4" w:space="0"/>
              <w:left w:val="single" w:color="auto" w:sz="4" w:space="0"/>
              <w:right w:val="single" w:color="auto" w:sz="4" w:space="0"/>
            </w:tcBorders>
            <w:vAlign w:val="center"/>
          </w:tcPr>
          <w:p>
            <w:pPr>
              <w:adjustRightInd w:val="0"/>
              <w:snapToGrid w:val="0"/>
              <w:spacing w:after="200" w:line="360" w:lineRule="exact"/>
              <w:jc w:val="center"/>
              <w:rPr>
                <w:rFonts w:ascii="Times New Roman" w:hAnsi="Times New Roman" w:eastAsia="仿宋_GB2312" w:cs="Times New Roman"/>
              </w:rPr>
            </w:pPr>
            <w:r>
              <w:rPr>
                <w:rFonts w:hint="eastAsia" w:ascii="Times New Roman" w:hAnsi="Times New Roman" w:eastAsia="仿宋_GB2312" w:cs="Times New Roman"/>
              </w:rPr>
              <w:t>可可及焙炒咖啡产品</w:t>
            </w:r>
          </w:p>
        </w:tc>
        <w:tc>
          <w:tcPr>
            <w:tcW w:w="13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center"/>
              <w:rPr>
                <w:rFonts w:ascii="Times New Roman" w:hAnsi="Times New Roman" w:eastAsia="仿宋_GB2312" w:cs="Times New Roman"/>
              </w:rPr>
            </w:pPr>
            <w:r>
              <w:rPr>
                <w:rFonts w:hint="eastAsia" w:ascii="Times New Roman" w:hAnsi="Times New Roman" w:eastAsia="仿宋_GB2312" w:cs="Times New Roman"/>
              </w:rPr>
              <w:t>可可制品</w:t>
            </w:r>
          </w:p>
        </w:tc>
        <w:tc>
          <w:tcPr>
            <w:tcW w:w="23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center"/>
              <w:rPr>
                <w:rFonts w:ascii="Times New Roman" w:hAnsi="Times New Roman" w:eastAsia="仿宋_GB2312" w:cs="Times New Roman"/>
              </w:rPr>
            </w:pPr>
            <w:r>
              <w:rPr>
                <w:rFonts w:hint="eastAsia" w:ascii="Times New Roman" w:hAnsi="Times New Roman" w:eastAsia="仿宋_GB2312" w:cs="Times New Roman"/>
              </w:rPr>
              <w:t>可可粉、可可脂、可可液块、可可饼块、其他</w:t>
            </w:r>
          </w:p>
        </w:tc>
        <w:tc>
          <w:tcPr>
            <w:tcW w:w="3949"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s="Times New Roman"/>
              </w:rPr>
            </w:pPr>
            <w:bookmarkStart w:id="1" w:name="OLE_LINK6"/>
            <w:bookmarkStart w:id="2" w:name="OLE_LINK5"/>
            <w:r>
              <w:rPr>
                <w:rFonts w:hint="eastAsia" w:ascii="Times New Roman" w:hAnsi="Times New Roman" w:eastAsia="仿宋_GB2312" w:cs="Times New Roman"/>
              </w:rPr>
              <w:t>可可粉：以可可饼块为原料</w:t>
            </w:r>
            <w:r>
              <w:rPr>
                <w:rFonts w:ascii="Times New Roman" w:hAnsi="Times New Roman" w:eastAsia="仿宋_GB2312" w:cs="Times New Roman"/>
              </w:rPr>
              <w:t>，经碱化或不碱化及粉</w:t>
            </w:r>
            <w:r>
              <w:rPr>
                <w:rFonts w:hint="eastAsia" w:ascii="Times New Roman" w:hAnsi="Times New Roman" w:eastAsia="仿宋_GB2312" w:cs="Times New Roman"/>
              </w:rPr>
              <w:t>化工序</w:t>
            </w:r>
            <w:r>
              <w:rPr>
                <w:rFonts w:ascii="Times New Roman" w:hAnsi="Times New Roman" w:eastAsia="仿宋_GB2312" w:cs="Times New Roman"/>
              </w:rPr>
              <w:t>制成的产品</w:t>
            </w:r>
            <w:r>
              <w:rPr>
                <w:rFonts w:hint="eastAsia" w:ascii="Times New Roman" w:hAnsi="Times New Roman" w:eastAsia="仿宋_GB2312" w:cs="Times New Roman"/>
              </w:rPr>
              <w:t>。</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可可脂：以可可豆为原料，经清理、筛选、焙炒、脱壳、磨浆、机榨等工序制成的产品。</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可可液块：以可可仁为原料，经碱化（或不碱化）、研磨等工序制成的产品。</w:t>
            </w:r>
          </w:p>
          <w:bookmarkEnd w:id="1"/>
          <w:bookmarkEnd w:id="2"/>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可可饼块：以可可仁或</w:t>
            </w:r>
            <w:r>
              <w:rPr>
                <w:rFonts w:ascii="Times New Roman" w:hAnsi="Times New Roman" w:eastAsia="仿宋_GB2312" w:cs="Times New Roman"/>
              </w:rPr>
              <w:t>可可液块</w:t>
            </w:r>
            <w:r>
              <w:rPr>
                <w:rFonts w:hint="eastAsia" w:ascii="Times New Roman" w:hAnsi="Times New Roman" w:eastAsia="仿宋_GB2312" w:cs="Times New Roman"/>
              </w:rPr>
              <w:t>为原料，经碱化（或不碱化）、机榨等工序制成的产品。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1188" w:type="dxa"/>
            <w:vMerge w:val="continue"/>
            <w:tcBorders>
              <w:left w:val="single" w:color="auto" w:sz="4" w:space="0"/>
              <w:right w:val="single" w:color="auto" w:sz="4" w:space="0"/>
            </w:tcBorders>
            <w:vAlign w:val="center"/>
          </w:tcPr>
          <w:p>
            <w:pPr>
              <w:adjustRightInd w:val="0"/>
              <w:snapToGrid w:val="0"/>
              <w:spacing w:after="200" w:line="360" w:lineRule="exact"/>
              <w:jc w:val="center"/>
              <w:rPr>
                <w:rFonts w:ascii="Times New Roman" w:hAnsi="Times New Roman" w:eastAsia="仿宋_GB2312" w:cs="Times New Roman"/>
              </w:rPr>
            </w:pPr>
          </w:p>
        </w:tc>
        <w:tc>
          <w:tcPr>
            <w:tcW w:w="13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center"/>
              <w:rPr>
                <w:rFonts w:ascii="Times New Roman" w:hAnsi="Times New Roman" w:eastAsia="仿宋_GB2312" w:cs="Times New Roman"/>
              </w:rPr>
            </w:pPr>
            <w:r>
              <w:rPr>
                <w:rFonts w:hint="eastAsia" w:ascii="Times New Roman" w:hAnsi="Times New Roman" w:eastAsia="仿宋_GB2312" w:cs="Times New Roman"/>
              </w:rPr>
              <w:t>焙炒咖啡</w:t>
            </w:r>
          </w:p>
        </w:tc>
        <w:tc>
          <w:tcPr>
            <w:tcW w:w="23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rPr>
            </w:pPr>
            <w:r>
              <w:rPr>
                <w:rFonts w:hint="eastAsia" w:ascii="Times New Roman" w:hAnsi="Times New Roman" w:eastAsia="仿宋_GB2312" w:cs="Times New Roman"/>
              </w:rPr>
              <w:t>焙炒咖啡豆、咖啡粉、其他</w:t>
            </w:r>
          </w:p>
        </w:tc>
        <w:tc>
          <w:tcPr>
            <w:tcW w:w="3949"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焙炒咖啡豆：以脱或不脱咖啡因的生咖啡为原料，经过焙炒</w:t>
            </w:r>
            <w:r>
              <w:rPr>
                <w:rFonts w:ascii="Times New Roman" w:hAnsi="Times New Roman" w:eastAsia="仿宋_GB2312" w:cs="Times New Roman"/>
              </w:rPr>
              <w:t>制成的整粒豆不磨</w:t>
            </w:r>
            <w:r>
              <w:rPr>
                <w:rFonts w:hint="eastAsia" w:ascii="Times New Roman" w:hAnsi="Times New Roman" w:eastAsia="仿宋_GB2312" w:cs="Times New Roman"/>
              </w:rPr>
              <w:t>碎</w:t>
            </w:r>
            <w:r>
              <w:rPr>
                <w:rFonts w:ascii="Times New Roman" w:hAnsi="Times New Roman" w:eastAsia="仿宋_GB2312" w:cs="Times New Roman"/>
              </w:rPr>
              <w:t>的产品。</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咖啡粉：以脱或不脱咖啡因的生咖啡为原料，经过焙炒、</w:t>
            </w:r>
            <w:r>
              <w:rPr>
                <w:rFonts w:ascii="Times New Roman" w:hAnsi="Times New Roman" w:eastAsia="仿宋_GB2312" w:cs="Times New Roman"/>
              </w:rPr>
              <w:t>研磨制成的产品。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799" w:type="dxa"/>
            <w:gridSpan w:val="4"/>
            <w:tcBorders>
              <w:left w:val="single" w:color="auto" w:sz="4" w:space="0"/>
              <w:right w:val="single" w:color="auto" w:sz="4" w:space="0"/>
            </w:tcBorders>
            <w:vAlign w:val="center"/>
          </w:tcPr>
          <w:p>
            <w:pPr>
              <w:pStyle w:val="32"/>
              <w:spacing w:line="594" w:lineRule="exact"/>
              <w:ind w:firstLine="0" w:firstLineChars="0"/>
              <w:rPr>
                <w:rFonts w:ascii="Times New Roman" w:hAnsi="Times New Roman"/>
                <w:sz w:val="24"/>
              </w:rPr>
            </w:pPr>
            <w:r>
              <w:rPr>
                <w:rFonts w:hint="eastAsia" w:ascii="Times New Roman" w:hAnsi="Times New Roman" w:eastAsia="仿宋_GB2312"/>
                <w:sz w:val="24"/>
                <w:lang w:eastAsia="zh-CN"/>
              </w:rPr>
              <w:t>备</w:t>
            </w:r>
            <w:r>
              <w:rPr>
                <w:rFonts w:hint="eastAsia" w:ascii="Times New Roman" w:hAnsi="Times New Roman" w:eastAsia="仿宋_GB2312"/>
                <w:sz w:val="24"/>
              </w:rPr>
              <w:t>注</w:t>
            </w:r>
            <w:r>
              <w:rPr>
                <w:rFonts w:ascii="Times New Roman" w:hAnsi="Times New Roman" w:eastAsia="仿宋_GB2312"/>
                <w:sz w:val="24"/>
              </w:rPr>
              <w:t>：</w:t>
            </w:r>
            <w:r>
              <w:rPr>
                <w:rFonts w:hint="eastAsia" w:ascii="Times New Roman" w:hAnsi="Times New Roman" w:eastAsia="仿宋_GB2312"/>
                <w:sz w:val="24"/>
              </w:rPr>
              <w:t>可可仁：以</w:t>
            </w:r>
            <w:r>
              <w:rPr>
                <w:rFonts w:ascii="Times New Roman" w:hAnsi="Times New Roman" w:eastAsia="仿宋_GB2312"/>
                <w:sz w:val="24"/>
              </w:rPr>
              <w:t>可可豆</w:t>
            </w:r>
            <w:r>
              <w:rPr>
                <w:rFonts w:hint="eastAsia" w:ascii="Times New Roman" w:hAnsi="Times New Roman" w:eastAsia="仿宋_GB2312"/>
                <w:sz w:val="24"/>
              </w:rPr>
              <w:t>为原料</w:t>
            </w:r>
            <w:r>
              <w:rPr>
                <w:rFonts w:ascii="Times New Roman" w:hAnsi="Times New Roman" w:eastAsia="仿宋_GB2312"/>
                <w:sz w:val="24"/>
              </w:rPr>
              <w:t>，经清理、</w:t>
            </w:r>
            <w:r>
              <w:rPr>
                <w:rFonts w:hint="eastAsia" w:ascii="Times New Roman" w:hAnsi="Times New Roman" w:eastAsia="仿宋_GB2312"/>
                <w:sz w:val="24"/>
              </w:rPr>
              <w:t>筛选</w:t>
            </w:r>
            <w:r>
              <w:rPr>
                <w:rFonts w:ascii="Times New Roman" w:hAnsi="Times New Roman" w:eastAsia="仿宋_GB2312"/>
                <w:sz w:val="24"/>
              </w:rPr>
              <w:t>、</w:t>
            </w:r>
            <w:r>
              <w:rPr>
                <w:rFonts w:hint="eastAsia" w:ascii="Times New Roman" w:hAnsi="Times New Roman" w:eastAsia="仿宋_GB2312"/>
                <w:sz w:val="24"/>
              </w:rPr>
              <w:t>焙炒</w:t>
            </w:r>
            <w:r>
              <w:rPr>
                <w:rFonts w:ascii="Times New Roman" w:hAnsi="Times New Roman" w:eastAsia="仿宋_GB2312"/>
                <w:sz w:val="24"/>
              </w:rPr>
              <w:t>、脱壳等工序制成的产品。</w:t>
            </w:r>
          </w:p>
        </w:tc>
      </w:tr>
    </w:tbl>
    <w:p>
      <w:pPr>
        <w:pStyle w:val="8"/>
        <w:spacing w:line="594" w:lineRule="exact"/>
        <w:ind w:firstLine="640" w:firstLineChars="200"/>
        <w:rPr>
          <w:rFonts w:ascii="Times New Roman" w:hAnsi="Times New Roman"/>
          <w:kern w:val="0"/>
          <w:sz w:val="32"/>
          <w:szCs w:val="32"/>
        </w:rPr>
      </w:pPr>
      <w:r>
        <w:rPr>
          <w:rFonts w:ascii="Times New Roman" w:hAnsi="Times New Roman" w:eastAsia="黑体"/>
          <w:kern w:val="0"/>
          <w:sz w:val="32"/>
          <w:szCs w:val="32"/>
        </w:rPr>
        <w:t>第四条</w:t>
      </w:r>
      <w:r>
        <w:rPr>
          <w:rFonts w:hint="eastAsia" w:ascii="Times New Roman" w:hAnsi="Times New Roman" w:eastAsia="黑体"/>
          <w:kern w:val="0"/>
          <w:sz w:val="32"/>
          <w:szCs w:val="32"/>
        </w:rPr>
        <w:t xml:space="preserve"> </w:t>
      </w:r>
      <w:r>
        <w:rPr>
          <w:rFonts w:hint="eastAsia" w:ascii="Times New Roman" w:hAnsi="Times New Roman"/>
          <w:kern w:val="0"/>
          <w:sz w:val="32"/>
          <w:szCs w:val="32"/>
        </w:rPr>
        <w:t>不得将可可壳作为原料用于可可制品的生产。在可可豆加工（如破壳、去壳、筛选等）过程中，如因工艺原因不可避免地夹带极少量可可壳残留，且该残留符合相关食品安全标准和工艺合理限度要求的，不属于违规使用可可壳。焙炒咖啡生产</w:t>
      </w:r>
      <w:r>
        <w:rPr>
          <w:rFonts w:ascii="Times New Roman" w:hAnsi="Times New Roman"/>
          <w:kern w:val="0"/>
          <w:sz w:val="32"/>
          <w:szCs w:val="32"/>
        </w:rPr>
        <w:t>不得添加</w:t>
      </w:r>
      <w:r>
        <w:rPr>
          <w:rFonts w:hint="eastAsia" w:ascii="Times New Roman" w:hAnsi="Times New Roman"/>
          <w:kern w:val="0"/>
          <w:sz w:val="32"/>
          <w:szCs w:val="32"/>
        </w:rPr>
        <w:t>食品用香料、</w:t>
      </w:r>
      <w:r>
        <w:rPr>
          <w:rFonts w:ascii="Times New Roman" w:hAnsi="Times New Roman"/>
          <w:kern w:val="0"/>
          <w:sz w:val="32"/>
          <w:szCs w:val="32"/>
        </w:rPr>
        <w:t>香精。</w:t>
      </w:r>
    </w:p>
    <w:p>
      <w:pPr>
        <w:pStyle w:val="8"/>
        <w:spacing w:line="594" w:lineRule="exact"/>
        <w:ind w:firstLine="640" w:firstLineChars="200"/>
        <w:rPr>
          <w:rFonts w:ascii="Times New Roman" w:hAnsi="Times New Roman"/>
          <w:kern w:val="0"/>
          <w:sz w:val="32"/>
          <w:szCs w:val="32"/>
        </w:rPr>
      </w:pPr>
      <w:r>
        <w:rPr>
          <w:rFonts w:hint="eastAsia" w:ascii="Times New Roman" w:hAnsi="Times New Roman" w:eastAsia="黑体"/>
          <w:kern w:val="0"/>
          <w:sz w:val="32"/>
          <w:szCs w:val="32"/>
        </w:rPr>
        <w:t xml:space="preserve">第五条 </w:t>
      </w:r>
      <w:r>
        <w:rPr>
          <w:rFonts w:hint="eastAsia" w:ascii="Times New Roman" w:hAnsi="Times New Roman"/>
          <w:kern w:val="0"/>
          <w:sz w:val="32"/>
          <w:szCs w:val="32"/>
        </w:rPr>
        <w:t>可可制品不允许分装，焙炒咖啡允许分装。法律法规另有规定的，从其规定。</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第六条 </w:t>
      </w:r>
      <w:r>
        <w:rPr>
          <w:rFonts w:hint="eastAsia" w:ascii="Times New Roman" w:hAnsi="Times New Roman" w:eastAsia="仿宋_GB2312"/>
          <w:kern w:val="0"/>
          <w:sz w:val="32"/>
          <w:szCs w:val="32"/>
        </w:rPr>
        <w:t>本《细则》引用的标准、文件应采用</w:t>
      </w:r>
      <w:r>
        <w:rPr>
          <w:rFonts w:hint="eastAsia" w:ascii="Times New Roman" w:hAnsi="Times New Roman" w:eastAsia="仿宋_GB2312"/>
          <w:kern w:val="0"/>
          <w:sz w:val="32"/>
          <w:szCs w:val="32"/>
          <w:lang w:eastAsia="zh-CN"/>
        </w:rPr>
        <w:t>现行有效的</w:t>
      </w:r>
      <w:r>
        <w:rPr>
          <w:rFonts w:hint="eastAsia" w:ascii="Times New Roman" w:hAnsi="Times New Roman" w:eastAsia="仿宋_GB2312"/>
          <w:kern w:val="0"/>
          <w:sz w:val="32"/>
          <w:szCs w:val="32"/>
        </w:rPr>
        <w:t>最新版本（包括标准修改单）。主要文件及标准见附件</w:t>
      </w:r>
      <w:r>
        <w:rPr>
          <w:rFonts w:ascii="Times New Roman" w:hAnsi="Times New Roman" w:eastAsia="仿宋_GB2312"/>
          <w:kern w:val="0"/>
          <w:sz w:val="32"/>
          <w:szCs w:val="32"/>
        </w:rPr>
        <w:t>1</w:t>
      </w:r>
      <w:r>
        <w:rPr>
          <w:rFonts w:hint="eastAsia" w:ascii="Times New Roman" w:hAnsi="Times New Roman" w:eastAsia="仿宋_GB2312"/>
          <w:kern w:val="0"/>
          <w:sz w:val="32"/>
          <w:szCs w:val="32"/>
        </w:rPr>
        <w:t>。</w:t>
      </w:r>
    </w:p>
    <w:p>
      <w:pPr>
        <w:widowControl w:val="0"/>
        <w:spacing w:line="594" w:lineRule="exact"/>
        <w:jc w:val="center"/>
        <w:rPr>
          <w:rFonts w:ascii="Times New Roman" w:hAnsi="Times New Roman" w:eastAsia="黑体" w:cs="Times New Roman"/>
          <w:sz w:val="32"/>
          <w:szCs w:val="32"/>
        </w:rPr>
      </w:pPr>
      <w:bookmarkStart w:id="3" w:name="_Toc83971197"/>
      <w:r>
        <w:rPr>
          <w:rFonts w:hint="eastAsia" w:ascii="Times New Roman" w:hAnsi="Times New Roman" w:eastAsia="黑体" w:cs="Times New Roman"/>
          <w:sz w:val="32"/>
          <w:szCs w:val="32"/>
        </w:rPr>
        <w:t>第二章 生产场所</w:t>
      </w:r>
      <w:bookmarkEnd w:id="3"/>
    </w:p>
    <w:p>
      <w:pPr>
        <w:pStyle w:val="8"/>
        <w:spacing w:line="594" w:lineRule="exact"/>
        <w:ind w:firstLine="640" w:firstLineChars="200"/>
        <w:rPr>
          <w:rFonts w:ascii="Times New Roman" w:hAnsi="Times New Roman"/>
          <w:kern w:val="0"/>
          <w:sz w:val="32"/>
          <w:szCs w:val="32"/>
        </w:rPr>
      </w:pPr>
      <w:r>
        <w:rPr>
          <w:rFonts w:hint="eastAsia" w:ascii="Times New Roman" w:hAnsi="Times New Roman" w:eastAsia="黑体"/>
          <w:kern w:val="0"/>
          <w:sz w:val="32"/>
          <w:szCs w:val="32"/>
        </w:rPr>
        <w:t xml:space="preserve">第七条 </w:t>
      </w:r>
      <w:r>
        <w:rPr>
          <w:rFonts w:ascii="Times New Roman" w:hAnsi="Times New Roman"/>
          <w:kern w:val="0"/>
          <w:sz w:val="32"/>
          <w:szCs w:val="32"/>
        </w:rPr>
        <w:t>厂区、厂房和车间、库房要求应符合《食品安全国家标准 食品生产通用卫生规范》（GB 14881）中生产场所相关规定。</w:t>
      </w:r>
    </w:p>
    <w:p>
      <w:pPr>
        <w:pStyle w:val="8"/>
        <w:spacing w:line="594" w:lineRule="exact"/>
        <w:ind w:firstLine="640" w:firstLineChars="200"/>
        <w:rPr>
          <w:rFonts w:ascii="Times New Roman" w:hAnsi="Times New Roman"/>
          <w:kern w:val="0"/>
          <w:sz w:val="32"/>
          <w:szCs w:val="32"/>
        </w:rPr>
      </w:pPr>
      <w:r>
        <w:rPr>
          <w:rFonts w:hint="eastAsia" w:ascii="Times New Roman" w:hAnsi="Times New Roman" w:eastAsia="黑体"/>
          <w:kern w:val="0"/>
          <w:sz w:val="32"/>
          <w:szCs w:val="32"/>
        </w:rPr>
        <w:t xml:space="preserve">第八条 </w:t>
      </w:r>
      <w:r>
        <w:rPr>
          <w:rFonts w:ascii="Times New Roman" w:hAnsi="Times New Roman"/>
          <w:kern w:val="0"/>
          <w:sz w:val="32"/>
          <w:szCs w:val="32"/>
        </w:rPr>
        <w:t>企业应根据产品特点及工艺要求设置相应的生产场所。常规生产场所见表2。</w:t>
      </w:r>
    </w:p>
    <w:p>
      <w:pPr>
        <w:pStyle w:val="8"/>
        <w:spacing w:line="520" w:lineRule="exact"/>
        <w:jc w:val="center"/>
        <w:rPr>
          <w:rFonts w:ascii="Times New Roman" w:hAnsi="Times New Roman"/>
          <w:b/>
          <w:bCs/>
          <w:sz w:val="28"/>
          <w:szCs w:val="28"/>
        </w:rPr>
      </w:pPr>
      <w:r>
        <w:rPr>
          <w:rFonts w:ascii="Times New Roman" w:hAnsi="Times New Roman"/>
          <w:b/>
          <w:bCs/>
          <w:sz w:val="28"/>
          <w:szCs w:val="28"/>
        </w:rPr>
        <w:t xml:space="preserve">表2 </w:t>
      </w:r>
      <w:r>
        <w:rPr>
          <w:rFonts w:hint="eastAsia" w:ascii="Times New Roman" w:hAnsi="Times New Roman"/>
          <w:b/>
          <w:bCs/>
          <w:sz w:val="28"/>
          <w:szCs w:val="28"/>
        </w:rPr>
        <w:t>可可及焙炒咖啡产品</w:t>
      </w:r>
      <w:r>
        <w:rPr>
          <w:rFonts w:ascii="Times New Roman" w:hAnsi="Times New Roman"/>
          <w:b/>
          <w:bCs/>
          <w:sz w:val="28"/>
          <w:szCs w:val="28"/>
        </w:rPr>
        <w:t>常规生产场所</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1"/>
        <w:gridCol w:w="7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blHeader/>
        </w:trPr>
        <w:tc>
          <w:tcPr>
            <w:tcW w:w="1167" w:type="pct"/>
            <w:tcBorders>
              <w:top w:val="single" w:color="auto" w:sz="6" w:space="0"/>
              <w:left w:val="single" w:color="auto" w:sz="6" w:space="0"/>
              <w:bottom w:val="single" w:color="auto" w:sz="4" w:space="0"/>
            </w:tcBorders>
            <w:vAlign w:val="center"/>
          </w:tcPr>
          <w:p>
            <w:pPr>
              <w:pStyle w:val="8"/>
              <w:spacing w:line="240" w:lineRule="auto"/>
              <w:jc w:val="center"/>
              <w:rPr>
                <w:rFonts w:hint="default" w:ascii="Times New Roman" w:hAnsi="Times New Roman" w:eastAsia="黑体"/>
                <w:b w:val="0"/>
                <w:bCs w:val="0"/>
              </w:rPr>
            </w:pPr>
            <w:r>
              <w:rPr>
                <w:rFonts w:hint="default" w:ascii="Times New Roman" w:hAnsi="Times New Roman" w:eastAsia="黑体"/>
                <w:b w:val="0"/>
                <w:bCs w:val="0"/>
              </w:rPr>
              <w:t>产品类别名称</w:t>
            </w:r>
          </w:p>
        </w:tc>
        <w:tc>
          <w:tcPr>
            <w:tcW w:w="3832" w:type="pct"/>
            <w:tcBorders>
              <w:top w:val="single" w:color="auto" w:sz="6" w:space="0"/>
              <w:bottom w:val="single" w:color="auto" w:sz="4" w:space="0"/>
              <w:right w:val="single" w:color="auto" w:sz="6" w:space="0"/>
            </w:tcBorders>
            <w:vAlign w:val="center"/>
          </w:tcPr>
          <w:p>
            <w:pPr>
              <w:pStyle w:val="8"/>
              <w:spacing w:line="240" w:lineRule="auto"/>
              <w:ind w:left="1920"/>
              <w:jc w:val="center"/>
              <w:rPr>
                <w:rFonts w:hint="default" w:ascii="Times New Roman" w:hAnsi="Times New Roman" w:eastAsia="黑体"/>
                <w:b w:val="0"/>
                <w:bCs w:val="0"/>
              </w:rPr>
            </w:pPr>
            <w:r>
              <w:rPr>
                <w:rFonts w:hint="default" w:ascii="Times New Roman" w:hAnsi="Times New Roman" w:eastAsia="黑体"/>
                <w:b w:val="0"/>
                <w:bCs w:val="0"/>
              </w:rPr>
              <w:t>常规生产场所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pct"/>
            <w:tcBorders>
              <w:top w:val="single" w:color="auto" w:sz="4" w:space="0"/>
            </w:tcBorders>
            <w:vAlign w:val="center"/>
          </w:tcPr>
          <w:p>
            <w:pPr>
              <w:pStyle w:val="8"/>
              <w:spacing w:line="240" w:lineRule="auto"/>
              <w:ind w:left="22"/>
              <w:jc w:val="center"/>
              <w:rPr>
                <w:rFonts w:ascii="Times New Roman" w:hAnsi="Times New Roman"/>
                <w:b w:val="0"/>
                <w:bCs/>
              </w:rPr>
            </w:pPr>
            <w:r>
              <w:rPr>
                <w:rFonts w:hint="eastAsia" w:ascii="Times New Roman" w:hAnsi="Times New Roman"/>
                <w:b w:val="0"/>
                <w:bCs/>
              </w:rPr>
              <w:t>可可粉</w:t>
            </w:r>
          </w:p>
        </w:tc>
        <w:tc>
          <w:tcPr>
            <w:tcW w:w="3832" w:type="pct"/>
            <w:tcBorders>
              <w:top w:val="single" w:color="auto" w:sz="4" w:space="0"/>
            </w:tcBorders>
            <w:vAlign w:val="center"/>
          </w:tcPr>
          <w:p>
            <w:pPr>
              <w:pStyle w:val="8"/>
              <w:spacing w:line="240" w:lineRule="auto"/>
              <w:rPr>
                <w:rFonts w:ascii="Times New Roman" w:hAnsi="Times New Roman"/>
              </w:rPr>
            </w:pPr>
            <w:r>
              <w:rPr>
                <w:rFonts w:hint="eastAsia" w:ascii="Times New Roman" w:hAnsi="Times New Roman"/>
              </w:rPr>
              <w:t>一般包括原料验收区、粉碎区、包装间及仓库等。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7" w:type="pct"/>
            <w:tcBorders>
              <w:top w:val="single" w:color="auto" w:sz="4" w:space="0"/>
            </w:tcBorders>
            <w:vAlign w:val="center"/>
          </w:tcPr>
          <w:p>
            <w:pPr>
              <w:pStyle w:val="8"/>
              <w:spacing w:line="240" w:lineRule="auto"/>
              <w:ind w:left="22"/>
              <w:jc w:val="center"/>
              <w:rPr>
                <w:rFonts w:ascii="Times New Roman" w:hAnsi="Times New Roman"/>
                <w:b w:val="0"/>
                <w:bCs/>
              </w:rPr>
            </w:pPr>
            <w:r>
              <w:rPr>
                <w:rFonts w:hint="eastAsia" w:ascii="Times New Roman" w:hAnsi="Times New Roman"/>
                <w:b w:val="0"/>
                <w:bCs/>
              </w:rPr>
              <w:t>可可脂</w:t>
            </w:r>
          </w:p>
        </w:tc>
        <w:tc>
          <w:tcPr>
            <w:tcW w:w="3832" w:type="pct"/>
            <w:tcBorders>
              <w:top w:val="single" w:color="auto" w:sz="4" w:space="0"/>
            </w:tcBorders>
            <w:vAlign w:val="center"/>
          </w:tcPr>
          <w:p>
            <w:pPr>
              <w:pStyle w:val="8"/>
              <w:spacing w:line="240" w:lineRule="auto"/>
              <w:rPr>
                <w:rFonts w:ascii="Times New Roman" w:hAnsi="Times New Roman"/>
              </w:rPr>
            </w:pPr>
            <w:r>
              <w:rPr>
                <w:rFonts w:hint="eastAsia" w:ascii="Times New Roman" w:hAnsi="Times New Roman"/>
              </w:rPr>
              <w:t>一般</w:t>
            </w:r>
            <w:r>
              <w:rPr>
                <w:rFonts w:hint="eastAsia" w:ascii="Times New Roman" w:hAnsi="Times New Roman"/>
                <w:lang w:eastAsia="zh-CN"/>
              </w:rPr>
              <w:t>包括</w:t>
            </w:r>
            <w:r>
              <w:rPr>
                <w:rFonts w:hint="eastAsia" w:ascii="Times New Roman" w:hAnsi="Times New Roman"/>
              </w:rPr>
              <w:t>原料验收区、原料处理区、半成品加工区</w:t>
            </w:r>
            <w:r>
              <w:rPr>
                <w:rFonts w:hint="default" w:ascii="Times New Roman" w:hAnsi="Times New Roman"/>
              </w:rPr>
              <w:t>［</w:t>
            </w:r>
            <w:r>
              <w:rPr>
                <w:rFonts w:hint="eastAsia" w:ascii="Times New Roman" w:hAnsi="Times New Roman"/>
              </w:rPr>
              <w:t>包括焙炒、破碎、壳仁分离、研磨、机榨、过滤</w:t>
            </w:r>
            <w:r>
              <w:rPr>
                <w:rFonts w:ascii="Times New Roman" w:hAnsi="Times New Roman"/>
              </w:rPr>
              <w:t>、冷却</w:t>
            </w:r>
            <w:r>
              <w:rPr>
                <w:rFonts w:hint="eastAsia" w:ascii="Times New Roman" w:hAnsi="Times New Roman"/>
              </w:rPr>
              <w:t>等工序</w:t>
            </w:r>
            <w:r>
              <w:rPr>
                <w:rFonts w:hint="default" w:ascii="Times New Roman" w:hAnsi="Times New Roman"/>
              </w:rPr>
              <w:t>］</w:t>
            </w:r>
            <w:r>
              <w:rPr>
                <w:rFonts w:hint="eastAsia" w:ascii="Times New Roman" w:hAnsi="Times New Roman"/>
              </w:rPr>
              <w:t>、包装间及仓库等。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7" w:type="pct"/>
            <w:tcBorders>
              <w:top w:val="single" w:color="auto" w:sz="4" w:space="0"/>
            </w:tcBorders>
            <w:vAlign w:val="center"/>
          </w:tcPr>
          <w:p>
            <w:pPr>
              <w:pStyle w:val="8"/>
              <w:spacing w:line="240" w:lineRule="auto"/>
              <w:ind w:left="22"/>
              <w:jc w:val="center"/>
              <w:rPr>
                <w:rFonts w:ascii="Times New Roman" w:hAnsi="Times New Roman"/>
                <w:b w:val="0"/>
                <w:bCs/>
              </w:rPr>
            </w:pPr>
            <w:r>
              <w:rPr>
                <w:rFonts w:hint="eastAsia" w:ascii="Times New Roman" w:hAnsi="Times New Roman"/>
                <w:b w:val="0"/>
                <w:bCs/>
              </w:rPr>
              <w:t>可可液块</w:t>
            </w:r>
          </w:p>
        </w:tc>
        <w:tc>
          <w:tcPr>
            <w:tcW w:w="3832" w:type="pct"/>
            <w:tcBorders>
              <w:top w:val="single" w:color="auto" w:sz="4" w:space="0"/>
            </w:tcBorders>
            <w:vAlign w:val="center"/>
          </w:tcPr>
          <w:p>
            <w:pPr>
              <w:pStyle w:val="8"/>
              <w:spacing w:line="240" w:lineRule="auto"/>
              <w:rPr>
                <w:rFonts w:ascii="Times New Roman" w:hAnsi="Times New Roman"/>
              </w:rPr>
            </w:pPr>
            <w:r>
              <w:rPr>
                <w:rFonts w:hint="eastAsia" w:ascii="Times New Roman" w:hAnsi="Times New Roman"/>
              </w:rPr>
              <w:t>一般</w:t>
            </w:r>
            <w:r>
              <w:rPr>
                <w:rFonts w:hint="eastAsia" w:ascii="Times New Roman" w:hAnsi="Times New Roman"/>
                <w:lang w:eastAsia="zh-CN"/>
              </w:rPr>
              <w:t>包括</w:t>
            </w:r>
            <w:r>
              <w:rPr>
                <w:rFonts w:hint="eastAsia" w:ascii="Times New Roman" w:hAnsi="Times New Roman"/>
              </w:rPr>
              <w:t>原料验收区、原料处理区、半成品加工区</w:t>
            </w:r>
            <w:r>
              <w:rPr>
                <w:rFonts w:hint="default" w:ascii="Times New Roman" w:hAnsi="Times New Roman"/>
              </w:rPr>
              <w:t>［</w:t>
            </w:r>
            <w:r>
              <w:rPr>
                <w:rFonts w:hint="eastAsia" w:ascii="Times New Roman" w:hAnsi="Times New Roman"/>
              </w:rPr>
              <w:t>包括焙炒、破碎、壳仁分离、碱化（需要时）</w:t>
            </w:r>
            <w:r>
              <w:rPr>
                <w:rFonts w:ascii="Times New Roman" w:hAnsi="Times New Roman"/>
              </w:rPr>
              <w:t>、</w:t>
            </w:r>
            <w:r>
              <w:rPr>
                <w:rFonts w:hint="eastAsia" w:ascii="Times New Roman" w:hAnsi="Times New Roman"/>
              </w:rPr>
              <w:t>研磨、</w:t>
            </w:r>
            <w:r>
              <w:rPr>
                <w:rFonts w:ascii="Times New Roman" w:hAnsi="Times New Roman"/>
              </w:rPr>
              <w:t>冷却</w:t>
            </w:r>
            <w:r>
              <w:rPr>
                <w:rFonts w:hint="eastAsia" w:ascii="Times New Roman" w:hAnsi="Times New Roman"/>
              </w:rPr>
              <w:t>等工序</w:t>
            </w:r>
            <w:r>
              <w:rPr>
                <w:rFonts w:hint="default" w:ascii="Times New Roman" w:hAnsi="Times New Roman"/>
              </w:rPr>
              <w:t>］</w:t>
            </w:r>
            <w:r>
              <w:rPr>
                <w:rFonts w:hint="eastAsia" w:ascii="Times New Roman" w:hAnsi="Times New Roman"/>
              </w:rPr>
              <w:t>、包装间及仓库等。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pct"/>
            <w:tcBorders>
              <w:top w:val="single" w:color="auto" w:sz="4" w:space="0"/>
            </w:tcBorders>
            <w:vAlign w:val="center"/>
          </w:tcPr>
          <w:p>
            <w:pPr>
              <w:pStyle w:val="8"/>
              <w:spacing w:line="240" w:lineRule="auto"/>
              <w:ind w:left="22"/>
              <w:jc w:val="center"/>
              <w:rPr>
                <w:rFonts w:ascii="Times New Roman" w:hAnsi="Times New Roman"/>
                <w:b w:val="0"/>
                <w:bCs/>
              </w:rPr>
            </w:pPr>
            <w:r>
              <w:rPr>
                <w:rFonts w:hint="eastAsia" w:ascii="Times New Roman" w:hAnsi="Times New Roman"/>
                <w:b w:val="0"/>
                <w:bCs/>
              </w:rPr>
              <w:t>可可饼块</w:t>
            </w:r>
          </w:p>
        </w:tc>
        <w:tc>
          <w:tcPr>
            <w:tcW w:w="3832" w:type="pct"/>
            <w:tcBorders>
              <w:top w:val="single" w:color="auto" w:sz="4" w:space="0"/>
            </w:tcBorders>
            <w:vAlign w:val="center"/>
          </w:tcPr>
          <w:p>
            <w:pPr>
              <w:pStyle w:val="8"/>
              <w:spacing w:line="240" w:lineRule="auto"/>
              <w:rPr>
                <w:rFonts w:ascii="Times New Roman" w:hAnsi="Times New Roman"/>
              </w:rPr>
            </w:pPr>
            <w:r>
              <w:rPr>
                <w:rFonts w:hint="eastAsia" w:ascii="Times New Roman" w:hAnsi="Times New Roman"/>
              </w:rPr>
              <w:t>一般</w:t>
            </w:r>
            <w:r>
              <w:rPr>
                <w:rFonts w:hint="eastAsia" w:ascii="Times New Roman" w:hAnsi="Times New Roman"/>
                <w:lang w:eastAsia="zh-CN"/>
              </w:rPr>
              <w:t>包括</w:t>
            </w:r>
            <w:r>
              <w:rPr>
                <w:rFonts w:hint="eastAsia" w:ascii="Times New Roman" w:hAnsi="Times New Roman"/>
              </w:rPr>
              <w:t>原料验收区、原料处理区、半成品加工区</w:t>
            </w:r>
            <w:r>
              <w:rPr>
                <w:rFonts w:hint="default" w:ascii="Times New Roman" w:hAnsi="Times New Roman"/>
              </w:rPr>
              <w:t>［</w:t>
            </w:r>
            <w:r>
              <w:rPr>
                <w:rFonts w:hint="eastAsia" w:ascii="Times New Roman" w:hAnsi="Times New Roman"/>
              </w:rPr>
              <w:t>包括焙炒、破碎、壳仁分离、碱化（需要时）</w:t>
            </w:r>
            <w:r>
              <w:rPr>
                <w:rFonts w:ascii="Times New Roman" w:hAnsi="Times New Roman"/>
              </w:rPr>
              <w:t>、</w:t>
            </w:r>
            <w:r>
              <w:rPr>
                <w:rFonts w:hint="eastAsia" w:ascii="Times New Roman" w:hAnsi="Times New Roman"/>
              </w:rPr>
              <w:t>研磨、机榨等工序</w:t>
            </w:r>
            <w:r>
              <w:rPr>
                <w:rFonts w:hint="default" w:ascii="Times New Roman" w:hAnsi="Times New Roman"/>
              </w:rPr>
              <w:t>］</w:t>
            </w:r>
            <w:r>
              <w:rPr>
                <w:rFonts w:hint="eastAsia" w:ascii="Times New Roman" w:hAnsi="Times New Roman"/>
              </w:rPr>
              <w:t>、包装间及仓库等。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pct"/>
            <w:tcBorders>
              <w:top w:val="single" w:color="auto" w:sz="4" w:space="0"/>
            </w:tcBorders>
            <w:vAlign w:val="center"/>
          </w:tcPr>
          <w:p>
            <w:pPr>
              <w:pStyle w:val="8"/>
              <w:spacing w:line="240" w:lineRule="auto"/>
              <w:ind w:left="22"/>
              <w:jc w:val="center"/>
              <w:rPr>
                <w:rFonts w:ascii="Times New Roman" w:hAnsi="Times New Roman"/>
                <w:b w:val="0"/>
                <w:bCs/>
              </w:rPr>
            </w:pPr>
            <w:r>
              <w:rPr>
                <w:rFonts w:hint="eastAsia" w:ascii="Times New Roman" w:hAnsi="Times New Roman"/>
                <w:b w:val="0"/>
                <w:bCs/>
              </w:rPr>
              <w:t>焙炒咖啡豆</w:t>
            </w:r>
          </w:p>
        </w:tc>
        <w:tc>
          <w:tcPr>
            <w:tcW w:w="3832" w:type="pct"/>
            <w:tcBorders>
              <w:top w:val="single" w:color="auto" w:sz="4" w:space="0"/>
            </w:tcBorders>
            <w:vAlign w:val="center"/>
          </w:tcPr>
          <w:p>
            <w:pPr>
              <w:pStyle w:val="8"/>
              <w:spacing w:line="240" w:lineRule="auto"/>
              <w:rPr>
                <w:rFonts w:ascii="Times New Roman" w:hAnsi="Times New Roman"/>
              </w:rPr>
            </w:pPr>
            <w:r>
              <w:rPr>
                <w:rFonts w:hint="eastAsia" w:ascii="Times New Roman" w:hAnsi="Times New Roman"/>
              </w:rPr>
              <w:t>一般</w:t>
            </w:r>
            <w:r>
              <w:rPr>
                <w:rFonts w:hint="eastAsia" w:ascii="Times New Roman" w:hAnsi="Times New Roman"/>
                <w:lang w:eastAsia="zh-CN"/>
              </w:rPr>
              <w:t>包括</w:t>
            </w:r>
            <w:r>
              <w:rPr>
                <w:rFonts w:hint="eastAsia" w:ascii="Times New Roman" w:hAnsi="Times New Roman"/>
              </w:rPr>
              <w:t>原料验收区、原料处理区、半成品加工区</w:t>
            </w:r>
            <w:r>
              <w:rPr>
                <w:rFonts w:hint="default" w:ascii="Times New Roman" w:hAnsi="Times New Roman"/>
              </w:rPr>
              <w:t>［</w:t>
            </w:r>
            <w:r>
              <w:rPr>
                <w:rFonts w:hint="eastAsia" w:ascii="Times New Roman" w:hAnsi="Times New Roman"/>
              </w:rPr>
              <w:t>包括拼配（需要时）</w:t>
            </w:r>
            <w:r>
              <w:rPr>
                <w:rFonts w:ascii="Times New Roman" w:hAnsi="Times New Roman"/>
              </w:rPr>
              <w:t>、</w:t>
            </w:r>
            <w:r>
              <w:rPr>
                <w:rFonts w:hint="eastAsia" w:ascii="Times New Roman" w:hAnsi="Times New Roman"/>
              </w:rPr>
              <w:t>焙炒、冷却等工序</w:t>
            </w:r>
            <w:r>
              <w:rPr>
                <w:rFonts w:hint="default" w:ascii="Times New Roman" w:hAnsi="Times New Roman"/>
              </w:rPr>
              <w:t>］</w:t>
            </w:r>
            <w:r>
              <w:rPr>
                <w:rFonts w:hint="eastAsia" w:ascii="Times New Roman" w:hAnsi="Times New Roman"/>
              </w:rPr>
              <w:t>、包装间及仓库等。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pct"/>
            <w:tcBorders>
              <w:top w:val="single" w:color="auto" w:sz="4" w:space="0"/>
            </w:tcBorders>
            <w:vAlign w:val="center"/>
          </w:tcPr>
          <w:p>
            <w:pPr>
              <w:pStyle w:val="8"/>
              <w:spacing w:line="240" w:lineRule="auto"/>
              <w:ind w:left="22"/>
              <w:jc w:val="center"/>
              <w:rPr>
                <w:rFonts w:ascii="Times New Roman" w:hAnsi="Times New Roman"/>
                <w:b w:val="0"/>
                <w:bCs/>
              </w:rPr>
            </w:pPr>
            <w:r>
              <w:rPr>
                <w:rFonts w:hint="eastAsia" w:ascii="Times New Roman" w:hAnsi="Times New Roman"/>
                <w:b w:val="0"/>
                <w:bCs/>
              </w:rPr>
              <w:t>咖啡粉</w:t>
            </w:r>
          </w:p>
        </w:tc>
        <w:tc>
          <w:tcPr>
            <w:tcW w:w="3832" w:type="pct"/>
            <w:tcBorders>
              <w:top w:val="single" w:color="auto" w:sz="4" w:space="0"/>
            </w:tcBorders>
            <w:vAlign w:val="center"/>
          </w:tcPr>
          <w:p>
            <w:pPr>
              <w:pStyle w:val="8"/>
              <w:spacing w:line="240" w:lineRule="auto"/>
              <w:rPr>
                <w:rFonts w:hint="eastAsia" w:ascii="Times New Roman" w:hAnsi="Times New Roman" w:eastAsia="仿宋_GB2312"/>
                <w:lang w:eastAsia="zh-CN"/>
              </w:rPr>
            </w:pPr>
            <w:r>
              <w:rPr>
                <w:rFonts w:hint="eastAsia" w:ascii="Times New Roman" w:hAnsi="Times New Roman"/>
              </w:rPr>
              <w:t>一般</w:t>
            </w:r>
            <w:r>
              <w:rPr>
                <w:rFonts w:hint="eastAsia" w:ascii="Times New Roman" w:hAnsi="Times New Roman"/>
                <w:lang w:eastAsia="zh-CN"/>
              </w:rPr>
              <w:t>包括</w:t>
            </w:r>
            <w:r>
              <w:rPr>
                <w:rFonts w:hint="eastAsia" w:ascii="Times New Roman" w:hAnsi="Times New Roman"/>
              </w:rPr>
              <w:t>原料验收区、原料处理区、半成品加工区</w:t>
            </w:r>
            <w:r>
              <w:rPr>
                <w:rFonts w:hint="default" w:ascii="Times New Roman" w:hAnsi="Times New Roman"/>
              </w:rPr>
              <w:t>［</w:t>
            </w:r>
            <w:r>
              <w:rPr>
                <w:rFonts w:hint="eastAsia" w:ascii="Times New Roman" w:hAnsi="Times New Roman"/>
              </w:rPr>
              <w:t>包括拼配（需要时）</w:t>
            </w:r>
            <w:r>
              <w:rPr>
                <w:rFonts w:ascii="Times New Roman" w:hAnsi="Times New Roman"/>
              </w:rPr>
              <w:t>、</w:t>
            </w:r>
            <w:r>
              <w:rPr>
                <w:rFonts w:hint="eastAsia" w:ascii="Times New Roman" w:hAnsi="Times New Roman"/>
              </w:rPr>
              <w:t>焙炒、冷却、</w:t>
            </w:r>
            <w:r>
              <w:rPr>
                <w:rFonts w:ascii="Times New Roman" w:hAnsi="Times New Roman"/>
              </w:rPr>
              <w:t>磨粉</w:t>
            </w:r>
            <w:r>
              <w:rPr>
                <w:rFonts w:hint="eastAsia" w:ascii="Times New Roman" w:hAnsi="Times New Roman"/>
              </w:rPr>
              <w:t>等工序</w:t>
            </w:r>
            <w:r>
              <w:rPr>
                <w:rFonts w:hint="default" w:ascii="Times New Roman" w:hAnsi="Times New Roman"/>
              </w:rPr>
              <w:t>］</w:t>
            </w:r>
            <w:r>
              <w:rPr>
                <w:rFonts w:hint="eastAsia" w:ascii="Times New Roman" w:hAnsi="Times New Roman"/>
              </w:rPr>
              <w:t>、包装间及仓库等</w:t>
            </w:r>
            <w:r>
              <w:rPr>
                <w:rFonts w:hint="eastAsia" w:ascii="Times New Roman" w:hAnsi="Times New Roman"/>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2"/>
            <w:vAlign w:val="center"/>
          </w:tcPr>
          <w:p>
            <w:pPr>
              <w:pStyle w:val="8"/>
              <w:spacing w:line="240" w:lineRule="auto"/>
              <w:ind w:left="22"/>
              <w:rPr>
                <w:rFonts w:ascii="Times New Roman" w:hAnsi="Times New Roman"/>
              </w:rPr>
            </w:pPr>
            <w:r>
              <w:rPr>
                <w:rFonts w:hint="eastAsia" w:ascii="Times New Roman" w:hAnsi="Times New Roman"/>
                <w:lang w:eastAsia="zh-CN"/>
              </w:rPr>
              <w:t>备</w:t>
            </w:r>
            <w:r>
              <w:rPr>
                <w:rFonts w:ascii="Times New Roman" w:hAnsi="Times New Roman"/>
              </w:rPr>
              <w:t>注：本表所列场所为常规生产场所，企业可根据产品特点及工艺要求设置、调整</w:t>
            </w:r>
            <w:r>
              <w:rPr>
                <w:rFonts w:hint="eastAsia" w:ascii="Times New Roman" w:hAnsi="Times New Roman"/>
                <w:lang w:eastAsia="zh-CN"/>
              </w:rPr>
              <w:t>、优化</w:t>
            </w:r>
            <w:r>
              <w:rPr>
                <w:rFonts w:ascii="Times New Roman" w:hAnsi="Times New Roman"/>
              </w:rPr>
              <w:t>。</w:t>
            </w:r>
          </w:p>
        </w:tc>
      </w:tr>
    </w:tbl>
    <w:p>
      <w:pPr>
        <w:pStyle w:val="8"/>
        <w:spacing w:line="594" w:lineRule="exact"/>
        <w:ind w:firstLine="640" w:firstLineChars="200"/>
        <w:rPr>
          <w:rFonts w:ascii="Times New Roman" w:hAnsi="Times New Roman"/>
          <w:sz w:val="32"/>
          <w:szCs w:val="32"/>
        </w:rPr>
      </w:pPr>
      <w:r>
        <w:rPr>
          <w:rFonts w:hint="eastAsia" w:ascii="Times New Roman" w:hAnsi="Times New Roman" w:eastAsia="黑体"/>
          <w:kern w:val="0"/>
          <w:sz w:val="32"/>
          <w:szCs w:val="32"/>
        </w:rPr>
        <w:t>第九条</w:t>
      </w:r>
      <w:r>
        <w:rPr>
          <w:rFonts w:hint="eastAsia" w:ascii="Times New Roman" w:hAnsi="Times New Roman"/>
          <w:szCs w:val="32"/>
        </w:rPr>
        <w:t xml:space="preserve"> </w:t>
      </w:r>
      <w:r>
        <w:rPr>
          <w:rFonts w:ascii="Times New Roman" w:hAnsi="Times New Roman"/>
          <w:kern w:val="0"/>
          <w:sz w:val="32"/>
          <w:szCs w:val="32"/>
        </w:rPr>
        <w:t>生产车间应具有足够空间和高度，满足设备设施安装与维修、生产作业、卫生清洁、物料转运、采光与通风及卫生检查的需要。</w:t>
      </w:r>
    </w:p>
    <w:p>
      <w:pPr>
        <w:pStyle w:val="8"/>
        <w:spacing w:line="594" w:lineRule="exact"/>
        <w:ind w:firstLine="640" w:firstLineChars="200"/>
        <w:rPr>
          <w:rFonts w:ascii="Times New Roman" w:hAnsi="Times New Roman"/>
          <w:kern w:val="0"/>
          <w:sz w:val="32"/>
          <w:szCs w:val="32"/>
        </w:rPr>
      </w:pPr>
      <w:r>
        <w:rPr>
          <w:rFonts w:hint="eastAsia" w:ascii="Times New Roman" w:hAnsi="Times New Roman" w:eastAsia="黑体"/>
          <w:kern w:val="0"/>
          <w:sz w:val="32"/>
          <w:szCs w:val="32"/>
        </w:rPr>
        <w:t>第十条</w:t>
      </w:r>
      <w:r>
        <w:rPr>
          <w:rFonts w:hint="eastAsia" w:ascii="Times New Roman" w:hAnsi="Times New Roman"/>
          <w:kern w:val="0"/>
          <w:sz w:val="32"/>
          <w:szCs w:val="32"/>
        </w:rPr>
        <w:t xml:space="preserve"> </w:t>
      </w:r>
      <w:r>
        <w:rPr>
          <w:rFonts w:ascii="Times New Roman" w:hAnsi="Times New Roman"/>
          <w:kern w:val="0"/>
          <w:sz w:val="32"/>
          <w:szCs w:val="32"/>
        </w:rPr>
        <w:t>生产车间应与厂区污物处理设施分开并间隔适当距离。</w:t>
      </w:r>
    </w:p>
    <w:p>
      <w:pPr>
        <w:pStyle w:val="8"/>
        <w:spacing w:line="594" w:lineRule="exact"/>
        <w:ind w:firstLine="640" w:firstLineChars="200"/>
        <w:rPr>
          <w:rFonts w:ascii="Times New Roman" w:hAnsi="Times New Roman"/>
          <w:kern w:val="0"/>
          <w:sz w:val="32"/>
          <w:szCs w:val="32"/>
        </w:rPr>
      </w:pPr>
      <w:r>
        <w:rPr>
          <w:rFonts w:hint="eastAsia" w:ascii="Times New Roman" w:hAnsi="Times New Roman" w:eastAsia="黑体"/>
          <w:kern w:val="0"/>
          <w:sz w:val="32"/>
          <w:szCs w:val="32"/>
        </w:rPr>
        <w:t>第十一条</w:t>
      </w:r>
      <w:r>
        <w:rPr>
          <w:rFonts w:hint="eastAsia" w:ascii="Times New Roman" w:hAnsi="Times New Roman"/>
          <w:kern w:val="0"/>
          <w:sz w:val="32"/>
          <w:szCs w:val="32"/>
        </w:rPr>
        <w:t xml:space="preserve"> </w:t>
      </w:r>
      <w:r>
        <w:rPr>
          <w:rFonts w:ascii="Times New Roman" w:hAnsi="Times New Roman"/>
          <w:kern w:val="0"/>
          <w:sz w:val="32"/>
          <w:szCs w:val="32"/>
        </w:rPr>
        <w:t>生产车间内应设置专门区域存放加工废弃物。</w:t>
      </w:r>
    </w:p>
    <w:p>
      <w:pPr>
        <w:pStyle w:val="8"/>
        <w:spacing w:line="594" w:lineRule="exact"/>
        <w:ind w:firstLine="640" w:firstLineChars="200"/>
        <w:rPr>
          <w:rFonts w:ascii="Times New Roman" w:hAnsi="Times New Roman"/>
          <w:kern w:val="0"/>
          <w:sz w:val="32"/>
          <w:szCs w:val="32"/>
        </w:rPr>
      </w:pPr>
      <w:r>
        <w:rPr>
          <w:rFonts w:hint="eastAsia" w:ascii="Times New Roman" w:hAnsi="Times New Roman" w:eastAsia="黑体"/>
          <w:kern w:val="0"/>
          <w:sz w:val="32"/>
          <w:szCs w:val="32"/>
        </w:rPr>
        <w:t>第十二条</w:t>
      </w:r>
      <w:r>
        <w:rPr>
          <w:rFonts w:hint="eastAsia" w:ascii="Times New Roman" w:hAnsi="Times New Roman"/>
          <w:kern w:val="0"/>
          <w:sz w:val="32"/>
          <w:szCs w:val="32"/>
        </w:rPr>
        <w:t xml:space="preserve"> </w:t>
      </w:r>
      <w:r>
        <w:rPr>
          <w:rFonts w:ascii="Times New Roman" w:hAnsi="Times New Roman"/>
          <w:kern w:val="0"/>
          <w:sz w:val="32"/>
          <w:szCs w:val="32"/>
        </w:rPr>
        <w:t>生产车间应按生产工艺、卫生控制要求有序合理布局，根据生产流程、操作需要和清洁度要求进行分离或分隔，避免交叉污染。生产车间划分为清洁作业区、准清洁作业区和一般作业区，不同生产作业区之间应采取有效分隔。各生产作业区应有显著的标识加以区分。</w:t>
      </w:r>
      <w:r>
        <w:rPr>
          <w:rFonts w:hint="eastAsia" w:ascii="Times New Roman" w:hAnsi="Times New Roman"/>
          <w:kern w:val="0"/>
          <w:sz w:val="32"/>
          <w:szCs w:val="32"/>
        </w:rPr>
        <w:t>可可及焙炒咖啡产品</w:t>
      </w:r>
      <w:r>
        <w:rPr>
          <w:rFonts w:ascii="Times New Roman" w:hAnsi="Times New Roman"/>
          <w:kern w:val="0"/>
          <w:sz w:val="32"/>
          <w:szCs w:val="32"/>
        </w:rPr>
        <w:t>生产作业区划分要求见表3。</w:t>
      </w:r>
    </w:p>
    <w:p>
      <w:pPr>
        <w:spacing w:line="594"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b/>
          <w:bCs/>
          <w:sz w:val="28"/>
          <w:szCs w:val="28"/>
        </w:rPr>
        <w:t>表</w:t>
      </w:r>
      <w:r>
        <w:rPr>
          <w:rFonts w:ascii="Times New Roman" w:hAnsi="Times New Roman" w:eastAsia="仿宋_GB2312" w:cs="Times New Roman"/>
          <w:b/>
          <w:bCs/>
          <w:sz w:val="28"/>
          <w:szCs w:val="28"/>
        </w:rPr>
        <w:t xml:space="preserve">3 </w:t>
      </w:r>
      <w:r>
        <w:rPr>
          <w:rFonts w:hint="eastAsia" w:ascii="Times New Roman" w:hAnsi="Times New Roman" w:eastAsia="仿宋_GB2312" w:cs="Times New Roman"/>
          <w:b/>
          <w:bCs/>
          <w:sz w:val="28"/>
          <w:szCs w:val="28"/>
        </w:rPr>
        <w:t>可可及焙炒咖啡产品生产车间及作业区划分</w:t>
      </w:r>
    </w:p>
    <w:tbl>
      <w:tblPr>
        <w:tblStyle w:val="23"/>
        <w:tblW w:w="9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2552"/>
        <w:gridCol w:w="2835"/>
        <w:gridCol w:w="1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blHeader/>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594"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产品类别名称</w:t>
            </w:r>
          </w:p>
        </w:tc>
        <w:tc>
          <w:tcPr>
            <w:tcW w:w="2552" w:type="dxa"/>
            <w:tcBorders>
              <w:top w:val="single" w:color="auto" w:sz="4" w:space="0"/>
              <w:left w:val="single" w:color="auto" w:sz="4" w:space="0"/>
              <w:bottom w:val="single" w:color="auto" w:sz="4" w:space="0"/>
              <w:right w:val="single" w:color="auto" w:sz="4" w:space="0"/>
            </w:tcBorders>
            <w:vAlign w:val="center"/>
          </w:tcPr>
          <w:p>
            <w:pPr>
              <w:spacing w:line="594"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一般作业区</w:t>
            </w:r>
          </w:p>
        </w:tc>
        <w:tc>
          <w:tcPr>
            <w:tcW w:w="2835" w:type="dxa"/>
            <w:tcBorders>
              <w:top w:val="single" w:color="auto" w:sz="4" w:space="0"/>
              <w:left w:val="single" w:color="auto" w:sz="4" w:space="0"/>
              <w:bottom w:val="single" w:color="auto" w:sz="4" w:space="0"/>
              <w:right w:val="single" w:color="auto" w:sz="4" w:space="0"/>
            </w:tcBorders>
            <w:vAlign w:val="center"/>
          </w:tcPr>
          <w:p>
            <w:pPr>
              <w:spacing w:line="594"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准清洁作业区</w:t>
            </w:r>
          </w:p>
        </w:tc>
        <w:tc>
          <w:tcPr>
            <w:tcW w:w="1949" w:type="dxa"/>
            <w:tcBorders>
              <w:top w:val="single" w:color="auto" w:sz="4" w:space="0"/>
              <w:left w:val="single" w:color="auto" w:sz="4" w:space="0"/>
              <w:bottom w:val="single" w:color="auto" w:sz="4" w:space="0"/>
              <w:right w:val="single" w:color="auto" w:sz="4" w:space="0"/>
            </w:tcBorders>
          </w:tcPr>
          <w:p>
            <w:pPr>
              <w:spacing w:line="594"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清洁作业区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4" w:hRule="atLeast"/>
          <w:jc w:val="center"/>
        </w:trPr>
        <w:tc>
          <w:tcPr>
            <w:tcW w:w="1696" w:type="dxa"/>
            <w:tcBorders>
              <w:top w:val="single" w:color="auto" w:sz="4" w:space="0"/>
              <w:left w:val="single" w:color="auto" w:sz="4" w:space="0"/>
              <w:right w:val="single" w:color="auto" w:sz="4" w:space="0"/>
            </w:tcBorders>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可可制品</w:t>
            </w:r>
          </w:p>
        </w:tc>
        <w:tc>
          <w:tcPr>
            <w:tcW w:w="25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both"/>
              <w:rPr>
                <w:rFonts w:ascii="Times New Roman" w:hAnsi="Times New Roman" w:eastAsia="仿宋_GB2312" w:cs="Times New Roman"/>
              </w:rPr>
            </w:pPr>
            <w:r>
              <w:rPr>
                <w:rFonts w:hint="eastAsia" w:ascii="Times New Roman" w:hAnsi="Times New Roman" w:eastAsia="仿宋_GB2312" w:cs="Times New Roman"/>
              </w:rPr>
              <w:t>原料验收区（需要时）、原料仓库、原料处理区、外包装间、成品仓库、包装材料仓库等。</w:t>
            </w:r>
          </w:p>
        </w:tc>
        <w:tc>
          <w:tcPr>
            <w:tcW w:w="2835" w:type="dxa"/>
            <w:tcBorders>
              <w:top w:val="single" w:color="auto" w:sz="4" w:space="0"/>
              <w:left w:val="single" w:color="auto" w:sz="4" w:space="0"/>
              <w:bottom w:val="single" w:color="auto" w:sz="4" w:space="0"/>
              <w:right w:val="single" w:color="auto" w:sz="4" w:space="0"/>
            </w:tcBorders>
            <w:vAlign w:val="center"/>
          </w:tcPr>
          <w:p>
            <w:pPr>
              <w:jc w:val="both"/>
              <w:rPr>
                <w:rFonts w:ascii="Times New Roman" w:hAnsi="Times New Roman" w:eastAsia="仿宋_GB2312" w:cs="Times New Roman"/>
              </w:rPr>
            </w:pPr>
            <w:r>
              <w:rPr>
                <w:rFonts w:hint="eastAsia" w:ascii="Times New Roman" w:hAnsi="Times New Roman" w:eastAsia="仿宋_GB2312" w:cs="Times New Roman"/>
              </w:rPr>
              <w:t>半成品加工区</w:t>
            </w:r>
            <w:r>
              <w:rPr>
                <w:rFonts w:hint="default" w:ascii="Times New Roman" w:hAnsi="Times New Roman" w:eastAsia="仿宋_GB2312" w:cs="Times New Roman"/>
              </w:rPr>
              <w:t>［</w:t>
            </w:r>
            <w:r>
              <w:rPr>
                <w:rFonts w:hint="eastAsia" w:ascii="Times New Roman" w:hAnsi="Times New Roman" w:eastAsia="仿宋_GB2312" w:cs="Times New Roman"/>
              </w:rPr>
              <w:t>包括焙炒、破碎、壳仁分离、研磨、机榨（需要时）等工序</w:t>
            </w:r>
            <w:r>
              <w:rPr>
                <w:rFonts w:hint="default" w:ascii="Times New Roman" w:hAnsi="Times New Roman" w:eastAsia="仿宋_GB2312" w:cs="Times New Roman"/>
              </w:rPr>
              <w:t>］</w:t>
            </w:r>
            <w:r>
              <w:rPr>
                <w:rFonts w:hint="eastAsia" w:ascii="Times New Roman" w:hAnsi="Times New Roman" w:eastAsia="仿宋_GB2312" w:cs="Times New Roman"/>
              </w:rPr>
              <w:t>、粉碎区（需要时）、内包装材料消毒区（需要时）等。</w:t>
            </w:r>
          </w:p>
        </w:tc>
        <w:tc>
          <w:tcPr>
            <w:tcW w:w="194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Times New Roman" w:hAnsi="Times New Roman" w:eastAsia="仿宋_GB2312" w:cs="Times New Roman"/>
              </w:rPr>
            </w:pPr>
            <w:r>
              <w:rPr>
                <w:rFonts w:hint="eastAsia" w:ascii="Times New Roman" w:hAnsi="Times New Roman" w:eastAsia="仿宋_GB2312" w:cs="Times New Roman"/>
              </w:rPr>
              <w:t>内包装间等。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jc w:val="center"/>
        </w:trPr>
        <w:tc>
          <w:tcPr>
            <w:tcW w:w="1696" w:type="dxa"/>
            <w:tcBorders>
              <w:top w:val="single" w:color="auto" w:sz="4" w:space="0"/>
              <w:left w:val="single" w:color="auto" w:sz="4" w:space="0"/>
              <w:right w:val="single" w:color="auto" w:sz="4" w:space="0"/>
            </w:tcBorders>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焙炒咖啡</w:t>
            </w:r>
          </w:p>
        </w:tc>
        <w:tc>
          <w:tcPr>
            <w:tcW w:w="2552" w:type="dxa"/>
            <w:tcBorders>
              <w:top w:val="single" w:color="auto" w:sz="4" w:space="0"/>
              <w:left w:val="single" w:color="auto" w:sz="4" w:space="0"/>
              <w:bottom w:val="single" w:color="auto" w:sz="4" w:space="0"/>
              <w:right w:val="single" w:color="auto" w:sz="4" w:space="0"/>
            </w:tcBorders>
            <w:vAlign w:val="center"/>
          </w:tcPr>
          <w:p>
            <w:pPr>
              <w:spacing w:line="360" w:lineRule="exact"/>
              <w:jc w:val="both"/>
              <w:rPr>
                <w:rFonts w:ascii="Times New Roman" w:hAnsi="Times New Roman" w:eastAsia="仿宋_GB2312" w:cs="Times New Roman"/>
              </w:rPr>
            </w:pPr>
            <w:r>
              <w:rPr>
                <w:rFonts w:hint="eastAsia" w:ascii="Times New Roman" w:hAnsi="Times New Roman" w:eastAsia="仿宋_GB2312" w:cs="Times New Roman"/>
              </w:rPr>
              <w:t>原料验收区（需要时）、原料仓库、原料处理区、外包装间、成品仓库、包装材料仓库等。</w:t>
            </w:r>
          </w:p>
        </w:tc>
        <w:tc>
          <w:tcPr>
            <w:tcW w:w="2835" w:type="dxa"/>
            <w:tcBorders>
              <w:top w:val="single" w:color="auto" w:sz="4" w:space="0"/>
              <w:left w:val="single" w:color="auto" w:sz="4" w:space="0"/>
              <w:bottom w:val="single" w:color="auto" w:sz="4" w:space="0"/>
              <w:right w:val="single" w:color="auto" w:sz="4" w:space="0"/>
            </w:tcBorders>
            <w:vAlign w:val="center"/>
          </w:tcPr>
          <w:p>
            <w:pPr>
              <w:spacing w:line="360" w:lineRule="exact"/>
              <w:jc w:val="both"/>
              <w:rPr>
                <w:rFonts w:ascii="Times New Roman" w:hAnsi="Times New Roman" w:eastAsia="仿宋_GB2312" w:cs="Times New Roman"/>
              </w:rPr>
            </w:pPr>
            <w:r>
              <w:rPr>
                <w:rFonts w:hint="eastAsia" w:ascii="Times New Roman" w:hAnsi="Times New Roman" w:eastAsia="仿宋_GB2312" w:cs="Times New Roman"/>
              </w:rPr>
              <w:t>拼配区（需要时）、焙炒冷却区、磨粉区（需要时）、内包装材料消毒区（需要时）等。</w:t>
            </w:r>
          </w:p>
        </w:tc>
        <w:tc>
          <w:tcPr>
            <w:tcW w:w="1949" w:type="dxa"/>
            <w:tcBorders>
              <w:top w:val="single" w:color="auto" w:sz="4" w:space="0"/>
              <w:left w:val="single" w:color="auto" w:sz="4" w:space="0"/>
              <w:bottom w:val="single" w:color="auto" w:sz="4" w:space="0"/>
              <w:right w:val="single" w:color="auto" w:sz="4" w:space="0"/>
            </w:tcBorders>
            <w:vAlign w:val="center"/>
          </w:tcPr>
          <w:p>
            <w:pPr>
              <w:spacing w:line="360" w:lineRule="exact"/>
              <w:jc w:val="both"/>
              <w:rPr>
                <w:rFonts w:ascii="Times New Roman" w:hAnsi="Times New Roman" w:eastAsia="仿宋_GB2312" w:cs="Times New Roman"/>
              </w:rPr>
            </w:pPr>
            <w:r>
              <w:rPr>
                <w:rFonts w:hint="eastAsia" w:ascii="Times New Roman" w:hAnsi="Times New Roman" w:eastAsia="仿宋_GB2312" w:cs="Times New Roman"/>
              </w:rPr>
              <w:t>内包装间等。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032" w:type="dxa"/>
            <w:gridSpan w:val="4"/>
            <w:tcBorders>
              <w:top w:val="single" w:color="auto" w:sz="4" w:space="0"/>
              <w:left w:val="single" w:color="auto" w:sz="4" w:space="0"/>
              <w:right w:val="single" w:color="auto" w:sz="4" w:space="0"/>
            </w:tcBorders>
            <w:vAlign w:val="center"/>
          </w:tcPr>
          <w:p>
            <w:pPr>
              <w:pStyle w:val="32"/>
              <w:spacing w:line="594" w:lineRule="exact"/>
              <w:ind w:hanging="2" w:firstLineChars="0"/>
              <w:rPr>
                <w:rFonts w:ascii="Times New Roman" w:hAnsi="Times New Roman" w:eastAsia="仿宋_GB2312"/>
                <w:kern w:val="0"/>
                <w:sz w:val="24"/>
                <w:szCs w:val="24"/>
              </w:rPr>
            </w:pPr>
            <w:r>
              <w:rPr>
                <w:rFonts w:hint="eastAsia" w:ascii="Times New Roman" w:hAnsi="Times New Roman" w:eastAsia="仿宋_GB2312"/>
                <w:sz w:val="24"/>
                <w:lang w:eastAsia="zh-CN"/>
              </w:rPr>
              <w:t>备注：</w:t>
            </w:r>
            <w:r>
              <w:rPr>
                <w:rFonts w:ascii="Times New Roman" w:hAnsi="Times New Roman" w:eastAsia="仿宋_GB2312"/>
                <w:sz w:val="24"/>
              </w:rPr>
              <w:t>企业可根据产品特点及工艺要求设置、优化，但不得低于本表要求。</w:t>
            </w:r>
          </w:p>
        </w:tc>
      </w:tr>
    </w:tbl>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仿宋_GB2312"/>
          <w:kern w:val="0"/>
          <w:sz w:val="32"/>
          <w:szCs w:val="32"/>
        </w:rPr>
        <w:t>可可及焙炒咖啡产品使用全自动连续式密闭生产设备，可以按照准清洁作业区的要求执行。</w:t>
      </w:r>
    </w:p>
    <w:p>
      <w:pPr>
        <w:pStyle w:val="8"/>
        <w:spacing w:line="594" w:lineRule="exact"/>
        <w:ind w:firstLine="640" w:firstLineChars="200"/>
        <w:rPr>
          <w:rFonts w:ascii="Times New Roman" w:hAnsi="Times New Roman"/>
          <w:kern w:val="0"/>
          <w:sz w:val="32"/>
          <w:szCs w:val="32"/>
        </w:rPr>
      </w:pPr>
      <w:r>
        <w:rPr>
          <w:rFonts w:hint="eastAsia" w:ascii="Times New Roman" w:hAnsi="Times New Roman" w:eastAsia="黑体"/>
          <w:kern w:val="0"/>
          <w:sz w:val="32"/>
          <w:szCs w:val="32"/>
        </w:rPr>
        <w:t>第十三条</w:t>
      </w:r>
      <w:r>
        <w:rPr>
          <w:rFonts w:hint="eastAsia" w:ascii="Times New Roman" w:hAnsi="Times New Roman"/>
          <w:kern w:val="0"/>
          <w:sz w:val="32"/>
          <w:szCs w:val="32"/>
        </w:rPr>
        <w:t xml:space="preserve"> </w:t>
      </w:r>
      <w:r>
        <w:rPr>
          <w:rFonts w:ascii="Times New Roman" w:hAnsi="Times New Roman"/>
          <w:kern w:val="0"/>
          <w:sz w:val="32"/>
          <w:szCs w:val="32"/>
        </w:rPr>
        <w:t>准清洁作业区、清洁作业区应分别设置工器具清洁消毒区域，防止交叉污染。</w:t>
      </w:r>
    </w:p>
    <w:p>
      <w:pPr>
        <w:pStyle w:val="8"/>
        <w:spacing w:line="594" w:lineRule="exact"/>
        <w:ind w:firstLine="640" w:firstLineChars="200"/>
        <w:rPr>
          <w:rFonts w:ascii="Times New Roman" w:hAnsi="Times New Roman"/>
          <w:kern w:val="0"/>
          <w:sz w:val="32"/>
          <w:szCs w:val="32"/>
        </w:rPr>
      </w:pPr>
      <w:r>
        <w:rPr>
          <w:rFonts w:hint="eastAsia" w:ascii="Times New Roman" w:hAnsi="Times New Roman" w:eastAsia="黑体"/>
          <w:kern w:val="0"/>
          <w:sz w:val="32"/>
          <w:szCs w:val="32"/>
        </w:rPr>
        <w:t>第十四条</w:t>
      </w:r>
      <w:r>
        <w:rPr>
          <w:rFonts w:hint="eastAsia" w:ascii="Times New Roman" w:hAnsi="Times New Roman"/>
          <w:kern w:val="0"/>
          <w:sz w:val="32"/>
          <w:szCs w:val="32"/>
        </w:rPr>
        <w:t xml:space="preserve"> </w:t>
      </w:r>
      <w:r>
        <w:rPr>
          <w:rFonts w:ascii="Times New Roman" w:hAnsi="Times New Roman"/>
          <w:kern w:val="0"/>
          <w:sz w:val="32"/>
          <w:szCs w:val="32"/>
        </w:rPr>
        <w:t>不同清洁作业区之间的人员通道应分隔。如设有特殊情况时使用的通道，应采取有效措施防止交叉污染。</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第十五条</w:t>
      </w:r>
      <w:r>
        <w:rPr>
          <w:rFonts w:hint="eastAsia" w:ascii="Times New Roman" w:hAnsi="Times New Roman" w:eastAsia="仿宋_GB2312"/>
          <w:kern w:val="0"/>
          <w:sz w:val="32"/>
          <w:szCs w:val="32"/>
        </w:rPr>
        <w:t xml:space="preserve"> </w:t>
      </w:r>
      <w:r>
        <w:rPr>
          <w:rFonts w:ascii="Times New Roman" w:hAnsi="Times New Roman" w:eastAsia="仿宋_GB2312"/>
          <w:kern w:val="0"/>
          <w:sz w:val="32"/>
          <w:szCs w:val="32"/>
        </w:rPr>
        <w:t>应设置物料运输通道，不同清洁作业区之间的物料通道应分隔。</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第十六条 </w:t>
      </w:r>
      <w:r>
        <w:rPr>
          <w:rFonts w:ascii="Times New Roman" w:hAnsi="Times New Roman" w:eastAsia="仿宋_GB2312"/>
          <w:kern w:val="0"/>
          <w:sz w:val="32"/>
          <w:szCs w:val="32"/>
        </w:rPr>
        <w:t>生产车间地面、墙壁应当易于清洗，保持清洁，设置有效的防尘、防蝇、防虫、防鼠设施。</w:t>
      </w:r>
    </w:p>
    <w:p>
      <w:pPr>
        <w:pStyle w:val="8"/>
        <w:spacing w:line="594" w:lineRule="exact"/>
        <w:ind w:firstLine="640" w:firstLineChars="200"/>
        <w:rPr>
          <w:rFonts w:ascii="Times New Roman" w:hAnsi="Times New Roman"/>
          <w:sz w:val="32"/>
          <w:szCs w:val="32"/>
        </w:rPr>
      </w:pPr>
      <w:r>
        <w:rPr>
          <w:rFonts w:hint="eastAsia" w:ascii="Times New Roman" w:hAnsi="Times New Roman" w:eastAsia="黑体"/>
          <w:sz w:val="32"/>
          <w:szCs w:val="32"/>
        </w:rPr>
        <w:t xml:space="preserve">第十七条 </w:t>
      </w:r>
      <w:r>
        <w:rPr>
          <w:rFonts w:ascii="Times New Roman" w:hAnsi="Times New Roman"/>
          <w:sz w:val="32"/>
          <w:szCs w:val="32"/>
        </w:rPr>
        <w:t>原料仓库、成品仓库应分开设置，不得直接相通。内、外包装材料应分区存放</w:t>
      </w:r>
      <w:r>
        <w:rPr>
          <w:rFonts w:ascii="Times New Roman" w:hAnsi="Times New Roman"/>
          <w:szCs w:val="32"/>
        </w:rPr>
        <w:t>。</w:t>
      </w:r>
      <w:r>
        <w:rPr>
          <w:rFonts w:ascii="Times New Roman" w:hAnsi="Times New Roman"/>
          <w:sz w:val="32"/>
          <w:szCs w:val="32"/>
        </w:rPr>
        <w:t>原料仓库、成品仓库应当满足相应的温度、湿度等贮存要求，避免阳光直射，保持干燥，并设置有效的防尘、防蝇、防虫、防鼠设施及产品防护措施。</w:t>
      </w:r>
    </w:p>
    <w:p>
      <w:pPr>
        <w:pStyle w:val="8"/>
        <w:spacing w:line="594" w:lineRule="exact"/>
        <w:jc w:val="center"/>
        <w:rPr>
          <w:rFonts w:ascii="Times New Roman" w:hAnsi="Times New Roman" w:eastAsia="黑体"/>
          <w:sz w:val="32"/>
          <w:szCs w:val="32"/>
        </w:rPr>
      </w:pPr>
      <w:bookmarkStart w:id="4" w:name="_Toc83971198"/>
      <w:r>
        <w:rPr>
          <w:rFonts w:hint="eastAsia" w:ascii="Times New Roman" w:hAnsi="Times New Roman" w:eastAsia="黑体"/>
          <w:sz w:val="32"/>
          <w:szCs w:val="32"/>
        </w:rPr>
        <w:t>第三章 设备设施</w:t>
      </w:r>
      <w:bookmarkEnd w:id="4"/>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第十八条 </w:t>
      </w:r>
      <w:r>
        <w:rPr>
          <w:rFonts w:hint="eastAsia" w:ascii="Times New Roman" w:hAnsi="Times New Roman" w:eastAsia="仿宋_GB2312"/>
          <w:kern w:val="0"/>
          <w:sz w:val="32"/>
          <w:szCs w:val="32"/>
        </w:rPr>
        <w:t>企业应具有与生产产品品种、数量等相适应的生产设备设施，性能和精度应当满足生产要求，便于操作、清洁、维护。可可及焙炒咖啡产品常规生产设备设施见表</w:t>
      </w:r>
      <w:r>
        <w:rPr>
          <w:rFonts w:ascii="Times New Roman" w:hAnsi="Times New Roman" w:eastAsia="仿宋_GB2312"/>
          <w:kern w:val="0"/>
          <w:sz w:val="32"/>
          <w:szCs w:val="32"/>
        </w:rPr>
        <w:t>4</w:t>
      </w:r>
      <w:r>
        <w:rPr>
          <w:rFonts w:hint="eastAsia" w:ascii="Times New Roman" w:hAnsi="Times New Roman" w:eastAsia="仿宋_GB2312"/>
          <w:kern w:val="0"/>
          <w:sz w:val="32"/>
          <w:szCs w:val="32"/>
        </w:rPr>
        <w:t>。</w:t>
      </w:r>
    </w:p>
    <w:p>
      <w:pPr>
        <w:spacing w:line="594" w:lineRule="exact"/>
        <w:jc w:val="center"/>
        <w:rPr>
          <w:rFonts w:ascii="Times New Roman" w:hAnsi="Times New Roman" w:eastAsia="黑体" w:cs="Times New Roman"/>
          <w:sz w:val="28"/>
          <w:szCs w:val="28"/>
        </w:rPr>
      </w:pPr>
      <w:r>
        <w:rPr>
          <w:rFonts w:hint="eastAsia" w:ascii="Times New Roman" w:hAnsi="Times New Roman" w:eastAsia="仿宋_GB2312" w:cs="Times New Roman"/>
          <w:b/>
          <w:bCs/>
          <w:sz w:val="28"/>
          <w:szCs w:val="28"/>
        </w:rPr>
        <w:t>表</w:t>
      </w:r>
      <w:r>
        <w:rPr>
          <w:rFonts w:ascii="Times New Roman" w:hAnsi="Times New Roman" w:eastAsia="仿宋_GB2312" w:cs="Times New Roman"/>
          <w:b/>
          <w:bCs/>
          <w:sz w:val="28"/>
          <w:szCs w:val="28"/>
        </w:rPr>
        <w:t xml:space="preserve">4 </w:t>
      </w:r>
      <w:r>
        <w:rPr>
          <w:rFonts w:hint="eastAsia" w:ascii="Times New Roman" w:hAnsi="Times New Roman" w:eastAsia="仿宋_GB2312" w:cs="Times New Roman"/>
          <w:b/>
          <w:bCs/>
          <w:sz w:val="28"/>
          <w:szCs w:val="28"/>
        </w:rPr>
        <w:t>可可及焙炒咖啡产品常规生产设备设施</w:t>
      </w:r>
    </w:p>
    <w:tbl>
      <w:tblPr>
        <w:tblStyle w:val="23"/>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7"/>
        <w:gridCol w:w="7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567" w:type="dxa"/>
            <w:tcBorders>
              <w:top w:val="single" w:color="auto" w:sz="4" w:space="0"/>
              <w:left w:val="single" w:color="auto" w:sz="4" w:space="0"/>
              <w:bottom w:val="single" w:color="auto" w:sz="4" w:space="0"/>
              <w:right w:val="single" w:color="auto" w:sz="4" w:space="0"/>
            </w:tcBorders>
          </w:tcPr>
          <w:p>
            <w:pPr>
              <w:spacing w:line="360"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类别名称</w:t>
            </w:r>
          </w:p>
        </w:tc>
        <w:tc>
          <w:tcPr>
            <w:tcW w:w="72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生产设备设施种类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可可制品</w:t>
            </w:r>
          </w:p>
        </w:tc>
        <w:tc>
          <w:tcPr>
            <w:tcW w:w="72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hint="default" w:ascii="Times New Roman" w:hAnsi="Times New Roman" w:eastAsia="仿宋_GB2312" w:cs="Times New Roman"/>
              </w:rPr>
            </w:pPr>
            <w:r>
              <w:rPr>
                <w:rFonts w:hint="default" w:ascii="Times New Roman" w:hAnsi="Times New Roman" w:eastAsia="仿宋_GB2312" w:cs="Times New Roman"/>
              </w:rPr>
              <w:t>1</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原料筛选设备设施；</w:t>
            </w:r>
          </w:p>
          <w:p>
            <w:pPr>
              <w:adjustRightInd w:val="0"/>
              <w:snapToGrid w:val="0"/>
              <w:spacing w:line="360" w:lineRule="exact"/>
              <w:rPr>
                <w:rFonts w:hint="default" w:ascii="Times New Roman" w:hAnsi="Times New Roman" w:eastAsia="仿宋_GB2312" w:cs="Times New Roman"/>
              </w:rPr>
            </w:pPr>
            <w:r>
              <w:rPr>
                <w:rFonts w:hint="eastAsia" w:ascii="Times New Roman" w:hAnsi="Times New Roman" w:eastAsia="仿宋_GB2312" w:cs="Times New Roman"/>
                <w:lang w:val="en-US" w:eastAsia="zh-CN"/>
              </w:rPr>
              <w:t>2.</w:t>
            </w:r>
            <w:r>
              <w:rPr>
                <w:rFonts w:hint="default" w:ascii="Times New Roman" w:hAnsi="Times New Roman" w:eastAsia="仿宋_GB2312" w:cs="Times New Roman"/>
              </w:rPr>
              <w:t>焙炒设备；</w:t>
            </w:r>
          </w:p>
          <w:p>
            <w:pPr>
              <w:adjustRightInd w:val="0"/>
              <w:snapToGrid w:val="0"/>
              <w:spacing w:line="360" w:lineRule="exact"/>
              <w:jc w:val="both"/>
              <w:rPr>
                <w:rFonts w:hint="default" w:ascii="Times New Roman" w:hAnsi="Times New Roman" w:eastAsia="仿宋_GB2312" w:cs="Times New Roman"/>
              </w:rPr>
            </w:pPr>
            <w:r>
              <w:rPr>
                <w:rFonts w:hint="default" w:ascii="Times New Roman" w:hAnsi="Times New Roman" w:eastAsia="仿宋_GB2312" w:cs="Times New Roman"/>
              </w:rPr>
              <w:t>3</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破碎、壳仁分离设备；</w:t>
            </w:r>
          </w:p>
          <w:p>
            <w:pPr>
              <w:adjustRightInd w:val="0"/>
              <w:snapToGrid w:val="0"/>
              <w:spacing w:line="360" w:lineRule="exact"/>
              <w:jc w:val="both"/>
              <w:rPr>
                <w:rFonts w:hint="default" w:ascii="Times New Roman" w:hAnsi="Times New Roman" w:eastAsia="仿宋_GB2312" w:cs="Times New Roman"/>
              </w:rPr>
            </w:pPr>
            <w:r>
              <w:rPr>
                <w:rFonts w:hint="default" w:ascii="Times New Roman" w:hAnsi="Times New Roman" w:eastAsia="仿宋_GB2312" w:cs="Times New Roman"/>
              </w:rPr>
              <w:t>4</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研磨设备；</w:t>
            </w:r>
          </w:p>
          <w:p>
            <w:pPr>
              <w:adjustRightInd w:val="0"/>
              <w:snapToGrid w:val="0"/>
              <w:spacing w:line="360" w:lineRule="exact"/>
              <w:jc w:val="both"/>
              <w:rPr>
                <w:rFonts w:hint="default" w:ascii="Times New Roman" w:hAnsi="Times New Roman" w:eastAsia="仿宋_GB2312" w:cs="Times New Roman"/>
              </w:rPr>
            </w:pPr>
            <w:r>
              <w:rPr>
                <w:rFonts w:hint="default" w:ascii="Times New Roman" w:hAnsi="Times New Roman" w:eastAsia="仿宋_GB2312" w:cs="Times New Roman"/>
              </w:rPr>
              <w:t>5</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机榨设备（适用于可可脂和可可饼块产品）；</w:t>
            </w:r>
          </w:p>
          <w:p>
            <w:pPr>
              <w:adjustRightInd w:val="0"/>
              <w:snapToGrid w:val="0"/>
              <w:spacing w:line="360" w:lineRule="exact"/>
              <w:jc w:val="both"/>
              <w:rPr>
                <w:rFonts w:hint="default" w:ascii="Times New Roman" w:hAnsi="Times New Roman" w:eastAsia="仿宋_GB2312" w:cs="Times New Roman"/>
              </w:rPr>
            </w:pPr>
            <w:r>
              <w:rPr>
                <w:rFonts w:hint="default" w:ascii="Times New Roman" w:hAnsi="Times New Roman" w:eastAsia="仿宋_GB2312" w:cs="Times New Roman"/>
              </w:rPr>
              <w:t>6</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粉碎设备（适用于可可粉产品）；</w:t>
            </w:r>
          </w:p>
          <w:p>
            <w:pPr>
              <w:adjustRightInd w:val="0"/>
              <w:snapToGrid w:val="0"/>
              <w:spacing w:line="360" w:lineRule="exact"/>
              <w:jc w:val="both"/>
              <w:rPr>
                <w:rFonts w:hint="default" w:ascii="Times New Roman" w:hAnsi="Times New Roman" w:eastAsia="仿宋_GB2312" w:cs="Times New Roman"/>
              </w:rPr>
            </w:pPr>
            <w:r>
              <w:rPr>
                <w:rFonts w:hint="default" w:ascii="Times New Roman" w:hAnsi="Times New Roman" w:eastAsia="仿宋_GB2312" w:cs="Times New Roman"/>
              </w:rPr>
              <w:t>7</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冷却结晶设备（适用于可可脂产品）；</w:t>
            </w:r>
          </w:p>
          <w:p>
            <w:pPr>
              <w:adjustRightInd w:val="0"/>
              <w:snapToGrid w:val="0"/>
              <w:spacing w:line="360" w:lineRule="exact"/>
              <w:rPr>
                <w:rFonts w:hint="default" w:ascii="Times New Roman" w:hAnsi="Times New Roman" w:eastAsia="仿宋_GB2312" w:cs="Times New Roman"/>
              </w:rPr>
            </w:pPr>
            <w:r>
              <w:rPr>
                <w:rFonts w:hint="default" w:ascii="Times New Roman" w:hAnsi="Times New Roman" w:eastAsia="仿宋_GB2312" w:cs="Times New Roman"/>
              </w:rPr>
              <w:t>8</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碱化设备（适用于碱化可可粉和碱化可可液块产品）；</w:t>
            </w:r>
          </w:p>
          <w:p>
            <w:pPr>
              <w:adjustRightInd w:val="0"/>
              <w:snapToGrid w:val="0"/>
              <w:spacing w:line="360" w:lineRule="exact"/>
              <w:jc w:val="both"/>
              <w:rPr>
                <w:rFonts w:hint="default" w:ascii="Times New Roman" w:hAnsi="Times New Roman" w:eastAsia="仿宋_GB2312" w:cs="Times New Roman"/>
              </w:rPr>
            </w:pPr>
            <w:r>
              <w:rPr>
                <w:rFonts w:hint="default" w:ascii="Times New Roman" w:hAnsi="Times New Roman" w:eastAsia="仿宋_GB2312" w:cs="Times New Roman"/>
              </w:rPr>
              <w:t>9</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包装设备设施和包装材料清洁消毒设备设施；</w:t>
            </w:r>
          </w:p>
          <w:p>
            <w:pPr>
              <w:adjustRightInd w:val="0"/>
              <w:snapToGrid w:val="0"/>
              <w:spacing w:line="360" w:lineRule="exact"/>
              <w:jc w:val="both"/>
              <w:rPr>
                <w:rFonts w:hint="default" w:ascii="Times New Roman" w:hAnsi="Times New Roman" w:eastAsia="仿宋_GB2312" w:cs="Times New Roman"/>
              </w:rPr>
            </w:pPr>
            <w:r>
              <w:rPr>
                <w:rFonts w:hint="default" w:ascii="Times New Roman" w:hAnsi="Times New Roman" w:eastAsia="仿宋_GB2312" w:cs="Times New Roman"/>
              </w:rPr>
              <w:t>10</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异物检测设备。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焙炒咖啡</w:t>
            </w:r>
          </w:p>
        </w:tc>
        <w:tc>
          <w:tcPr>
            <w:tcW w:w="7266"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Times New Roman" w:hAnsi="Times New Roman" w:eastAsia="仿宋_GB2312" w:cs="Times New Roman"/>
              </w:rPr>
            </w:pPr>
            <w:r>
              <w:rPr>
                <w:rFonts w:hint="default" w:ascii="Times New Roman" w:hAnsi="Times New Roman" w:eastAsia="仿宋_GB2312" w:cs="Times New Roman"/>
              </w:rPr>
              <w:t>1</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原料筛选设备设施；</w:t>
            </w:r>
          </w:p>
          <w:p>
            <w:pPr>
              <w:spacing w:line="360" w:lineRule="exact"/>
              <w:rPr>
                <w:rFonts w:hint="default" w:ascii="Times New Roman" w:hAnsi="Times New Roman" w:eastAsia="仿宋_GB2312" w:cs="Times New Roman"/>
              </w:rPr>
            </w:pPr>
            <w:r>
              <w:rPr>
                <w:rFonts w:hint="default" w:ascii="Times New Roman" w:hAnsi="Times New Roman" w:eastAsia="仿宋_GB2312" w:cs="Times New Roman"/>
              </w:rPr>
              <w:t>2</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焙炒及冷却设备；</w:t>
            </w:r>
          </w:p>
          <w:p>
            <w:pPr>
              <w:adjustRightInd w:val="0"/>
              <w:snapToGrid w:val="0"/>
              <w:spacing w:line="360" w:lineRule="exact"/>
              <w:jc w:val="both"/>
              <w:rPr>
                <w:rFonts w:hint="default" w:ascii="Times New Roman" w:hAnsi="Times New Roman" w:eastAsia="仿宋_GB2312" w:cs="Times New Roman"/>
              </w:rPr>
            </w:pPr>
            <w:r>
              <w:rPr>
                <w:rFonts w:hint="default" w:ascii="Times New Roman" w:hAnsi="Times New Roman" w:eastAsia="仿宋_GB2312" w:cs="Times New Roman"/>
              </w:rPr>
              <w:t>3</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磨粉设备（适用于咖啡粉产品）；</w:t>
            </w:r>
          </w:p>
          <w:p>
            <w:pPr>
              <w:adjustRightInd w:val="0"/>
              <w:snapToGrid w:val="0"/>
              <w:spacing w:line="360" w:lineRule="exact"/>
              <w:jc w:val="both"/>
              <w:rPr>
                <w:rFonts w:hint="default" w:ascii="Times New Roman" w:hAnsi="Times New Roman" w:eastAsia="仿宋_GB2312" w:cs="Times New Roman"/>
              </w:rPr>
            </w:pPr>
            <w:r>
              <w:rPr>
                <w:rFonts w:hint="default" w:ascii="Times New Roman" w:hAnsi="Times New Roman" w:eastAsia="仿宋_GB2312" w:cs="Times New Roman"/>
              </w:rPr>
              <w:t>4</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包装设备设施和包装材料清洁消毒设备设施；</w:t>
            </w:r>
          </w:p>
          <w:p>
            <w:pPr>
              <w:adjustRightInd w:val="0"/>
              <w:snapToGrid w:val="0"/>
              <w:spacing w:line="360" w:lineRule="exact"/>
              <w:jc w:val="both"/>
              <w:rPr>
                <w:rFonts w:hint="default" w:ascii="Times New Roman" w:hAnsi="Times New Roman" w:eastAsia="仿宋_GB2312" w:cs="Times New Roman"/>
              </w:rPr>
            </w:pPr>
            <w:r>
              <w:rPr>
                <w:rFonts w:hint="default" w:ascii="Times New Roman" w:hAnsi="Times New Roman" w:eastAsia="仿宋_GB2312" w:cs="Times New Roman"/>
              </w:rPr>
              <w:t>5</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异物检测设备。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833"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720" w:hanging="720" w:hangingChars="300"/>
              <w:rPr>
                <w:rFonts w:hint="default" w:ascii="Times New Roman" w:hAnsi="Times New Roman" w:eastAsia="仿宋_GB2312" w:cs="Times New Roman"/>
              </w:rPr>
            </w:pPr>
            <w:r>
              <w:rPr>
                <w:rFonts w:hint="default" w:ascii="Times New Roman" w:hAnsi="Times New Roman" w:eastAsia="仿宋_GB2312" w:cs="Times New Roman"/>
                <w:lang w:eastAsia="zh-CN"/>
              </w:rPr>
              <w:t>备</w:t>
            </w:r>
            <w:r>
              <w:rPr>
                <w:rFonts w:hint="default" w:ascii="Times New Roman" w:hAnsi="Times New Roman" w:eastAsia="仿宋_GB2312" w:cs="Times New Roman"/>
              </w:rPr>
              <w:t>注</w:t>
            </w:r>
            <w:r>
              <w:rPr>
                <w:rFonts w:hint="default" w:ascii="Times New Roman" w:hAnsi="Times New Roman" w:eastAsia="仿宋_GB2312" w:cs="Times New Roman"/>
                <w:lang w:eastAsia="zh-CN"/>
              </w:rPr>
              <w:t>：</w:t>
            </w:r>
            <w:r>
              <w:rPr>
                <w:rFonts w:hint="default" w:ascii="Times New Roman" w:hAnsi="Times New Roman" w:eastAsia="仿宋_GB2312" w:cs="Times New Roman"/>
                <w:lang w:val="en-US" w:eastAsia="zh-CN"/>
              </w:rPr>
              <w:t>1.</w:t>
            </w:r>
            <w:r>
              <w:rPr>
                <w:rFonts w:hint="default" w:ascii="Times New Roman" w:hAnsi="Times New Roman" w:eastAsia="仿宋_GB2312" w:cs="Times New Roman"/>
              </w:rPr>
              <w:t>本表所列设备设施为企业常规设备设施，可根据实际生产情况优化调整。</w:t>
            </w:r>
          </w:p>
          <w:p>
            <w:pPr>
              <w:spacing w:line="360" w:lineRule="exact"/>
              <w:ind w:left="720" w:hanging="720" w:hangingChars="300"/>
              <w:rPr>
                <w:rFonts w:hint="default" w:ascii="Times New Roman" w:hAnsi="Times New Roman" w:eastAsia="仿宋_GB2312" w:cs="Times New Roman"/>
              </w:rPr>
            </w:pPr>
            <w:r>
              <w:rPr>
                <w:rFonts w:hint="default" w:ascii="Times New Roman" w:hAnsi="Times New Roman" w:eastAsia="仿宋_GB2312" w:cs="Times New Roman"/>
                <w:lang w:val="en-US" w:eastAsia="zh-CN"/>
              </w:rPr>
              <w:t xml:space="preserve">      2.</w:t>
            </w:r>
            <w:r>
              <w:rPr>
                <w:rFonts w:hint="default" w:ascii="Times New Roman" w:hAnsi="Times New Roman" w:eastAsia="仿宋_GB2312" w:cs="Times New Roman"/>
              </w:rPr>
              <w:t>具备多功能的综合性设备设施，只要满足加工工艺要求，可以视为多台相</w:t>
            </w:r>
          </w:p>
          <w:p>
            <w:pPr>
              <w:spacing w:line="360" w:lineRule="exact"/>
              <w:ind w:left="720" w:hanging="720" w:hangingChars="300"/>
              <w:rPr>
                <w:rFonts w:hint="default" w:ascii="Times New Roman" w:hAnsi="Times New Roman" w:eastAsia="仿宋_GB2312" w:cs="Times New Roman"/>
                <w:lang w:eastAsia="zh-CN"/>
              </w:rPr>
            </w:pPr>
            <w:r>
              <w:rPr>
                <w:rFonts w:hint="default" w:ascii="Times New Roman" w:hAnsi="Times New Roman" w:eastAsia="仿宋_GB2312" w:cs="Times New Roman"/>
              </w:rPr>
              <w:t>关功能设备</w:t>
            </w:r>
            <w:r>
              <w:rPr>
                <w:rFonts w:hint="default" w:ascii="Times New Roman" w:hAnsi="Times New Roman" w:eastAsia="仿宋_GB2312" w:cs="Times New Roman"/>
                <w:lang w:eastAsia="zh-CN"/>
              </w:rPr>
              <w:t>。</w:t>
            </w:r>
          </w:p>
          <w:p>
            <w:pPr>
              <w:spacing w:line="360" w:lineRule="exact"/>
              <w:ind w:left="0" w:leftChars="0" w:firstLine="720" w:firstLineChars="30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3.</w:t>
            </w:r>
            <w:r>
              <w:rPr>
                <w:rFonts w:hint="default" w:ascii="Times New Roman" w:hAnsi="Times New Roman" w:eastAsia="仿宋_GB2312" w:cs="Times New Roman"/>
              </w:rPr>
              <w:t>分装焙炒咖啡的常规设备设施包括：包装材料清洁消毒设备设施、包装设</w:t>
            </w:r>
          </w:p>
          <w:p>
            <w:pPr>
              <w:spacing w:line="360" w:lineRule="exact"/>
              <w:ind w:left="0" w:leftChars="0" w:firstLine="0" w:firstLineChars="0"/>
              <w:rPr>
                <w:rFonts w:hint="default" w:ascii="Times New Roman" w:hAnsi="Times New Roman" w:eastAsia="仿宋_GB2312" w:cs="Times New Roman"/>
              </w:rPr>
            </w:pPr>
            <w:r>
              <w:rPr>
                <w:rFonts w:hint="default" w:ascii="Times New Roman" w:hAnsi="Times New Roman" w:eastAsia="仿宋_GB2312" w:cs="Times New Roman"/>
              </w:rPr>
              <w:t>备设施、异物检测设备等。</w:t>
            </w:r>
          </w:p>
        </w:tc>
      </w:tr>
    </w:tbl>
    <w:p>
      <w:pPr>
        <w:pStyle w:val="32"/>
        <w:spacing w:line="594" w:lineRule="exact"/>
        <w:ind w:firstLine="640"/>
        <w:rPr>
          <w:rFonts w:ascii="Times New Roman" w:hAnsi="Times New Roman" w:eastAsia="黑体"/>
          <w:kern w:val="0"/>
          <w:sz w:val="32"/>
          <w:szCs w:val="32"/>
        </w:rPr>
      </w:pPr>
      <w:r>
        <w:rPr>
          <w:rFonts w:hint="eastAsia" w:ascii="Times New Roman" w:hAnsi="Times New Roman" w:eastAsia="黑体"/>
          <w:sz w:val="32"/>
          <w:szCs w:val="32"/>
        </w:rPr>
        <w:t xml:space="preserve">第十九条 </w:t>
      </w:r>
      <w:r>
        <w:rPr>
          <w:rFonts w:hint="eastAsia" w:ascii="Times New Roman" w:hAnsi="Times New Roman" w:eastAsia="仿宋_GB2312"/>
          <w:sz w:val="32"/>
          <w:szCs w:val="32"/>
        </w:rPr>
        <w:t>与食品直接接触的设备设施及工器具应当符合食品相关产品安全要求，采用无毒、无气味、不吸水、耐腐蚀、易清洁消毒、可反复清洗和消毒、不易孳生微生物的材料。</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第二十条 </w:t>
      </w:r>
      <w:r>
        <w:rPr>
          <w:rFonts w:hint="eastAsia" w:ascii="Times New Roman" w:hAnsi="Times New Roman" w:eastAsia="仿宋_GB2312"/>
          <w:kern w:val="0"/>
          <w:sz w:val="32"/>
          <w:szCs w:val="32"/>
        </w:rPr>
        <w:t>应当配备足够的工器具和设备设施的专用清洁设施，必要时配备适宜的消毒设施，并采取措施避免清洁、消毒工器具带来的交叉污染。</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第二十一条 </w:t>
      </w:r>
      <w:r>
        <w:rPr>
          <w:rFonts w:hint="eastAsia" w:ascii="Times New Roman" w:hAnsi="Times New Roman" w:eastAsia="仿宋_GB2312"/>
          <w:kern w:val="0"/>
          <w:sz w:val="32"/>
          <w:szCs w:val="32"/>
        </w:rPr>
        <w:t>准清洁作业区和清洁作业区应当具有环境消毒设施（如紫外线、臭氧等）。根据生产需要，安装空气过滤装置。</w:t>
      </w:r>
    </w:p>
    <w:p>
      <w:pPr>
        <w:pStyle w:val="8"/>
        <w:spacing w:line="594" w:lineRule="exact"/>
        <w:ind w:firstLine="640" w:firstLineChars="200"/>
        <w:rPr>
          <w:rFonts w:ascii="Times New Roman" w:hAnsi="Times New Roman"/>
          <w:sz w:val="32"/>
          <w:szCs w:val="32"/>
        </w:rPr>
      </w:pPr>
      <w:r>
        <w:rPr>
          <w:rFonts w:hint="eastAsia" w:ascii="Times New Roman" w:hAnsi="Times New Roman" w:eastAsia="黑体"/>
          <w:kern w:val="0"/>
          <w:sz w:val="32"/>
          <w:szCs w:val="32"/>
        </w:rPr>
        <w:t xml:space="preserve">第二十二条 </w:t>
      </w:r>
      <w:r>
        <w:rPr>
          <w:rFonts w:ascii="Times New Roman" w:hAnsi="Times New Roman"/>
          <w:sz w:val="32"/>
          <w:szCs w:val="32"/>
        </w:rPr>
        <w:t>准清洁作业区、清洁作业区应设有单独的更衣室，更衣室应与生产车间相连接。若设立与更衣室相连接的卫生间和淋浴室，应设立在更衣室之外，保持清洁卫生，其设施和布局不得对生产车间造成潜在的污染风险。</w:t>
      </w:r>
      <w:r>
        <w:rPr>
          <w:rFonts w:ascii="Times New Roman" w:hAnsi="Times New Roman"/>
          <w:sz w:val="32"/>
          <w:szCs w:val="21"/>
        </w:rPr>
        <w:t>不同清洁作业区应分别设置人员洗手、消毒、干手等设备设施</w:t>
      </w:r>
      <w:r>
        <w:rPr>
          <w:rFonts w:hint="eastAsia" w:ascii="Times New Roman" w:hAnsi="Times New Roman"/>
          <w:sz w:val="32"/>
          <w:szCs w:val="21"/>
        </w:rPr>
        <w:t>，</w:t>
      </w:r>
      <w:r>
        <w:rPr>
          <w:rFonts w:ascii="Times New Roman" w:hAnsi="Times New Roman"/>
          <w:kern w:val="0"/>
          <w:sz w:val="32"/>
          <w:szCs w:val="32"/>
        </w:rPr>
        <w:t>按需设置换鞋（</w:t>
      </w:r>
      <w:r>
        <w:rPr>
          <w:rFonts w:hint="eastAsia" w:ascii="Times New Roman" w:hAnsi="Times New Roman"/>
          <w:kern w:val="0"/>
          <w:sz w:val="32"/>
          <w:szCs w:val="32"/>
        </w:rPr>
        <w:t>穿戴</w:t>
      </w:r>
      <w:r>
        <w:rPr>
          <w:rFonts w:ascii="Times New Roman" w:hAnsi="Times New Roman"/>
          <w:kern w:val="0"/>
          <w:sz w:val="32"/>
          <w:szCs w:val="32"/>
        </w:rPr>
        <w:t>鞋套）</w:t>
      </w:r>
      <w:r>
        <w:rPr>
          <w:rFonts w:hint="eastAsia" w:ascii="Times New Roman" w:hAnsi="Times New Roman"/>
          <w:kern w:val="0"/>
          <w:sz w:val="32"/>
          <w:szCs w:val="32"/>
        </w:rPr>
        <w:t>设施</w:t>
      </w:r>
      <w:r>
        <w:rPr>
          <w:rFonts w:ascii="Times New Roman" w:hAnsi="Times New Roman"/>
          <w:kern w:val="0"/>
          <w:sz w:val="32"/>
          <w:szCs w:val="32"/>
        </w:rPr>
        <w:t>或工作鞋靴消毒柜。</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第二十三条 </w:t>
      </w:r>
      <w:r>
        <w:rPr>
          <w:rFonts w:hint="eastAsia" w:ascii="Times New Roman" w:hAnsi="Times New Roman" w:eastAsia="仿宋_GB2312"/>
          <w:kern w:val="0"/>
          <w:sz w:val="32"/>
          <w:szCs w:val="32"/>
        </w:rPr>
        <w:t>应当有适宜的自然通风或机械通风设施。可可粉粉碎区域应当具备除尘设施或通风设施。在有大量粉尘产生之处，应设置适当的排除或收集、控制装置，防止发生燃烧、爆炸等安全事故。</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第二十四条 </w:t>
      </w:r>
      <w:r>
        <w:rPr>
          <w:rFonts w:hint="eastAsia" w:ascii="Times New Roman" w:hAnsi="Times New Roman" w:eastAsia="仿宋_GB2312"/>
          <w:kern w:val="0"/>
          <w:sz w:val="32"/>
          <w:szCs w:val="32"/>
        </w:rPr>
        <w:t>应当根据可可及焙炒咖啡产品生产的特点，配备用于监测温、湿度的设施；根据生产需要，可设置控制生产车间内温、湿度的设施。可可粉、可可脂、可可液块内包装</w:t>
      </w:r>
      <w:r>
        <w:rPr>
          <w:rFonts w:ascii="Times New Roman" w:hAnsi="Times New Roman" w:eastAsia="仿宋_GB2312"/>
          <w:kern w:val="0"/>
          <w:sz w:val="32"/>
          <w:szCs w:val="32"/>
        </w:rPr>
        <w:t>过程环境温度不得高于25</w:t>
      </w:r>
      <w:r>
        <w:rPr>
          <w:rFonts w:hint="eastAsia" w:ascii="Times New Roman" w:hAnsi="Times New Roman" w:eastAsia="仿宋_GB2312"/>
          <w:kern w:val="0"/>
          <w:sz w:val="32"/>
          <w:szCs w:val="32"/>
        </w:rPr>
        <w:t>℃，</w:t>
      </w:r>
      <w:r>
        <w:rPr>
          <w:rFonts w:ascii="Times New Roman" w:hAnsi="Times New Roman" w:eastAsia="仿宋_GB2312"/>
          <w:kern w:val="0"/>
          <w:sz w:val="32"/>
          <w:szCs w:val="32"/>
        </w:rPr>
        <w:t>相对湿度不得高于65％。</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第二十五条 </w:t>
      </w:r>
      <w:r>
        <w:rPr>
          <w:rFonts w:ascii="Times New Roman" w:hAnsi="Times New Roman" w:eastAsia="仿宋_GB2312"/>
          <w:kern w:val="0"/>
          <w:sz w:val="32"/>
          <w:szCs w:val="32"/>
        </w:rPr>
        <w:t>应按照产品执行标准及检验管理制度中规定的检验项目进行检验。自行开展相关检验的企业应配备满足原料、半成品、成品检验所需的检验设备设施，并确保检验设备的性能、精度满足检验要求。检验设备设施的数量应与企业生产能力相适应。</w:t>
      </w:r>
      <w:r>
        <w:rPr>
          <w:rFonts w:hint="eastAsia" w:ascii="Times New Roman" w:hAnsi="Times New Roman" w:eastAsia="仿宋_GB2312"/>
          <w:kern w:val="0"/>
          <w:sz w:val="32"/>
          <w:szCs w:val="32"/>
        </w:rPr>
        <w:t>可可及焙炒咖啡产品常规检验项目及检验设备设施见表</w:t>
      </w:r>
      <w:r>
        <w:rPr>
          <w:rFonts w:ascii="Times New Roman" w:hAnsi="Times New Roman" w:eastAsia="仿宋_GB2312"/>
          <w:kern w:val="0"/>
          <w:sz w:val="32"/>
          <w:szCs w:val="32"/>
        </w:rPr>
        <w:t>5</w:t>
      </w:r>
      <w:r>
        <w:rPr>
          <w:rFonts w:hint="eastAsia" w:ascii="Times New Roman" w:hAnsi="Times New Roman" w:eastAsia="仿宋_GB2312"/>
          <w:kern w:val="0"/>
          <w:sz w:val="32"/>
          <w:szCs w:val="32"/>
        </w:rPr>
        <w:t>。</w:t>
      </w:r>
    </w:p>
    <w:p>
      <w:pPr>
        <w:spacing w:line="360" w:lineRule="atLeast"/>
        <w:jc w:val="center"/>
        <w:rPr>
          <w:rFonts w:ascii="Times New Roman" w:hAnsi="Times New Roman" w:eastAsia="仿宋_GB2312" w:cs="Times New Roman"/>
          <w:b/>
          <w:bCs/>
          <w:sz w:val="28"/>
          <w:szCs w:val="28"/>
        </w:rPr>
      </w:pPr>
      <w:bookmarkStart w:id="5" w:name="_Toc83971199"/>
      <w:r>
        <w:rPr>
          <w:rFonts w:hint="eastAsia" w:ascii="Times New Roman" w:hAnsi="Times New Roman" w:eastAsia="仿宋_GB2312" w:cs="Times New Roman"/>
          <w:b/>
          <w:bCs/>
          <w:sz w:val="28"/>
          <w:szCs w:val="28"/>
        </w:rPr>
        <w:t>表</w:t>
      </w:r>
      <w:r>
        <w:rPr>
          <w:rFonts w:ascii="Times New Roman" w:hAnsi="Times New Roman" w:eastAsia="仿宋_GB2312" w:cs="Times New Roman"/>
          <w:b/>
          <w:bCs/>
          <w:sz w:val="28"/>
          <w:szCs w:val="28"/>
        </w:rPr>
        <w:t xml:space="preserve">5 </w:t>
      </w:r>
      <w:r>
        <w:rPr>
          <w:rFonts w:hint="eastAsia" w:ascii="Times New Roman" w:hAnsi="Times New Roman" w:eastAsia="仿宋_GB2312" w:cs="Times New Roman"/>
          <w:b/>
          <w:bCs/>
          <w:sz w:val="28"/>
          <w:szCs w:val="28"/>
        </w:rPr>
        <w:t>可可及焙炒咖啡产品常规检验项目及检验设备设施</w:t>
      </w:r>
    </w:p>
    <w:tbl>
      <w:tblPr>
        <w:tblStyle w:val="24"/>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772"/>
        <w:gridCol w:w="1788"/>
        <w:gridCol w:w="5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5" w:hRule="atLeast"/>
          <w:tblHeader/>
          <w:jc w:val="center"/>
        </w:trPr>
        <w:tc>
          <w:tcPr>
            <w:tcW w:w="1493" w:type="dxa"/>
            <w:gridSpan w:val="2"/>
            <w:vAlign w:val="center"/>
          </w:tcPr>
          <w:p>
            <w:pPr>
              <w:widowControl/>
              <w:spacing w:line="360" w:lineRule="exact"/>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类别名称</w:t>
            </w:r>
          </w:p>
        </w:tc>
        <w:tc>
          <w:tcPr>
            <w:tcW w:w="1788" w:type="dxa"/>
            <w:vAlign w:val="center"/>
          </w:tcPr>
          <w:p>
            <w:pPr>
              <w:widowControl/>
              <w:spacing w:line="360" w:lineRule="exact"/>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检验项目</w:t>
            </w:r>
          </w:p>
        </w:tc>
        <w:tc>
          <w:tcPr>
            <w:tcW w:w="5654" w:type="dxa"/>
            <w:vAlign w:val="center"/>
          </w:tcPr>
          <w:p>
            <w:pPr>
              <w:widowControl/>
              <w:spacing w:line="360" w:lineRule="exact"/>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检验设备设施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restart"/>
            <w:vAlign w:val="center"/>
          </w:tcPr>
          <w:p>
            <w:pPr>
              <w:pStyle w:val="44"/>
              <w:spacing w:line="360" w:lineRule="exact"/>
              <w:ind w:firstLine="0" w:firstLineChars="0"/>
              <w:contextualSpacing/>
              <w:jc w:val="center"/>
              <w:rPr>
                <w:rFonts w:ascii="Times New Roman" w:hAnsi="Times New Roman" w:eastAsia="仿宋_GB2312" w:cs="Times New Roman"/>
                <w:b/>
                <w:bCs/>
                <w:sz w:val="24"/>
                <w:szCs w:val="24"/>
              </w:rPr>
            </w:pPr>
            <w:r>
              <w:rPr>
                <w:rFonts w:hint="eastAsia" w:ascii="Times New Roman" w:hAnsi="Times New Roman" w:eastAsia="仿宋_GB2312" w:cs="Times New Roman"/>
                <w:sz w:val="24"/>
                <w:szCs w:val="24"/>
              </w:rPr>
              <w:t>可可制品</w:t>
            </w:r>
          </w:p>
        </w:tc>
        <w:tc>
          <w:tcPr>
            <w:tcW w:w="772" w:type="dxa"/>
            <w:vMerge w:val="restart"/>
            <w:vAlign w:val="center"/>
          </w:tcPr>
          <w:p>
            <w:pPr>
              <w:pStyle w:val="44"/>
              <w:spacing w:line="360" w:lineRule="exact"/>
              <w:ind w:firstLine="0" w:firstLineChars="0"/>
              <w:contextualSpacing/>
              <w:jc w:val="center"/>
              <w:rPr>
                <w:rFonts w:ascii="Times New Roman" w:hAnsi="Times New Roman" w:eastAsia="仿宋_GB2312" w:cs="Times New Roman"/>
                <w:b/>
                <w:bCs/>
                <w:sz w:val="24"/>
                <w:szCs w:val="24"/>
              </w:rPr>
            </w:pPr>
            <w:r>
              <w:rPr>
                <w:rFonts w:hint="eastAsia" w:ascii="Times New Roman" w:hAnsi="Times New Roman" w:eastAsia="仿宋_GB2312" w:cs="Times New Roman"/>
                <w:sz w:val="24"/>
                <w:szCs w:val="24"/>
              </w:rPr>
              <w:t>可可粉</w:t>
            </w: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天平（0.1 g）</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可可脂</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g）、折光仪、恒温仪</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水分</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g）、干燥箱、干燥器</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灰分</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g）、电热板、马弗炉、干燥器</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细度</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g）、标准筛、干燥箱、干燥器</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pH值</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天平（0.1 g）、pH计</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依据产品包装上的净含量配备相应精度的计量器具</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其他（产品执行标准有要求时）</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按照检验方法标准要求配备</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restart"/>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可可脂</w:t>
            </w: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天平（0.1 g）、电热恒温培养箱、乳白灯泡</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色价</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折光指数</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折光仪、水浴锅</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水分及挥发物</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g）、干燥箱、干燥器</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游离脂肪酸</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分析天平（0.001 g）、水浴锅、滴定管</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碘价</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g）、滴定管</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皂化价</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g）、水浴锅、滴定管</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不皂化物</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分析天平（0.001 g）、水浴锅、电烘箱、圆底烧瓶、回流冷凝管、分液漏斗</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滑动熔点</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温度计、冰箱、水浴锅、熔点毛细管</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依据产品包装上的净含量配备相应精度的计量器具</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其他（产品执行标准有要求时）</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按照检验方法标准要求配备</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restart"/>
            <w:vAlign w:val="center"/>
          </w:tcPr>
          <w:p>
            <w:pPr>
              <w:pStyle w:val="44"/>
              <w:spacing w:line="360" w:lineRule="exact"/>
              <w:ind w:firstLine="0" w:firstLineChars="0"/>
              <w:contextualSpacing/>
              <w:jc w:val="left"/>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可可液块、可可饼块</w:t>
            </w: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感官</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天平（0.1 g）</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可可脂</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g）、折光仪、恒温仪</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水分及挥发物</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g）、干燥箱、干燥器</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细度</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g）、标准筛、干燥箱、干燥器</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灰分</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分析天平（0.0001 g）、电热板、马弗炉、干燥器</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pH值</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天平（0.1 g）、pH计</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b/>
                <w:bCs/>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b/>
                <w:bCs/>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净含量</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依据产品包装上的净含量配备相应精度的计量器具</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2" w:hRule="atLeast"/>
          <w:jc w:val="center"/>
        </w:trPr>
        <w:tc>
          <w:tcPr>
            <w:tcW w:w="721"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b/>
                <w:bCs/>
                <w:sz w:val="24"/>
                <w:szCs w:val="24"/>
              </w:rPr>
            </w:pPr>
          </w:p>
        </w:tc>
        <w:tc>
          <w:tcPr>
            <w:tcW w:w="772" w:type="dxa"/>
            <w:vMerge w:val="continue"/>
            <w:vAlign w:val="center"/>
          </w:tcPr>
          <w:p>
            <w:pPr>
              <w:pStyle w:val="44"/>
              <w:spacing w:line="360" w:lineRule="exact"/>
              <w:ind w:firstLine="0" w:firstLineChars="0"/>
              <w:contextualSpacing/>
              <w:jc w:val="center"/>
              <w:rPr>
                <w:rFonts w:ascii="Times New Roman" w:hAnsi="Times New Roman" w:eastAsia="仿宋_GB2312" w:cs="Times New Roman"/>
                <w:b/>
                <w:bCs/>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其他（产品执行标准有要求时）</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按照检验方法标准要求配备</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7" w:hRule="atLeast"/>
          <w:jc w:val="center"/>
        </w:trPr>
        <w:tc>
          <w:tcPr>
            <w:tcW w:w="1493" w:type="dxa"/>
            <w:gridSpan w:val="2"/>
            <w:vMerge w:val="restart"/>
            <w:vAlign w:val="center"/>
          </w:tcPr>
          <w:p>
            <w:pPr>
              <w:pStyle w:val="44"/>
              <w:spacing w:line="360" w:lineRule="exact"/>
              <w:ind w:firstLine="0" w:firstLineChars="0"/>
              <w:contextualSpacing/>
              <w:jc w:val="center"/>
              <w:rPr>
                <w:rFonts w:ascii="Times New Roman" w:hAnsi="Times New Roman" w:eastAsia="仿宋_GB2312" w:cs="Times New Roman"/>
                <w:b/>
                <w:bCs/>
                <w:kern w:val="0"/>
                <w:sz w:val="24"/>
                <w:szCs w:val="24"/>
              </w:rPr>
            </w:pPr>
            <w:r>
              <w:rPr>
                <w:rFonts w:hint="eastAsia" w:ascii="Times New Roman" w:hAnsi="Times New Roman" w:eastAsia="仿宋_GB2312" w:cs="Times New Roman"/>
                <w:b w:val="0"/>
                <w:bCs w:val="0"/>
                <w:kern w:val="0"/>
                <w:sz w:val="24"/>
                <w:szCs w:val="24"/>
              </w:rPr>
              <w:t>焙炒咖啡</w:t>
            </w: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外观和感官</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sz w:val="24"/>
                <w:szCs w:val="24"/>
              </w:rPr>
              <w:t>天平（0.1 g）、</w:t>
            </w:r>
            <w:r>
              <w:rPr>
                <w:rFonts w:hint="default" w:ascii="Times New Roman" w:hAnsi="Times New Roman" w:eastAsia="仿宋_GB2312" w:cs="Times New Roman"/>
                <w:kern w:val="0"/>
                <w:sz w:val="24"/>
                <w:szCs w:val="24"/>
              </w:rPr>
              <w:t>咖啡烘焙机、咖啡研磨机</w:t>
            </w:r>
            <w:r>
              <w:rPr>
                <w:rFonts w:hint="default" w:ascii="Times New Roman" w:hAnsi="Times New Roman" w:eastAsia="仿宋_GB2312" w:cs="Times New Roman"/>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493" w:type="dxa"/>
            <w:gridSpan w:val="2"/>
            <w:vMerge w:val="continue"/>
            <w:vAlign w:val="center"/>
          </w:tcPr>
          <w:p>
            <w:pPr>
              <w:pStyle w:val="44"/>
              <w:spacing w:line="360" w:lineRule="exact"/>
              <w:ind w:firstLine="0" w:firstLineChars="0"/>
              <w:contextualSpacing/>
              <w:jc w:val="center"/>
              <w:rPr>
                <w:rFonts w:ascii="Times New Roman" w:hAnsi="Times New Roman" w:eastAsia="仿宋_GB2312" w:cs="Times New Roman"/>
                <w:b/>
                <w:bCs/>
                <w:kern w:val="0"/>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水分</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sz w:val="24"/>
                <w:szCs w:val="24"/>
              </w:rPr>
              <w:t>分析天平（0.0001 g）、干燥箱</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493" w:type="dxa"/>
            <w:gridSpan w:val="2"/>
            <w:vMerge w:val="continue"/>
            <w:vAlign w:val="center"/>
          </w:tcPr>
          <w:p>
            <w:pPr>
              <w:pStyle w:val="44"/>
              <w:spacing w:line="360" w:lineRule="exact"/>
              <w:ind w:firstLine="0" w:firstLineChars="0"/>
              <w:contextualSpacing/>
              <w:jc w:val="center"/>
              <w:rPr>
                <w:rFonts w:ascii="Times New Roman" w:hAnsi="Times New Roman" w:eastAsia="仿宋_GB2312" w:cs="Times New Roman"/>
                <w:b/>
                <w:bCs/>
                <w:kern w:val="0"/>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包装</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kern w:val="0"/>
                <w:sz w:val="24"/>
                <w:szCs w:val="24"/>
              </w:rPr>
            </w:pPr>
            <w:r>
              <w:rPr>
                <w:rFonts w:hint="default" w:ascii="Times New Roman" w:hAnsi="Times New Roman"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1493" w:type="dxa"/>
            <w:gridSpan w:val="2"/>
            <w:vMerge w:val="continue"/>
            <w:vAlign w:val="center"/>
          </w:tcPr>
          <w:p>
            <w:pPr>
              <w:pStyle w:val="44"/>
              <w:spacing w:line="360" w:lineRule="exact"/>
              <w:ind w:firstLine="0" w:firstLineChars="0"/>
              <w:contextualSpacing/>
              <w:jc w:val="center"/>
              <w:rPr>
                <w:rFonts w:ascii="Times New Roman" w:hAnsi="Times New Roman" w:eastAsia="仿宋_GB2312" w:cs="Times New Roman"/>
                <w:b/>
                <w:bCs/>
                <w:kern w:val="0"/>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净含量</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依据产品包装上的净含量配备相应精度的计量器具</w:t>
            </w:r>
            <w:r>
              <w:rPr>
                <w:rFonts w:hint="default" w:ascii="Times New Roman" w:hAnsi="Times New Roman" w:eastAsia="仿宋_GB2312"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0" w:hRule="atLeast"/>
          <w:jc w:val="center"/>
        </w:trPr>
        <w:tc>
          <w:tcPr>
            <w:tcW w:w="1493" w:type="dxa"/>
            <w:gridSpan w:val="2"/>
            <w:vMerge w:val="continue"/>
            <w:vAlign w:val="center"/>
          </w:tcPr>
          <w:p>
            <w:pPr>
              <w:pStyle w:val="44"/>
              <w:spacing w:line="360" w:lineRule="exact"/>
              <w:ind w:firstLine="0" w:firstLineChars="0"/>
              <w:contextualSpacing/>
              <w:jc w:val="center"/>
              <w:rPr>
                <w:rFonts w:ascii="Times New Roman" w:hAnsi="Times New Roman" w:eastAsia="仿宋_GB2312" w:cs="Times New Roman"/>
                <w:b/>
                <w:bCs/>
                <w:kern w:val="0"/>
                <w:sz w:val="24"/>
                <w:szCs w:val="24"/>
              </w:rPr>
            </w:pPr>
          </w:p>
        </w:tc>
        <w:tc>
          <w:tcPr>
            <w:tcW w:w="1788" w:type="dxa"/>
            <w:vAlign w:val="center"/>
          </w:tcPr>
          <w:p>
            <w:pPr>
              <w:pStyle w:val="44"/>
              <w:spacing w:line="360" w:lineRule="exact"/>
              <w:ind w:firstLine="0" w:firstLineChars="0"/>
              <w:contextualSpacing/>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其他（</w:t>
            </w:r>
            <w:r>
              <w:rPr>
                <w:rFonts w:hint="default" w:ascii="Times New Roman" w:hAnsi="Times New Roman" w:eastAsia="仿宋_GB2312" w:cs="Times New Roman"/>
                <w:sz w:val="24"/>
                <w:szCs w:val="24"/>
              </w:rPr>
              <w:t>产品执行标准有要求时</w:t>
            </w:r>
            <w:r>
              <w:rPr>
                <w:rFonts w:hint="default" w:ascii="Times New Roman" w:hAnsi="Times New Roman" w:eastAsia="仿宋_GB2312" w:cs="Times New Roman"/>
                <w:kern w:val="0"/>
                <w:sz w:val="24"/>
                <w:szCs w:val="24"/>
              </w:rPr>
              <w:t>）</w:t>
            </w:r>
          </w:p>
        </w:tc>
        <w:tc>
          <w:tcPr>
            <w:tcW w:w="5654" w:type="dxa"/>
            <w:vAlign w:val="center"/>
          </w:tcPr>
          <w:p>
            <w:pPr>
              <w:pStyle w:val="44"/>
              <w:spacing w:line="360" w:lineRule="exact"/>
              <w:ind w:firstLine="0" w:firstLineChars="0"/>
              <w:contextualSpacing/>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按照检验方法标准的要求配备</w:t>
            </w:r>
            <w:r>
              <w:rPr>
                <w:rFonts w:hint="default" w:ascii="Times New Roman" w:hAnsi="Times New Roman" w:eastAsia="仿宋_GB2312" w:cs="Times New Roman"/>
                <w:kern w:val="0"/>
                <w:sz w:val="24"/>
                <w:szCs w:val="24"/>
                <w:lang w:eastAsia="zh-CN"/>
              </w:rPr>
              <w:t>。</w:t>
            </w:r>
          </w:p>
        </w:tc>
      </w:tr>
    </w:tbl>
    <w:p>
      <w:pPr>
        <w:widowControl w:val="0"/>
        <w:spacing w:line="594" w:lineRule="exact"/>
        <w:ind w:firstLine="640" w:firstLineChars="200"/>
        <w:jc w:val="both"/>
        <w:rPr>
          <w:rFonts w:ascii="Times New Roman" w:hAnsi="Times New Roman" w:eastAsia="仿宋_GB2312" w:cs="Times New Roman"/>
          <w:b/>
          <w:bCs/>
          <w:kern w:val="2"/>
          <w:sz w:val="32"/>
          <w:szCs w:val="32"/>
        </w:rPr>
      </w:pPr>
      <w:r>
        <w:rPr>
          <w:rFonts w:hint="default" w:ascii="Times New Roman" w:hAnsi="Times New Roman" w:eastAsia="黑体" w:cs="Times New Roman"/>
          <w:sz w:val="32"/>
          <w:szCs w:val="32"/>
        </w:rPr>
        <w:t>第二十六条</w:t>
      </w:r>
      <w:r>
        <w:rPr>
          <w:rFonts w:hint="eastAsia" w:ascii="Times New Roman" w:hAnsi="Times New Roman" w:eastAsia="仿宋_GB2312" w:cs="Times New Roman"/>
          <w:kern w:val="2"/>
          <w:sz w:val="32"/>
        </w:rPr>
        <w:t xml:space="preserve"> </w:t>
      </w:r>
      <w:r>
        <w:rPr>
          <w:rFonts w:ascii="Times New Roman" w:hAnsi="Times New Roman" w:eastAsia="仿宋_GB2312" w:cs="Times New Roman"/>
          <w:kern w:val="2"/>
          <w:sz w:val="32"/>
        </w:rPr>
        <w:t>采用快</w:t>
      </w:r>
      <w:r>
        <w:rPr>
          <w:rFonts w:hint="eastAsia" w:ascii="Times New Roman" w:hAnsi="Times New Roman" w:eastAsia="仿宋_GB2312" w:cs="Times New Roman"/>
          <w:kern w:val="2"/>
          <w:sz w:val="32"/>
        </w:rPr>
        <w:t>速检测</w:t>
      </w:r>
      <w:r>
        <w:rPr>
          <w:rFonts w:ascii="Times New Roman" w:hAnsi="Times New Roman" w:eastAsia="仿宋_GB2312" w:cs="Times New Roman"/>
          <w:kern w:val="2"/>
          <w:sz w:val="32"/>
        </w:rPr>
        <w:t>方法的，应配备相应的</w:t>
      </w:r>
      <w:r>
        <w:rPr>
          <w:rFonts w:hint="eastAsia" w:ascii="Times New Roman" w:hAnsi="Times New Roman" w:eastAsia="仿宋_GB2312" w:cs="Times New Roman"/>
          <w:kern w:val="2"/>
          <w:sz w:val="32"/>
        </w:rPr>
        <w:t>检验</w:t>
      </w:r>
      <w:r>
        <w:rPr>
          <w:rFonts w:ascii="Times New Roman" w:hAnsi="Times New Roman" w:eastAsia="仿宋_GB2312" w:cs="Times New Roman"/>
          <w:kern w:val="2"/>
          <w:sz w:val="32"/>
        </w:rPr>
        <w:t>设备。</w:t>
      </w:r>
      <w:r>
        <w:rPr>
          <w:rFonts w:hint="eastAsia" w:ascii="Times New Roman" w:hAnsi="Times New Roman" w:eastAsia="仿宋_GB2312" w:cs="Times New Roman"/>
          <w:kern w:val="2"/>
          <w:sz w:val="32"/>
        </w:rPr>
        <w:t>并定期与国家标准规定的检验方法进行比对或验证，保证检测结果准确。当快速检测方法检测结果显示异常时，应使用国家标准规定的检验方法进行验证。</w:t>
      </w:r>
    </w:p>
    <w:p>
      <w:pPr>
        <w:widowControl w:val="0"/>
        <w:spacing w:line="594" w:lineRule="exact"/>
        <w:ind w:firstLine="640" w:firstLineChars="200"/>
        <w:jc w:val="center"/>
        <w:rPr>
          <w:rFonts w:ascii="Times New Roman" w:hAnsi="Times New Roman" w:eastAsia="黑体" w:cs="Times New Roman"/>
          <w:sz w:val="36"/>
          <w:szCs w:val="36"/>
        </w:rPr>
      </w:pPr>
      <w:r>
        <w:rPr>
          <w:rFonts w:hint="eastAsia" w:ascii="Times New Roman" w:hAnsi="Times New Roman" w:eastAsia="黑体" w:cs="Times New Roman"/>
          <w:sz w:val="32"/>
          <w:szCs w:val="32"/>
        </w:rPr>
        <w:t>第四章 设备布局和工艺流程</w:t>
      </w:r>
      <w:bookmarkEnd w:id="5"/>
    </w:p>
    <w:p>
      <w:pPr>
        <w:pStyle w:val="21"/>
        <w:spacing w:line="594" w:lineRule="exact"/>
        <w:ind w:firstLine="640" w:firstLineChars="200"/>
        <w:rPr>
          <w:rFonts w:ascii="Times New Roman" w:hAnsi="Times New Roman" w:eastAsia="仿宋_GB2312"/>
          <w:kern w:val="0"/>
          <w:sz w:val="32"/>
          <w:szCs w:val="32"/>
        </w:rPr>
      </w:pPr>
      <w:r>
        <w:rPr>
          <w:rFonts w:hint="default" w:ascii="Times New Roman" w:hAnsi="Times New Roman" w:eastAsia="黑体" w:cs="Times New Roman"/>
          <w:kern w:val="0"/>
          <w:sz w:val="32"/>
          <w:szCs w:val="32"/>
        </w:rPr>
        <w:t xml:space="preserve">第二十七条 </w:t>
      </w:r>
      <w:r>
        <w:rPr>
          <w:rFonts w:hint="eastAsia" w:ascii="Times New Roman" w:hAnsi="Times New Roman" w:eastAsia="仿宋_GB2312"/>
          <w:kern w:val="0"/>
          <w:sz w:val="32"/>
          <w:szCs w:val="32"/>
        </w:rPr>
        <w:t>应具备合理的生产设备布局和工艺流程，避免交叉污染。</w:t>
      </w:r>
    </w:p>
    <w:p>
      <w:pPr>
        <w:pStyle w:val="21"/>
        <w:spacing w:line="594" w:lineRule="exact"/>
        <w:ind w:firstLine="640" w:firstLineChars="200"/>
        <w:rPr>
          <w:rFonts w:ascii="Times New Roman" w:hAnsi="Times New Roman" w:eastAsia="仿宋_GB2312"/>
          <w:kern w:val="0"/>
          <w:sz w:val="32"/>
          <w:szCs w:val="32"/>
        </w:rPr>
      </w:pPr>
      <w:r>
        <w:rPr>
          <w:rFonts w:hint="default" w:ascii="Times New Roman" w:hAnsi="Times New Roman" w:eastAsia="黑体" w:cs="Times New Roman"/>
          <w:kern w:val="0"/>
          <w:sz w:val="32"/>
          <w:szCs w:val="32"/>
        </w:rPr>
        <w:t xml:space="preserve">第二十八条 </w:t>
      </w:r>
      <w:r>
        <w:rPr>
          <w:rFonts w:hint="eastAsia" w:ascii="Times New Roman" w:hAnsi="Times New Roman" w:eastAsia="仿宋_GB2312"/>
          <w:kern w:val="0"/>
          <w:sz w:val="32"/>
          <w:szCs w:val="32"/>
        </w:rPr>
        <w:t>应根据产品特性、质量要求、风险控制等因素确定关键控制环节。可可及焙炒咖啡产品生产常规工艺流程及关键控制环节见表</w:t>
      </w:r>
      <w:r>
        <w:rPr>
          <w:rFonts w:ascii="Times New Roman" w:hAnsi="Times New Roman" w:eastAsia="仿宋_GB2312"/>
          <w:kern w:val="0"/>
          <w:sz w:val="32"/>
          <w:szCs w:val="32"/>
        </w:rPr>
        <w:t>6</w:t>
      </w:r>
      <w:r>
        <w:rPr>
          <w:rFonts w:hint="eastAsia" w:ascii="Times New Roman" w:hAnsi="Times New Roman" w:eastAsia="仿宋_GB2312"/>
          <w:kern w:val="0"/>
          <w:sz w:val="32"/>
          <w:szCs w:val="32"/>
        </w:rPr>
        <w:t>。</w:t>
      </w:r>
    </w:p>
    <w:p>
      <w:pPr>
        <w:spacing w:line="594" w:lineRule="exact"/>
        <w:jc w:val="center"/>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表</w:t>
      </w:r>
      <w:r>
        <w:rPr>
          <w:rFonts w:ascii="Times New Roman" w:hAnsi="Times New Roman" w:eastAsia="仿宋_GB2312" w:cs="Times New Roman"/>
          <w:b/>
          <w:bCs/>
          <w:sz w:val="28"/>
          <w:szCs w:val="28"/>
        </w:rPr>
        <w:t xml:space="preserve">6 </w:t>
      </w:r>
      <w:r>
        <w:rPr>
          <w:rFonts w:hint="eastAsia" w:ascii="Times New Roman" w:hAnsi="Times New Roman" w:eastAsia="仿宋_GB2312" w:cs="Times New Roman"/>
          <w:b/>
          <w:bCs/>
          <w:sz w:val="28"/>
          <w:szCs w:val="28"/>
        </w:rPr>
        <w:t>可可及焙炒咖啡产品生产常规工艺流程及关键控制环节</w:t>
      </w:r>
    </w:p>
    <w:tbl>
      <w:tblPr>
        <w:tblStyle w:val="23"/>
        <w:tblW w:w="8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1001"/>
        <w:gridCol w:w="3325"/>
        <w:gridCol w:w="4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blHeader/>
          <w:jc w:val="center"/>
        </w:trPr>
        <w:tc>
          <w:tcPr>
            <w:tcW w:w="1459"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类别名称</w:t>
            </w:r>
          </w:p>
        </w:tc>
        <w:tc>
          <w:tcPr>
            <w:tcW w:w="33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基本工艺流程</w:t>
            </w:r>
          </w:p>
        </w:tc>
        <w:tc>
          <w:tcPr>
            <w:tcW w:w="413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黑体" w:cs="Times New Roman"/>
                <w:b w:val="0"/>
                <w:bCs w:val="0"/>
              </w:rPr>
            </w:pPr>
            <w:r>
              <w:rPr>
                <w:rFonts w:hint="default" w:ascii="Times New Roman" w:hAnsi="Times New Roman" w:eastAsia="黑体" w:cs="Times New Roman"/>
                <w:b w:val="0"/>
                <w:bCs w:val="0"/>
              </w:rPr>
              <w:t>关键控制环节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458" w:type="dxa"/>
            <w:vMerge w:val="restart"/>
            <w:tcBorders>
              <w:top w:val="single" w:color="auto" w:sz="4" w:space="0"/>
              <w:left w:val="single" w:color="auto" w:sz="4" w:space="0"/>
              <w:right w:val="single" w:color="auto" w:sz="4" w:space="0"/>
            </w:tcBorders>
            <w:vAlign w:val="center"/>
          </w:tcPr>
          <w:p>
            <w:pPr>
              <w:adjustRightInd w:val="0"/>
              <w:snapToGrid w:val="0"/>
              <w:spacing w:after="200" w:line="360" w:lineRule="exact"/>
              <w:jc w:val="center"/>
              <w:rPr>
                <w:rFonts w:ascii="Times New Roman" w:hAnsi="Times New Roman" w:eastAsia="仿宋_GB2312" w:cs="Times New Roman"/>
              </w:rPr>
            </w:pPr>
            <w:r>
              <w:rPr>
                <w:rFonts w:hint="eastAsia" w:ascii="Times New Roman" w:hAnsi="Times New Roman" w:eastAsia="仿宋_GB2312" w:cs="Times New Roman"/>
                <w:b w:val="0"/>
                <w:bCs w:val="0"/>
              </w:rPr>
              <w:t>可可制品</w:t>
            </w: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both"/>
              <w:rPr>
                <w:rFonts w:ascii="Times New Roman" w:hAnsi="Times New Roman" w:eastAsia="仿宋_GB2312" w:cs="Times New Roman"/>
              </w:rPr>
            </w:pPr>
            <w:r>
              <w:rPr>
                <w:rFonts w:hint="eastAsia" w:ascii="Times New Roman" w:hAnsi="Times New Roman" w:eastAsia="仿宋_GB2312" w:cs="Times New Roman"/>
              </w:rPr>
              <w:t>可可脂</w:t>
            </w:r>
          </w:p>
        </w:tc>
        <w:tc>
          <w:tcPr>
            <w:tcW w:w="33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both"/>
              <w:rPr>
                <w:rFonts w:hint="eastAsia" w:ascii="Times New Roman" w:hAnsi="Times New Roman" w:eastAsia="仿宋_GB2312" w:cs="Times New Roman"/>
                <w:lang w:eastAsia="zh-CN"/>
              </w:rPr>
            </w:pPr>
            <w:r>
              <w:rPr>
                <w:rFonts w:hint="eastAsia" w:ascii="Times New Roman" w:hAnsi="Times New Roman" w:eastAsia="仿宋_GB2312" w:cs="Times New Roman"/>
              </w:rPr>
              <w:t>原料验收→清理筛选→焙炒→破碎→壳仁分离→研磨→机榨→过滤→冷却→包装→成品</w:t>
            </w:r>
            <w:r>
              <w:rPr>
                <w:rFonts w:hint="eastAsia" w:ascii="Times New Roman" w:hAnsi="Times New Roman" w:eastAsia="仿宋_GB2312" w:cs="Times New Roman"/>
                <w:lang w:eastAsia="zh-CN"/>
              </w:rPr>
              <w:t>。</w:t>
            </w:r>
          </w:p>
        </w:tc>
        <w:tc>
          <w:tcPr>
            <w:tcW w:w="4133"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jc w:val="both"/>
              <w:rPr>
                <w:rFonts w:ascii="Times New Roman" w:hAnsi="Times New Roman" w:eastAsia="仿宋_GB2312" w:cs="Times New Roman"/>
              </w:rPr>
            </w:pPr>
            <w:r>
              <w:rPr>
                <w:rFonts w:ascii="Times New Roman" w:hAnsi="Times New Roman" w:eastAsia="仿宋_GB2312" w:cs="Times New Roman"/>
              </w:rPr>
              <w:t>1</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原料验收：原料应当符合相关规定；</w:t>
            </w:r>
          </w:p>
          <w:p>
            <w:pPr>
              <w:adjustRightInd w:val="0"/>
              <w:snapToGrid w:val="0"/>
              <w:spacing w:line="360" w:lineRule="exact"/>
              <w:jc w:val="both"/>
              <w:rPr>
                <w:rFonts w:ascii="Times New Roman" w:hAnsi="Times New Roman" w:eastAsia="仿宋_GB2312" w:cs="Times New Roman"/>
              </w:rPr>
            </w:pPr>
            <w:r>
              <w:rPr>
                <w:rFonts w:ascii="Times New Roman" w:hAnsi="Times New Roman" w:eastAsia="仿宋_GB2312" w:cs="Times New Roman"/>
              </w:rPr>
              <w:t>2</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焙炒工艺控制参数；</w:t>
            </w:r>
          </w:p>
          <w:p>
            <w:pPr>
              <w:adjustRightInd w:val="0"/>
              <w:snapToGrid w:val="0"/>
              <w:spacing w:line="360" w:lineRule="exact"/>
              <w:jc w:val="both"/>
              <w:rPr>
                <w:rFonts w:ascii="Times New Roman" w:hAnsi="Times New Roman" w:eastAsia="仿宋_GB2312" w:cs="Times New Roman"/>
              </w:rPr>
            </w:pPr>
            <w:r>
              <w:rPr>
                <w:rFonts w:ascii="Times New Roman" w:hAnsi="Times New Roman" w:eastAsia="仿宋_GB2312" w:cs="Times New Roman"/>
              </w:rPr>
              <w:t>3</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壳仁分离工艺控制参数；</w:t>
            </w:r>
          </w:p>
          <w:p>
            <w:pPr>
              <w:adjustRightInd w:val="0"/>
              <w:snapToGrid w:val="0"/>
              <w:spacing w:line="360" w:lineRule="exact"/>
              <w:jc w:val="both"/>
              <w:rPr>
                <w:rFonts w:ascii="Times New Roman" w:hAnsi="Times New Roman" w:eastAsia="仿宋_GB2312" w:cs="Times New Roman"/>
              </w:rPr>
            </w:pPr>
            <w:r>
              <w:rPr>
                <w:rFonts w:ascii="Times New Roman" w:hAnsi="Times New Roman" w:eastAsia="仿宋_GB2312" w:cs="Times New Roman"/>
              </w:rPr>
              <w:t>4</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异物控制：防止产品中混入异物。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458" w:type="dxa"/>
            <w:vMerge w:val="continue"/>
            <w:tcBorders>
              <w:top w:val="single" w:color="auto" w:sz="4" w:space="0"/>
              <w:left w:val="single" w:color="auto" w:sz="4" w:space="0"/>
              <w:right w:val="single" w:color="auto" w:sz="4" w:space="0"/>
            </w:tcBorders>
            <w:vAlign w:val="center"/>
          </w:tcPr>
          <w:p>
            <w:pPr>
              <w:adjustRightInd w:val="0"/>
              <w:snapToGrid w:val="0"/>
              <w:spacing w:after="200" w:line="360" w:lineRule="exact"/>
              <w:jc w:val="center"/>
              <w:rPr>
                <w:rFonts w:ascii="Times New Roman" w:hAnsi="Times New Roman" w:eastAsia="仿宋_GB2312" w:cs="Times New Roman"/>
                <w:b w:val="0"/>
                <w:bCs w:val="0"/>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both"/>
              <w:rPr>
                <w:rFonts w:ascii="Times New Roman" w:hAnsi="Times New Roman" w:eastAsia="仿宋_GB2312" w:cs="Times New Roman"/>
              </w:rPr>
            </w:pPr>
            <w:r>
              <w:rPr>
                <w:rFonts w:hint="eastAsia" w:ascii="Times New Roman" w:hAnsi="Times New Roman" w:eastAsia="仿宋_GB2312" w:cs="Times New Roman"/>
              </w:rPr>
              <w:t>可可液块</w:t>
            </w:r>
          </w:p>
        </w:tc>
        <w:tc>
          <w:tcPr>
            <w:tcW w:w="33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both"/>
              <w:rPr>
                <w:rFonts w:hint="eastAsia" w:ascii="Times New Roman" w:hAnsi="Times New Roman" w:eastAsia="仿宋_GB2312" w:cs="Times New Roman"/>
                <w:lang w:eastAsia="zh-CN"/>
              </w:rPr>
            </w:pPr>
            <w:r>
              <w:rPr>
                <w:rFonts w:hint="eastAsia" w:ascii="Times New Roman" w:hAnsi="Times New Roman" w:eastAsia="仿宋_GB2312" w:cs="Times New Roman"/>
              </w:rPr>
              <w:t>原料验收→清理筛选→焙炒→破碎→壳仁分离→碱化（或不碱化）→研磨→冷却→包装→成品</w:t>
            </w:r>
            <w:r>
              <w:rPr>
                <w:rFonts w:hint="eastAsia" w:ascii="Times New Roman" w:hAnsi="Times New Roman" w:eastAsia="仿宋_GB2312" w:cs="Times New Roman"/>
                <w:lang w:eastAsia="zh-CN"/>
              </w:rPr>
              <w:t>。</w:t>
            </w:r>
          </w:p>
        </w:tc>
        <w:tc>
          <w:tcPr>
            <w:tcW w:w="4133" w:type="dxa"/>
            <w:vMerge w:val="continue"/>
            <w:tcBorders>
              <w:left w:val="single" w:color="auto" w:sz="4" w:space="0"/>
              <w:right w:val="single" w:color="auto" w:sz="4" w:space="0"/>
            </w:tcBorders>
            <w:vAlign w:val="center"/>
          </w:tcPr>
          <w:p>
            <w:pPr>
              <w:spacing w:line="360" w:lineRule="exac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58" w:hRule="atLeast"/>
          <w:jc w:val="center"/>
        </w:trPr>
        <w:tc>
          <w:tcPr>
            <w:tcW w:w="458" w:type="dxa"/>
            <w:vMerge w:val="continue"/>
            <w:tcBorders>
              <w:top w:val="single" w:color="auto" w:sz="4" w:space="0"/>
              <w:left w:val="single" w:color="auto" w:sz="4" w:space="0"/>
              <w:right w:val="single" w:color="auto" w:sz="4" w:space="0"/>
            </w:tcBorders>
            <w:vAlign w:val="center"/>
          </w:tcPr>
          <w:p>
            <w:pPr>
              <w:adjustRightInd w:val="0"/>
              <w:snapToGrid w:val="0"/>
              <w:spacing w:after="200" w:line="360" w:lineRule="exact"/>
              <w:jc w:val="center"/>
              <w:rPr>
                <w:rFonts w:ascii="Times New Roman" w:hAnsi="Times New Roman" w:eastAsia="仿宋_GB2312" w:cs="Times New Roman"/>
                <w:b w:val="0"/>
                <w:bCs w:val="0"/>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both"/>
              <w:rPr>
                <w:rFonts w:ascii="Times New Roman" w:hAnsi="Times New Roman" w:eastAsia="仿宋_GB2312" w:cs="Times New Roman"/>
              </w:rPr>
            </w:pPr>
            <w:r>
              <w:rPr>
                <w:rFonts w:hint="eastAsia" w:ascii="Times New Roman" w:hAnsi="Times New Roman" w:eastAsia="仿宋_GB2312" w:cs="Times New Roman"/>
              </w:rPr>
              <w:t>可可饼块</w:t>
            </w:r>
          </w:p>
        </w:tc>
        <w:tc>
          <w:tcPr>
            <w:tcW w:w="33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both"/>
              <w:rPr>
                <w:rFonts w:hint="eastAsia" w:ascii="Times New Roman" w:hAnsi="Times New Roman" w:eastAsia="仿宋_GB2312" w:cs="Times New Roman"/>
                <w:lang w:eastAsia="zh-CN"/>
              </w:rPr>
            </w:pPr>
            <w:r>
              <w:rPr>
                <w:rFonts w:hint="eastAsia" w:ascii="Times New Roman" w:hAnsi="Times New Roman" w:eastAsia="仿宋_GB2312" w:cs="Times New Roman"/>
              </w:rPr>
              <w:t>原料验收→清理筛选→焙炒→破碎→壳仁分离→碱化（或不碱化）→研磨→机榨→包装→成品</w:t>
            </w:r>
            <w:r>
              <w:rPr>
                <w:rFonts w:hint="eastAsia" w:ascii="Times New Roman" w:hAnsi="Times New Roman" w:eastAsia="仿宋_GB2312" w:cs="Times New Roman"/>
                <w:lang w:eastAsia="zh-CN"/>
              </w:rPr>
              <w:t>。</w:t>
            </w:r>
          </w:p>
        </w:tc>
        <w:tc>
          <w:tcPr>
            <w:tcW w:w="4133" w:type="dxa"/>
            <w:vMerge w:val="continue"/>
            <w:tcBorders>
              <w:left w:val="single" w:color="auto" w:sz="4" w:space="0"/>
              <w:right w:val="single" w:color="auto" w:sz="4" w:space="0"/>
            </w:tcBorders>
            <w:vAlign w:val="center"/>
          </w:tcPr>
          <w:p>
            <w:pPr>
              <w:spacing w:line="360" w:lineRule="exac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58" w:type="dxa"/>
            <w:vMerge w:val="continue"/>
            <w:tcBorders>
              <w:top w:val="single" w:color="auto" w:sz="4" w:space="0"/>
              <w:left w:val="single" w:color="auto" w:sz="4" w:space="0"/>
              <w:right w:val="single" w:color="auto" w:sz="4" w:space="0"/>
            </w:tcBorders>
            <w:vAlign w:val="center"/>
          </w:tcPr>
          <w:p>
            <w:pPr>
              <w:adjustRightInd w:val="0"/>
              <w:snapToGrid w:val="0"/>
              <w:spacing w:after="200" w:line="360" w:lineRule="exact"/>
              <w:jc w:val="center"/>
              <w:rPr>
                <w:rFonts w:ascii="Times New Roman" w:hAnsi="Times New Roman" w:eastAsia="仿宋_GB2312" w:cs="Times New Roman"/>
                <w:b w:val="0"/>
                <w:bCs w:val="0"/>
              </w:rPr>
            </w:pPr>
          </w:p>
        </w:tc>
        <w:tc>
          <w:tcPr>
            <w:tcW w:w="10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both"/>
              <w:rPr>
                <w:rFonts w:ascii="Times New Roman" w:hAnsi="Times New Roman" w:eastAsia="仿宋_GB2312" w:cs="Times New Roman"/>
              </w:rPr>
            </w:pPr>
            <w:r>
              <w:rPr>
                <w:rFonts w:hint="eastAsia" w:ascii="Times New Roman" w:hAnsi="Times New Roman" w:eastAsia="仿宋_GB2312" w:cs="Times New Roman"/>
              </w:rPr>
              <w:t>可可粉</w:t>
            </w:r>
          </w:p>
        </w:tc>
        <w:tc>
          <w:tcPr>
            <w:tcW w:w="33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jc w:val="both"/>
              <w:rPr>
                <w:rFonts w:hint="eastAsia" w:ascii="Times New Roman" w:hAnsi="Times New Roman" w:eastAsia="仿宋_GB2312" w:cs="Times New Roman"/>
                <w:lang w:eastAsia="zh-CN"/>
              </w:rPr>
            </w:pPr>
            <w:r>
              <w:rPr>
                <w:rFonts w:hint="eastAsia" w:ascii="Times New Roman" w:hAnsi="Times New Roman" w:eastAsia="仿宋_GB2312" w:cs="Times New Roman"/>
              </w:rPr>
              <w:t>可可饼块→粉碎→包装→成品</w:t>
            </w:r>
            <w:r>
              <w:rPr>
                <w:rFonts w:hint="eastAsia" w:ascii="Times New Roman" w:hAnsi="Times New Roman" w:eastAsia="仿宋_GB2312" w:cs="Times New Roman"/>
                <w:lang w:eastAsia="zh-CN"/>
              </w:rPr>
              <w:t>。</w:t>
            </w:r>
          </w:p>
        </w:tc>
        <w:tc>
          <w:tcPr>
            <w:tcW w:w="4133" w:type="dxa"/>
            <w:vMerge w:val="continue"/>
            <w:tcBorders>
              <w:left w:val="single" w:color="auto" w:sz="4" w:space="0"/>
              <w:right w:val="single" w:color="auto" w:sz="4" w:space="0"/>
            </w:tcBorders>
            <w:vAlign w:val="center"/>
          </w:tcPr>
          <w:p>
            <w:pPr>
              <w:spacing w:line="360" w:lineRule="exac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458" w:type="dxa"/>
            <w:vMerge w:val="restart"/>
            <w:tcBorders>
              <w:top w:val="single" w:color="auto" w:sz="4" w:space="0"/>
              <w:left w:val="single" w:color="auto" w:sz="4" w:space="0"/>
              <w:right w:val="single" w:color="auto" w:sz="4" w:space="0"/>
            </w:tcBorders>
            <w:vAlign w:val="center"/>
          </w:tcPr>
          <w:p>
            <w:pPr>
              <w:adjustRightInd w:val="0"/>
              <w:snapToGrid w:val="0"/>
              <w:spacing w:after="200" w:line="360" w:lineRule="exact"/>
              <w:rPr>
                <w:rFonts w:ascii="Times New Roman" w:hAnsi="Times New Roman" w:eastAsia="仿宋_GB2312" w:cs="Times New Roman"/>
              </w:rPr>
            </w:pPr>
            <w:r>
              <w:rPr>
                <w:rFonts w:hint="eastAsia" w:ascii="Times New Roman" w:hAnsi="Times New Roman" w:eastAsia="仿宋_GB2312" w:cs="Times New Roman"/>
                <w:b w:val="0"/>
                <w:bCs w:val="0"/>
              </w:rPr>
              <w:t>焙炒咖啡</w:t>
            </w:r>
          </w:p>
        </w:tc>
        <w:tc>
          <w:tcPr>
            <w:tcW w:w="1001" w:type="dxa"/>
            <w:tcBorders>
              <w:top w:val="single" w:color="auto" w:sz="4" w:space="0"/>
              <w:left w:val="single" w:color="auto" w:sz="4" w:space="0"/>
              <w:right w:val="single" w:color="auto" w:sz="4" w:space="0"/>
            </w:tcBorders>
            <w:vAlign w:val="center"/>
          </w:tcPr>
          <w:p>
            <w:pPr>
              <w:adjustRightInd w:val="0"/>
              <w:snapToGrid w:val="0"/>
              <w:spacing w:after="200" w:line="360" w:lineRule="exact"/>
              <w:rPr>
                <w:rFonts w:ascii="Times New Roman" w:hAnsi="Times New Roman" w:eastAsia="仿宋_GB2312" w:cs="Times New Roman"/>
              </w:rPr>
            </w:pPr>
            <w:r>
              <w:rPr>
                <w:rFonts w:hint="eastAsia" w:ascii="Times New Roman" w:hAnsi="Times New Roman" w:eastAsia="仿宋_GB2312" w:cs="Times New Roman"/>
              </w:rPr>
              <w:t>焙炒咖啡豆</w:t>
            </w:r>
          </w:p>
        </w:tc>
        <w:tc>
          <w:tcPr>
            <w:tcW w:w="33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rPr>
                <w:rFonts w:hint="eastAsia" w:ascii="Times New Roman" w:hAnsi="Times New Roman" w:eastAsia="仿宋_GB2312" w:cs="Times New Roman"/>
                <w:lang w:eastAsia="zh-CN"/>
              </w:rPr>
            </w:pPr>
            <w:r>
              <w:rPr>
                <w:rFonts w:hint="eastAsia" w:ascii="Times New Roman" w:hAnsi="Times New Roman" w:eastAsia="仿宋_GB2312" w:cs="Times New Roman"/>
              </w:rPr>
              <w:t>原料验收→清理筛选→拼配（或不拼配）→焙炒→冷却→包装→成品</w:t>
            </w:r>
            <w:r>
              <w:rPr>
                <w:rFonts w:hint="eastAsia" w:ascii="Times New Roman" w:hAnsi="Times New Roman" w:eastAsia="仿宋_GB2312" w:cs="Times New Roman"/>
                <w:lang w:eastAsia="zh-CN"/>
              </w:rPr>
              <w:t>。</w:t>
            </w:r>
          </w:p>
        </w:tc>
        <w:tc>
          <w:tcPr>
            <w:tcW w:w="4133"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jc w:val="both"/>
              <w:rPr>
                <w:rFonts w:ascii="Times New Roman" w:hAnsi="Times New Roman" w:eastAsia="仿宋_GB2312" w:cs="Times New Roman"/>
              </w:rPr>
            </w:pPr>
            <w:r>
              <w:rPr>
                <w:rFonts w:ascii="Times New Roman" w:hAnsi="Times New Roman" w:eastAsia="仿宋_GB2312" w:cs="Times New Roman"/>
              </w:rPr>
              <w:t>1</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原料验收：原料应当符合相关规定；</w:t>
            </w:r>
          </w:p>
          <w:p>
            <w:pPr>
              <w:adjustRightInd w:val="0"/>
              <w:snapToGrid w:val="0"/>
              <w:spacing w:line="360" w:lineRule="exact"/>
              <w:jc w:val="both"/>
              <w:rPr>
                <w:rFonts w:ascii="Times New Roman" w:hAnsi="Times New Roman" w:eastAsia="仿宋_GB2312" w:cs="Times New Roman"/>
              </w:rPr>
            </w:pPr>
            <w:r>
              <w:rPr>
                <w:rFonts w:ascii="Times New Roman" w:hAnsi="Times New Roman" w:eastAsia="仿宋_GB2312" w:cs="Times New Roman"/>
              </w:rPr>
              <w:t>2</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焙炒工艺控制参数；</w:t>
            </w:r>
          </w:p>
          <w:p>
            <w:pPr>
              <w:pStyle w:val="32"/>
              <w:widowControl/>
              <w:adjustRightInd w:val="0"/>
              <w:snapToGrid w:val="0"/>
              <w:spacing w:line="360" w:lineRule="exact"/>
              <w:ind w:firstLine="0" w:firstLineChars="0"/>
              <w:jc w:val="left"/>
              <w:rPr>
                <w:rFonts w:ascii="Times New Roman" w:hAnsi="Times New Roman"/>
                <w:sz w:val="24"/>
              </w:rPr>
            </w:pPr>
            <w:r>
              <w:rPr>
                <w:rFonts w:ascii="Times New Roman" w:hAnsi="Times New Roman" w:eastAsia="仿宋_GB2312"/>
                <w:kern w:val="0"/>
                <w:sz w:val="24"/>
              </w:rPr>
              <w:t>3</w:t>
            </w:r>
            <w:r>
              <w:rPr>
                <w:rFonts w:hint="eastAsia" w:ascii="Times New Roman" w:hAnsi="Times New Roman" w:eastAsia="仿宋_GB2312"/>
                <w:kern w:val="0"/>
                <w:sz w:val="24"/>
                <w:lang w:val="en-US" w:eastAsia="zh-CN"/>
              </w:rPr>
              <w:t>.</w:t>
            </w:r>
            <w:r>
              <w:rPr>
                <w:rFonts w:hint="eastAsia" w:ascii="Times New Roman" w:hAnsi="Times New Roman" w:eastAsia="仿宋_GB2312"/>
                <w:kern w:val="0"/>
                <w:sz w:val="24"/>
              </w:rPr>
              <w:t>异物控制：防止产品中混入异物</w:t>
            </w:r>
            <w:r>
              <w:rPr>
                <w:rFonts w:ascii="Times New Roman" w:hAnsi="Times New Roman" w:eastAsia="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58" w:type="dxa"/>
            <w:vMerge w:val="continue"/>
            <w:tcBorders>
              <w:left w:val="single" w:color="auto" w:sz="4" w:space="0"/>
              <w:right w:val="single" w:color="auto" w:sz="4" w:space="0"/>
            </w:tcBorders>
            <w:vAlign w:val="center"/>
          </w:tcPr>
          <w:p>
            <w:pPr>
              <w:adjustRightInd w:val="0"/>
              <w:snapToGrid w:val="0"/>
              <w:spacing w:after="200" w:line="360" w:lineRule="exact"/>
              <w:rPr>
                <w:rFonts w:ascii="Times New Roman" w:hAnsi="Times New Roman" w:eastAsia="仿宋_GB2312" w:cs="Times New Roman"/>
              </w:rPr>
            </w:pPr>
          </w:p>
        </w:tc>
        <w:tc>
          <w:tcPr>
            <w:tcW w:w="1001" w:type="dxa"/>
            <w:tcBorders>
              <w:left w:val="single" w:color="auto" w:sz="4" w:space="0"/>
              <w:right w:val="single" w:color="auto" w:sz="4" w:space="0"/>
            </w:tcBorders>
            <w:vAlign w:val="center"/>
          </w:tcPr>
          <w:p>
            <w:pPr>
              <w:adjustRightInd w:val="0"/>
              <w:snapToGrid w:val="0"/>
              <w:spacing w:after="200" w:line="360" w:lineRule="exact"/>
              <w:rPr>
                <w:rFonts w:ascii="Times New Roman" w:hAnsi="Times New Roman" w:eastAsia="仿宋_GB2312" w:cs="Times New Roman"/>
              </w:rPr>
            </w:pPr>
            <w:r>
              <w:rPr>
                <w:rFonts w:hint="eastAsia" w:ascii="Times New Roman" w:hAnsi="Times New Roman" w:eastAsia="仿宋_GB2312" w:cs="Times New Roman"/>
              </w:rPr>
              <w:t>咖啡粉</w:t>
            </w:r>
          </w:p>
        </w:tc>
        <w:tc>
          <w:tcPr>
            <w:tcW w:w="33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exact"/>
              <w:rPr>
                <w:rFonts w:hint="eastAsia" w:ascii="Times New Roman" w:hAnsi="Times New Roman" w:eastAsia="仿宋_GB2312" w:cs="Times New Roman"/>
                <w:lang w:eastAsia="zh-CN"/>
              </w:rPr>
            </w:pPr>
            <w:r>
              <w:rPr>
                <w:rFonts w:hint="eastAsia" w:ascii="Times New Roman" w:hAnsi="Times New Roman" w:eastAsia="仿宋_GB2312" w:cs="Times New Roman"/>
              </w:rPr>
              <w:t>焙炒咖啡豆→磨粉→包装→成品</w:t>
            </w:r>
            <w:r>
              <w:rPr>
                <w:rFonts w:hint="eastAsia" w:ascii="Times New Roman" w:hAnsi="Times New Roman" w:eastAsia="仿宋_GB2312" w:cs="Times New Roman"/>
                <w:lang w:eastAsia="zh-CN"/>
              </w:rPr>
              <w:t>。</w:t>
            </w:r>
          </w:p>
        </w:tc>
        <w:tc>
          <w:tcPr>
            <w:tcW w:w="4133" w:type="dxa"/>
            <w:vMerge w:val="continue"/>
            <w:tcBorders>
              <w:left w:val="single" w:color="auto" w:sz="4" w:space="0"/>
              <w:bottom w:val="single" w:color="auto" w:sz="4" w:space="0"/>
              <w:right w:val="single" w:color="auto" w:sz="4" w:space="0"/>
            </w:tcBorders>
            <w:vAlign w:val="center"/>
          </w:tcPr>
          <w:p>
            <w:pPr>
              <w:spacing w:line="360" w:lineRule="exac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917"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both"/>
              <w:rPr>
                <w:rFonts w:hint="eastAsia" w:ascii="Times New Roman" w:hAnsi="Times New Roman" w:eastAsia="仿宋_GB2312" w:cs="Times New Roman"/>
              </w:rPr>
            </w:pPr>
            <w:r>
              <w:rPr>
                <w:rFonts w:hint="eastAsia" w:ascii="Times New Roman" w:hAnsi="Times New Roman" w:eastAsia="仿宋_GB2312" w:cs="Times New Roman"/>
                <w:lang w:eastAsia="zh-CN"/>
              </w:rPr>
              <w:t>备</w:t>
            </w:r>
            <w:r>
              <w:rPr>
                <w:rFonts w:hint="eastAsia" w:ascii="Times New Roman" w:hAnsi="Times New Roman" w:eastAsia="仿宋_GB2312" w:cs="Times New Roman"/>
              </w:rPr>
              <w:t>注</w:t>
            </w:r>
            <w:r>
              <w:rPr>
                <w:rFonts w:hint="eastAsia" w:ascii="Times New Roman" w:hAnsi="Times New Roman" w:eastAsia="仿宋_GB2312" w:cs="Times New Roman"/>
                <w:lang w:eastAsia="zh-CN"/>
              </w:rPr>
              <w:t>：</w:t>
            </w:r>
            <w:r>
              <w:rPr>
                <w:rFonts w:ascii="Times New Roman" w:hAnsi="Times New Roman" w:eastAsia="仿宋_GB2312" w:cs="Times New Roman"/>
              </w:rPr>
              <w:t>1</w:t>
            </w:r>
            <w:r>
              <w:rPr>
                <w:rFonts w:hint="eastAsia" w:ascii="Times New Roman" w:hAnsi="Times New Roman" w:eastAsia="仿宋_GB2312" w:cs="Times New Roman"/>
                <w:lang w:val="en-US" w:eastAsia="zh-CN"/>
              </w:rPr>
              <w:t>.</w:t>
            </w:r>
            <w:r>
              <w:rPr>
                <w:rFonts w:hint="eastAsia" w:ascii="Times New Roman" w:hAnsi="Times New Roman" w:eastAsia="仿宋_GB2312" w:cs="Times New Roman"/>
              </w:rPr>
              <w:t>本表所列生产工艺为一般生产工艺。可可制品中碱化工艺，可以在可可粉、</w:t>
            </w:r>
          </w:p>
          <w:p>
            <w:pPr>
              <w:spacing w:line="360" w:lineRule="exact"/>
              <w:ind w:left="0" w:leftChars="0" w:firstLine="0" w:firstLineChars="0"/>
              <w:jc w:val="both"/>
              <w:rPr>
                <w:rFonts w:ascii="Times New Roman" w:hAnsi="Times New Roman" w:eastAsia="仿宋_GB2312" w:cs="Times New Roman"/>
              </w:rPr>
            </w:pPr>
            <w:r>
              <w:rPr>
                <w:rFonts w:hint="eastAsia" w:ascii="Times New Roman" w:hAnsi="Times New Roman" w:eastAsia="仿宋_GB2312" w:cs="Times New Roman"/>
              </w:rPr>
              <w:t>可可饼块的任何环节进行。企业经必要性和安全性的科学评估，可根据实际生产情况合理增减或调整和组合。</w:t>
            </w:r>
          </w:p>
          <w:p>
            <w:pPr>
              <w:spacing w:line="360" w:lineRule="exact"/>
              <w:ind w:firstLine="720" w:firstLineChars="300"/>
              <w:jc w:val="both"/>
              <w:rPr>
                <w:rFonts w:ascii="Times New Roman" w:hAnsi="Times New Roman" w:eastAsia="仿宋_GB2312" w:cs="Times New Roman"/>
              </w:rPr>
            </w:pPr>
            <w:r>
              <w:rPr>
                <w:rFonts w:hint="eastAsia" w:ascii="Times New Roman" w:hAnsi="Times New Roman" w:eastAsia="仿宋_GB2312" w:cs="Times New Roman"/>
                <w:lang w:val="en-US" w:eastAsia="zh-CN"/>
              </w:rPr>
              <w:t>2.</w:t>
            </w:r>
            <w:r>
              <w:rPr>
                <w:rFonts w:hint="eastAsia" w:ascii="Times New Roman" w:hAnsi="Times New Roman" w:eastAsia="仿宋_GB2312" w:cs="Times New Roman"/>
              </w:rPr>
              <w:t>企业应当根据实际生产过程中的食品安全风险调整、增减关键控制环节。</w:t>
            </w:r>
          </w:p>
        </w:tc>
      </w:tr>
    </w:tbl>
    <w:p>
      <w:pPr>
        <w:widowControl w:val="0"/>
        <w:spacing w:line="594" w:lineRule="exact"/>
        <w:jc w:val="center"/>
        <w:rPr>
          <w:rFonts w:ascii="Times New Roman" w:hAnsi="Times New Roman" w:eastAsia="黑体" w:cs="Times New Roman"/>
          <w:sz w:val="32"/>
          <w:szCs w:val="32"/>
        </w:rPr>
      </w:pPr>
      <w:bookmarkStart w:id="6" w:name="_Toc83971200"/>
      <w:r>
        <w:rPr>
          <w:rFonts w:hint="eastAsia" w:ascii="Times New Roman" w:hAnsi="Times New Roman" w:eastAsia="黑体" w:cs="Times New Roman"/>
          <w:sz w:val="32"/>
          <w:szCs w:val="32"/>
        </w:rPr>
        <w:t>第五章 人员管理</w:t>
      </w:r>
      <w:bookmarkEnd w:id="6"/>
    </w:p>
    <w:p>
      <w:pPr>
        <w:pStyle w:val="8"/>
        <w:spacing w:line="594" w:lineRule="exact"/>
        <w:ind w:firstLine="640" w:firstLineChars="200"/>
        <w:rPr>
          <w:rFonts w:ascii="Times New Roman" w:hAnsi="Times New Roman"/>
          <w:bCs/>
          <w:sz w:val="32"/>
          <w:szCs w:val="32"/>
        </w:rPr>
      </w:pPr>
      <w:r>
        <w:rPr>
          <w:rFonts w:hint="eastAsia" w:ascii="Times New Roman" w:hAnsi="Times New Roman" w:eastAsia="黑体"/>
          <w:sz w:val="32"/>
          <w:szCs w:val="32"/>
        </w:rPr>
        <w:t xml:space="preserve">第二十九条 </w:t>
      </w:r>
      <w:r>
        <w:rPr>
          <w:rFonts w:ascii="Times New Roman" w:hAnsi="Times New Roman"/>
          <w:bCs/>
          <w:sz w:val="32"/>
          <w:szCs w:val="32"/>
        </w:rPr>
        <w:t>应依法配备食品安全管理人员和食品安全专业技术人员。企业主要负责人、食品安全总监、食品安全员应符合《食品生产经营企业落实食品安全主体责任监督管理规定》。</w:t>
      </w:r>
    </w:p>
    <w:p>
      <w:pPr>
        <w:pStyle w:val="8"/>
        <w:shd w:val="clear" w:color="auto" w:fill="FFFFFF"/>
        <w:spacing w:line="594" w:lineRule="exact"/>
        <w:ind w:firstLine="640" w:firstLineChars="200"/>
        <w:jc w:val="both"/>
        <w:rPr>
          <w:rFonts w:ascii="Times New Roman" w:hAnsi="Times New Roman" w:eastAsia="仿宋_GB2312" w:cs="Times New Roman"/>
          <w:bCs/>
          <w:kern w:val="2"/>
          <w:sz w:val="32"/>
          <w:szCs w:val="32"/>
        </w:rPr>
      </w:pPr>
      <w:r>
        <w:rPr>
          <w:rFonts w:ascii="Times New Roman" w:hAnsi="Times New Roman" w:eastAsia="仿宋_GB2312" w:cs="Times New Roman"/>
          <w:bCs/>
          <w:kern w:val="2"/>
          <w:sz w:val="32"/>
          <w:szCs w:val="32"/>
        </w:rPr>
        <w:t>食品安全专业技术人员应</w:t>
      </w:r>
      <w:r>
        <w:rPr>
          <w:rFonts w:ascii="Times New Roman" w:hAnsi="Times New Roman" w:eastAsia="仿宋_GB2312" w:cs="Times New Roman"/>
          <w:kern w:val="2"/>
          <w:sz w:val="32"/>
          <w:szCs w:val="32"/>
        </w:rPr>
        <w:t>与岗位要求相适应，掌握</w:t>
      </w:r>
      <w:r>
        <w:rPr>
          <w:rFonts w:hint="default" w:ascii="Times New Roman" w:hAnsi="Times New Roman" w:eastAsia="仿宋_GB2312" w:cs="Times New Roman"/>
          <w:sz w:val="32"/>
          <w:szCs w:val="32"/>
        </w:rPr>
        <w:t>可可及焙炒咖啡产品</w:t>
      </w:r>
      <w:r>
        <w:rPr>
          <w:rFonts w:ascii="Times New Roman" w:hAnsi="Times New Roman" w:eastAsia="仿宋_GB2312" w:cs="Times New Roman"/>
          <w:kern w:val="2"/>
          <w:sz w:val="32"/>
          <w:szCs w:val="32"/>
        </w:rPr>
        <w:t>生产工艺操作规程，熟练操作生产设备设施，人员数量应满足企业生产需求。其中检验人员应具有食品检验相关专业知识，经培训合格。</w:t>
      </w:r>
    </w:p>
    <w:p>
      <w:pPr>
        <w:widowControl w:val="0"/>
        <w:spacing w:line="594" w:lineRule="exact"/>
        <w:ind w:firstLine="640" w:firstLineChars="200"/>
        <w:jc w:val="both"/>
        <w:rPr>
          <w:rFonts w:ascii="Times New Roman" w:hAnsi="Times New Roman" w:eastAsia="仿宋_GB2312" w:cs="Times New Roman"/>
          <w:kern w:val="2"/>
          <w:sz w:val="32"/>
          <w:szCs w:val="32"/>
        </w:rPr>
      </w:pPr>
      <w:bookmarkStart w:id="7" w:name="_Toc83971201"/>
      <w:r>
        <w:rPr>
          <w:rFonts w:hint="eastAsia" w:ascii="Times New Roman" w:hAnsi="Times New Roman" w:eastAsia="黑体" w:cs="Times New Roman"/>
          <w:kern w:val="2"/>
          <w:sz w:val="32"/>
          <w:szCs w:val="32"/>
        </w:rPr>
        <w:t>第</w:t>
      </w:r>
      <w:r>
        <w:rPr>
          <w:rFonts w:ascii="Times New Roman" w:hAnsi="Times New Roman" w:eastAsia="黑体" w:cs="Times New Roman"/>
          <w:kern w:val="2"/>
          <w:sz w:val="32"/>
          <w:szCs w:val="32"/>
        </w:rPr>
        <w:t>三十条</w:t>
      </w:r>
      <w:r>
        <w:rPr>
          <w:rFonts w:hint="eastAsia" w:ascii="Times New Roman" w:hAnsi="Times New Roman" w:eastAsia="仿宋_GB2312" w:cs="Times New Roman"/>
          <w:kern w:val="2"/>
          <w:sz w:val="32"/>
          <w:szCs w:val="32"/>
        </w:rPr>
        <w:t xml:space="preserve"> </w:t>
      </w:r>
      <w:r>
        <w:rPr>
          <w:rFonts w:ascii="Times New Roman" w:hAnsi="Times New Roman" w:eastAsia="仿宋_GB2312" w:cs="Times New Roman"/>
          <w:kern w:val="2"/>
          <w:sz w:val="32"/>
          <w:szCs w:val="32"/>
          <w:lang w:val="zh-CN"/>
        </w:rPr>
        <w:t>企业应建立培训制度，制定培训计划，培训的内容应与岗位相适应。与质量安全相关岗位的人员应定期培训和考核，</w:t>
      </w:r>
      <w:r>
        <w:rPr>
          <w:rFonts w:hint="eastAsia" w:ascii="Times New Roman" w:hAnsi="Times New Roman" w:eastAsia="仿宋_GB2312" w:cs="Times New Roman"/>
          <w:kern w:val="2"/>
          <w:sz w:val="32"/>
          <w:szCs w:val="32"/>
          <w:lang w:val="zh-CN"/>
        </w:rPr>
        <w:t>培训考核不合格的人员不得上岗</w:t>
      </w:r>
      <w:r>
        <w:rPr>
          <w:rFonts w:ascii="Times New Roman" w:hAnsi="Times New Roman" w:eastAsia="仿宋_GB2312" w:cs="Times New Roman"/>
          <w:kern w:val="2"/>
          <w:sz w:val="32"/>
          <w:szCs w:val="32"/>
          <w:lang w:val="zh-CN"/>
        </w:rPr>
        <w:t>。</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黑体" w:cs="Times New Roman"/>
          <w:kern w:val="2"/>
          <w:sz w:val="32"/>
          <w:szCs w:val="32"/>
        </w:rPr>
        <w:t>第</w:t>
      </w:r>
      <w:r>
        <w:rPr>
          <w:rFonts w:ascii="Times New Roman" w:hAnsi="Times New Roman" w:eastAsia="黑体" w:cs="Times New Roman"/>
          <w:kern w:val="2"/>
          <w:sz w:val="32"/>
          <w:szCs w:val="32"/>
        </w:rPr>
        <w:t>三十</w:t>
      </w:r>
      <w:r>
        <w:rPr>
          <w:rFonts w:hint="eastAsia" w:ascii="Times New Roman" w:hAnsi="Times New Roman" w:eastAsia="黑体" w:cs="Times New Roman"/>
          <w:kern w:val="2"/>
          <w:sz w:val="32"/>
          <w:szCs w:val="32"/>
        </w:rPr>
        <w:t>一</w:t>
      </w:r>
      <w:r>
        <w:rPr>
          <w:rFonts w:ascii="Times New Roman" w:hAnsi="Times New Roman" w:eastAsia="黑体" w:cs="Times New Roman"/>
          <w:kern w:val="2"/>
          <w:sz w:val="32"/>
          <w:szCs w:val="32"/>
        </w:rPr>
        <w:t>条</w:t>
      </w:r>
      <w:r>
        <w:rPr>
          <w:rFonts w:hint="eastAsia" w:ascii="Times New Roman" w:hAnsi="Times New Roman" w:eastAsia="黑体" w:cs="Times New Roman"/>
          <w:kern w:val="2"/>
          <w:sz w:val="32"/>
          <w:szCs w:val="32"/>
        </w:rPr>
        <w:t xml:space="preserve"> </w:t>
      </w:r>
      <w:r>
        <w:rPr>
          <w:rFonts w:ascii="Times New Roman" w:hAnsi="Times New Roman" w:eastAsia="仿宋_GB2312" w:cs="Times New Roman"/>
          <w:kern w:val="2"/>
          <w:sz w:val="32"/>
          <w:szCs w:val="32"/>
        </w:rPr>
        <w:t>负责清洁消毒的人员应接受良好培训，能够正确使用清洁消毒工器具及相关试剂，保证清洁和消毒作业的效果满足生产要求。</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黑体" w:cs="Times New Roman"/>
          <w:kern w:val="2"/>
          <w:sz w:val="32"/>
          <w:szCs w:val="32"/>
        </w:rPr>
        <w:t>第</w:t>
      </w:r>
      <w:r>
        <w:rPr>
          <w:rFonts w:ascii="Times New Roman" w:hAnsi="Times New Roman" w:eastAsia="黑体" w:cs="Times New Roman"/>
          <w:kern w:val="2"/>
          <w:sz w:val="32"/>
          <w:szCs w:val="32"/>
        </w:rPr>
        <w:t>三十</w:t>
      </w:r>
      <w:r>
        <w:rPr>
          <w:rFonts w:hint="eastAsia" w:ascii="Times New Roman" w:hAnsi="Times New Roman" w:eastAsia="黑体" w:cs="Times New Roman"/>
          <w:kern w:val="2"/>
          <w:sz w:val="32"/>
          <w:szCs w:val="32"/>
        </w:rPr>
        <w:t>二</w:t>
      </w:r>
      <w:r>
        <w:rPr>
          <w:rFonts w:ascii="Times New Roman" w:hAnsi="Times New Roman" w:eastAsia="黑体" w:cs="Times New Roman"/>
          <w:kern w:val="2"/>
          <w:sz w:val="32"/>
          <w:szCs w:val="32"/>
        </w:rPr>
        <w:t>条</w:t>
      </w:r>
      <w:r>
        <w:rPr>
          <w:rFonts w:hint="eastAsia" w:ascii="Times New Roman" w:hAnsi="Times New Roman" w:eastAsia="黑体" w:cs="Times New Roman"/>
          <w:kern w:val="2"/>
          <w:sz w:val="32"/>
          <w:szCs w:val="32"/>
        </w:rPr>
        <w:t xml:space="preserve"> </w:t>
      </w:r>
      <w:r>
        <w:rPr>
          <w:rFonts w:hint="eastAsia" w:ascii="Times New Roman" w:hAnsi="Times New Roman" w:eastAsia="仿宋_GB2312" w:cs="Times New Roman"/>
          <w:kern w:val="2"/>
          <w:sz w:val="32"/>
          <w:szCs w:val="32"/>
        </w:rPr>
        <w:t>建立并执行从业人员健康管理制度。从事接触直接入口食品工作的食品生产人员应当每年进行健康检查，取得健康证明后方可上岗工作。企业</w:t>
      </w:r>
      <w:r>
        <w:rPr>
          <w:rFonts w:ascii="Times New Roman" w:hAnsi="Times New Roman" w:eastAsia="仿宋_GB2312" w:cs="Times New Roman"/>
          <w:kern w:val="2"/>
          <w:sz w:val="32"/>
          <w:szCs w:val="32"/>
        </w:rPr>
        <w:t>应对食品加工人员开展班前健康检查，并形成记录，防止法律法规规定的有碍食品安全疾病的人员接触直接入口食品。</w:t>
      </w:r>
    </w:p>
    <w:p>
      <w:pPr>
        <w:pStyle w:val="32"/>
        <w:spacing w:line="594" w:lineRule="exact"/>
        <w:ind w:firstLine="0" w:firstLineChars="0"/>
        <w:jc w:val="center"/>
        <w:rPr>
          <w:rFonts w:ascii="Times New Roman" w:hAnsi="Times New Roman" w:eastAsia="黑体"/>
          <w:sz w:val="36"/>
          <w:szCs w:val="36"/>
        </w:rPr>
      </w:pPr>
      <w:r>
        <w:rPr>
          <w:rFonts w:hint="eastAsia" w:ascii="Times New Roman" w:hAnsi="Times New Roman" w:eastAsia="黑体"/>
          <w:sz w:val="32"/>
          <w:szCs w:val="32"/>
        </w:rPr>
        <w:t>第六章 管理制度</w:t>
      </w:r>
      <w:bookmarkEnd w:id="7"/>
    </w:p>
    <w:p>
      <w:pPr>
        <w:shd w:val="clear" w:color="auto" w:fill="FFFFFF"/>
        <w:spacing w:line="594" w:lineRule="exact"/>
        <w:ind w:firstLine="640" w:firstLineChars="200"/>
        <w:jc w:val="both"/>
        <w:rPr>
          <w:rFonts w:ascii="Times New Roman" w:hAnsi="Times New Roman" w:eastAsia="仿宋_GB2312" w:cs="Times New Roman"/>
          <w:kern w:val="2"/>
          <w:sz w:val="32"/>
          <w:szCs w:val="32"/>
        </w:rPr>
      </w:pPr>
      <w:r>
        <w:rPr>
          <w:rFonts w:hint="default" w:ascii="Times New Roman" w:hAnsi="Times New Roman" w:eastAsia="黑体" w:cs="Times New Roman"/>
          <w:sz w:val="32"/>
          <w:szCs w:val="32"/>
        </w:rPr>
        <w:t xml:space="preserve">第三十三条 </w:t>
      </w:r>
      <w:r>
        <w:rPr>
          <w:rFonts w:hint="eastAsia" w:ascii="Times New Roman" w:hAnsi="Times New Roman" w:eastAsia="仿宋_GB2312" w:cs="Times New Roman"/>
          <w:kern w:val="2"/>
          <w:sz w:val="32"/>
          <w:szCs w:val="32"/>
        </w:rPr>
        <w:t>建立采购管理制度，规定食品原料、食品添加剂、食品相关产品验收标准。采购时，应当查验供货者的许可证和产品合格证明；对无法提供合格证明的食品原料，应当按照食品安全标准及产品执行标准进行检验。</w:t>
      </w:r>
    </w:p>
    <w:p>
      <w:pPr>
        <w:shd w:val="clear" w:color="auto" w:fill="FFFFFF"/>
        <w:spacing w:line="594"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可可及咖啡原料供应商应当相对固定，并签订质量协议，在协议中明确双方所承担的质量责任及供应商采收后的存储、初加工及产品防护要求。</w:t>
      </w:r>
    </w:p>
    <w:p>
      <w:pPr>
        <w:shd w:val="clear" w:color="auto" w:fill="FFFFFF"/>
        <w:spacing w:line="594" w:lineRule="exact"/>
        <w:ind w:firstLine="640" w:firstLineChars="200"/>
        <w:jc w:val="both"/>
        <w:rPr>
          <w:rFonts w:ascii="Times New Roman" w:hAnsi="Times New Roman" w:eastAsia="仿宋_GB2312" w:cs="Times New Roman"/>
          <w:kern w:val="2"/>
          <w:sz w:val="32"/>
          <w:szCs w:val="32"/>
        </w:rPr>
      </w:pPr>
      <w:r>
        <w:rPr>
          <w:rFonts w:hint="default" w:ascii="Times New Roman" w:hAnsi="Times New Roman" w:eastAsia="黑体" w:cs="Times New Roman"/>
          <w:sz w:val="32"/>
          <w:szCs w:val="32"/>
        </w:rPr>
        <w:t xml:space="preserve">第三十四条 </w:t>
      </w:r>
      <w:r>
        <w:rPr>
          <w:rFonts w:hint="eastAsia" w:ascii="Times New Roman" w:hAnsi="Times New Roman" w:eastAsia="仿宋_GB2312" w:cs="Times New Roman"/>
          <w:kern w:val="2"/>
          <w:sz w:val="32"/>
          <w:szCs w:val="32"/>
        </w:rPr>
        <w:t>建立进货查验记录制度：</w:t>
      </w:r>
    </w:p>
    <w:p>
      <w:pPr>
        <w:shd w:val="clear" w:color="auto" w:fill="FFFFFF"/>
        <w:spacing w:line="594"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一）建立食品原料、食品添加剂和食品相关产品供应商（生产企业、经销商或进口商）审核制度，包括供应商确定流程和审核要求。建立原料供应商审核制度，定期对主要原料供应商进行评价、考核，确定合格供应商名单。对原料供应商的审核至少应当包括：供应商的资质，原料来源、品种、价格，原料质量安全状况等。</w:t>
      </w:r>
    </w:p>
    <w:p>
      <w:pPr>
        <w:spacing w:line="594"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（二）建立</w:t>
      </w:r>
      <w:r>
        <w:rPr>
          <w:rFonts w:hint="eastAsia" w:ascii="Times New Roman" w:hAnsi="Times New Roman" w:eastAsia="仿宋_GB2312" w:cs="Times New Roman"/>
          <w:kern w:val="2"/>
          <w:sz w:val="32"/>
          <w:szCs w:val="32"/>
        </w:rPr>
        <w:t>进货查验记录制度</w:t>
      </w:r>
      <w:r>
        <w:rPr>
          <w:rFonts w:hint="default" w:ascii="Times New Roman" w:hAnsi="Times New Roman" w:eastAsia="仿宋_GB2312" w:cs="Times New Roman"/>
          <w:sz w:val="32"/>
          <w:szCs w:val="32"/>
        </w:rPr>
        <w:t>，制定生咖啡豆验收标准，明确缺陷识别与处理方法，对生咖啡豆进行验收并记录，以及</w:t>
      </w:r>
      <w:r>
        <w:rPr>
          <w:rFonts w:hint="eastAsia" w:ascii="Times New Roman" w:hAnsi="Times New Roman" w:eastAsia="仿宋_GB2312" w:cs="Times New Roman"/>
          <w:kern w:val="2"/>
          <w:sz w:val="32"/>
          <w:szCs w:val="32"/>
        </w:rPr>
        <w:t>食品原料、食品添加剂及食品相关产品名称、规格、数量、生产日期或者生产批号、保质期、进货日期以及供货者名称、地址、联系方式等信息，保存相关记录和凭证。</w:t>
      </w:r>
    </w:p>
    <w:p>
      <w:pPr>
        <w:pStyle w:val="8"/>
        <w:spacing w:line="594" w:lineRule="exact"/>
        <w:ind w:firstLine="640" w:firstLineChars="200"/>
        <w:rPr>
          <w:rFonts w:ascii="Times New Roman" w:hAnsi="Times New Roman"/>
          <w:sz w:val="32"/>
          <w:szCs w:val="32"/>
        </w:rPr>
      </w:pPr>
      <w:r>
        <w:rPr>
          <w:rFonts w:hint="eastAsia" w:ascii="Times New Roman" w:hAnsi="Times New Roman" w:eastAsia="黑体"/>
          <w:sz w:val="32"/>
          <w:szCs w:val="32"/>
        </w:rPr>
        <w:t>第三十五条</w:t>
      </w:r>
      <w:r>
        <w:rPr>
          <w:rFonts w:hint="eastAsia" w:ascii="Times New Roman" w:hAnsi="Times New Roman"/>
          <w:sz w:val="32"/>
          <w:szCs w:val="32"/>
        </w:rPr>
        <w:t xml:space="preserve"> 建立并执行生产过程控制制度</w:t>
      </w:r>
      <w:r>
        <w:rPr>
          <w:rFonts w:ascii="Times New Roman" w:hAnsi="Times New Roman"/>
          <w:sz w:val="32"/>
          <w:szCs w:val="32"/>
        </w:rPr>
        <w:t>。在关键环节所在区域，配备相关的文件如岗位规程、记录表等</w:t>
      </w:r>
      <w:bookmarkStart w:id="8" w:name="_Hlk84887865"/>
      <w:r>
        <w:rPr>
          <w:rFonts w:ascii="Times New Roman" w:hAnsi="Times New Roman"/>
          <w:sz w:val="32"/>
          <w:szCs w:val="32"/>
        </w:rPr>
        <w:t>。生产过程中原料管理（领料、投料、余料</w:t>
      </w:r>
      <w:r>
        <w:rPr>
          <w:rFonts w:hint="eastAsia" w:ascii="Times New Roman" w:hAnsi="Times New Roman"/>
          <w:sz w:val="32"/>
          <w:szCs w:val="32"/>
        </w:rPr>
        <w:t>管理</w:t>
      </w:r>
      <w:r>
        <w:rPr>
          <w:rFonts w:ascii="Times New Roman" w:hAnsi="Times New Roman"/>
          <w:sz w:val="32"/>
          <w:szCs w:val="32"/>
        </w:rPr>
        <w:t>等）、生产关键环节（如生产工序、设备、贮存、包装等）的控制措施实施记录，应与企业制定的工艺文件要求一致。</w:t>
      </w:r>
      <w:bookmarkEnd w:id="8"/>
    </w:p>
    <w:p>
      <w:pPr>
        <w:shd w:val="clear" w:color="auto" w:fill="FFFFFF"/>
        <w:spacing w:line="594"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制定</w:t>
      </w:r>
      <w:r>
        <w:rPr>
          <w:rFonts w:hint="eastAsia" w:ascii="Times New Roman" w:hAnsi="Times New Roman" w:eastAsia="仿宋_GB2312" w:cs="Times New Roman"/>
          <w:sz w:val="32"/>
          <w:szCs w:val="32"/>
        </w:rPr>
        <w:t>原料验收要求</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按原料验收规范对进厂的原料进行查验、检验、记录、接收（或拒收）等。</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sz w:val="32"/>
          <w:szCs w:val="32"/>
        </w:rPr>
        <w:t>（二）制定</w:t>
      </w:r>
      <w:r>
        <w:rPr>
          <w:rFonts w:hint="default" w:ascii="Times New Roman" w:hAnsi="Times New Roman" w:eastAsia="仿宋_GB2312" w:cs="Times New Roman"/>
          <w:sz w:val="32"/>
          <w:szCs w:val="32"/>
        </w:rPr>
        <w:t>可可及焙炒咖啡产品</w:t>
      </w:r>
      <w:r>
        <w:rPr>
          <w:rFonts w:hint="eastAsia" w:ascii="Times New Roman" w:hAnsi="Times New Roman" w:eastAsia="仿宋_GB2312" w:cs="Times New Roman"/>
          <w:sz w:val="32"/>
          <w:szCs w:val="32"/>
        </w:rPr>
        <w:t>生产工艺控制要求。</w:t>
      </w:r>
    </w:p>
    <w:p>
      <w:pPr>
        <w:widowControl w:val="0"/>
        <w:spacing w:line="594"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default" w:ascii="Times New Roman" w:hAnsi="Times New Roman" w:eastAsia="仿宋_GB2312" w:cs="Times New Roman"/>
          <w:sz w:val="32"/>
          <w:szCs w:val="32"/>
        </w:rPr>
        <w:t>生产可可制品应当制定清理筛选、焙炒、破碎、壳仁分离、碱化（需要时）、研磨、机榨（需要时）、过滤（需要时）、粉碎（需要时）、异物控制、包装等</w:t>
      </w:r>
      <w:r>
        <w:rPr>
          <w:rFonts w:hint="eastAsia" w:ascii="Times New Roman" w:hAnsi="Times New Roman" w:eastAsia="仿宋_GB2312" w:cs="Times New Roman"/>
          <w:sz w:val="32"/>
          <w:szCs w:val="32"/>
        </w:rPr>
        <w:t>生产工艺文件、生产工艺关键控制参数、环境检测记录要求</w:t>
      </w:r>
      <w:r>
        <w:rPr>
          <w:rFonts w:ascii="Times New Roman" w:hAnsi="Times New Roman" w:eastAsia="仿宋_GB2312" w:cs="Times New Roman"/>
          <w:sz w:val="32"/>
          <w:szCs w:val="32"/>
        </w:rPr>
        <w:t>；</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sz w:val="32"/>
          <w:szCs w:val="32"/>
        </w:rPr>
        <w:t>2.</w:t>
      </w:r>
      <w:r>
        <w:rPr>
          <w:rFonts w:hint="default" w:ascii="Times New Roman" w:hAnsi="Times New Roman" w:eastAsia="仿宋_GB2312" w:cs="Times New Roman"/>
          <w:sz w:val="32"/>
          <w:szCs w:val="32"/>
        </w:rPr>
        <w:t>生产焙炒咖啡应当制定清理筛选、拼配（需要时）、焙炒、磨粉（需要时）、异物控制、包装等</w:t>
      </w:r>
      <w:r>
        <w:rPr>
          <w:rFonts w:hint="eastAsia" w:ascii="Times New Roman" w:hAnsi="Times New Roman" w:eastAsia="仿宋_GB2312" w:cs="Times New Roman"/>
          <w:sz w:val="32"/>
          <w:szCs w:val="32"/>
        </w:rPr>
        <w:t>生产工艺文件、生产工艺关键控制参数、环境检测记录要求</w:t>
      </w:r>
      <w:r>
        <w:rPr>
          <w:rFonts w:ascii="Times New Roman" w:hAnsi="Times New Roman" w:eastAsia="仿宋_GB2312" w:cs="Times New Roman"/>
          <w:sz w:val="32"/>
          <w:szCs w:val="32"/>
        </w:rPr>
        <w:t>；</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）制定称量、领料</w:t>
      </w:r>
      <w:r>
        <w:rPr>
          <w:rFonts w:hint="eastAsia" w:ascii="Times New Roman" w:hAnsi="Times New Roman" w:eastAsia="仿宋_GB2312" w:cs="Times New Roman"/>
          <w:sz w:val="32"/>
          <w:szCs w:val="32"/>
        </w:rPr>
        <w:t>、投料和余料</w:t>
      </w:r>
      <w:r>
        <w:rPr>
          <w:rFonts w:ascii="Times New Roman" w:hAnsi="Times New Roman" w:eastAsia="仿宋_GB2312" w:cs="Times New Roman"/>
          <w:sz w:val="32"/>
          <w:szCs w:val="32"/>
        </w:rPr>
        <w:t>控制</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。称量过程应当保证物料种类、数量与产品配方的要求一致，建立食品原料、食品添加剂和</w:t>
      </w:r>
      <w:r>
        <w:rPr>
          <w:rFonts w:hint="eastAsia" w:ascii="Times New Roman" w:hAnsi="Times New Roman" w:eastAsia="仿宋_GB2312" w:cs="Times New Roman"/>
          <w:sz w:val="32"/>
          <w:szCs w:val="32"/>
        </w:rPr>
        <w:t>包装材料领用</w:t>
      </w:r>
      <w:r>
        <w:rPr>
          <w:rFonts w:ascii="Times New Roman" w:hAnsi="Times New Roman" w:eastAsia="仿宋_GB2312" w:cs="Times New Roman"/>
          <w:sz w:val="32"/>
          <w:szCs w:val="32"/>
        </w:rPr>
        <w:t>记录。投料前对物料名称、数量等信息进行核对，并按照工艺文件规定的投料顺序进行投料。</w:t>
      </w:r>
    </w:p>
    <w:p>
      <w:pPr>
        <w:widowControl w:val="0"/>
        <w:spacing w:line="594"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）制定</w:t>
      </w:r>
      <w:r>
        <w:rPr>
          <w:rFonts w:hint="eastAsia" w:ascii="Times New Roman" w:hAnsi="Times New Roman" w:eastAsia="仿宋_GB2312" w:cs="Times New Roman"/>
          <w:sz w:val="32"/>
          <w:szCs w:val="32"/>
        </w:rPr>
        <w:t>焙炒</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壳仁分离</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异物控制的</w:t>
      </w:r>
      <w:r>
        <w:rPr>
          <w:rFonts w:ascii="Times New Roman" w:hAnsi="Times New Roman" w:eastAsia="仿宋_GB2312" w:cs="Times New Roman"/>
          <w:sz w:val="32"/>
          <w:szCs w:val="32"/>
        </w:rPr>
        <w:t>控制</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焙炒</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壳仁分离</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异物控制</w:t>
      </w:r>
      <w:r>
        <w:rPr>
          <w:rFonts w:ascii="Times New Roman" w:hAnsi="Times New Roman" w:eastAsia="仿宋_GB2312" w:cs="Times New Roman"/>
          <w:sz w:val="32"/>
          <w:szCs w:val="32"/>
        </w:rPr>
        <w:t>的方式和操作规程，明确</w:t>
      </w:r>
      <w:r>
        <w:rPr>
          <w:rFonts w:hint="eastAsia" w:ascii="Times New Roman" w:hAnsi="Times New Roman" w:eastAsia="仿宋_GB2312" w:cs="Times New Roman"/>
          <w:sz w:val="32"/>
          <w:szCs w:val="32"/>
        </w:rPr>
        <w:t>焙炒</w:t>
      </w:r>
      <w:r>
        <w:rPr>
          <w:rFonts w:ascii="Times New Roman" w:hAnsi="Times New Roman" w:eastAsia="仿宋_GB2312" w:cs="Times New Roman"/>
          <w:sz w:val="32"/>
          <w:szCs w:val="32"/>
        </w:rPr>
        <w:t>的温度</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时间</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可可</w:t>
      </w:r>
      <w:r>
        <w:rPr>
          <w:rFonts w:hint="eastAsia" w:ascii="Times New Roman" w:hAnsi="Times New Roman" w:eastAsia="仿宋_GB2312" w:cs="Times New Roman"/>
          <w:sz w:val="32"/>
          <w:szCs w:val="32"/>
        </w:rPr>
        <w:t>仁</w:t>
      </w:r>
      <w:r>
        <w:rPr>
          <w:rFonts w:ascii="Times New Roman" w:hAnsi="Times New Roman" w:eastAsia="仿宋_GB2312" w:cs="Times New Roman"/>
          <w:sz w:val="32"/>
          <w:szCs w:val="32"/>
        </w:rPr>
        <w:t>中可可</w:t>
      </w:r>
      <w:r>
        <w:rPr>
          <w:rFonts w:hint="eastAsia" w:ascii="Times New Roman" w:hAnsi="Times New Roman" w:eastAsia="仿宋_GB2312" w:cs="Times New Roman"/>
          <w:sz w:val="32"/>
          <w:szCs w:val="32"/>
        </w:rPr>
        <w:t>壳</w:t>
      </w:r>
      <w:r>
        <w:rPr>
          <w:rFonts w:ascii="Times New Roman" w:hAnsi="Times New Roman" w:eastAsia="仿宋_GB2312" w:cs="Times New Roman"/>
          <w:sz w:val="32"/>
          <w:szCs w:val="32"/>
        </w:rPr>
        <w:t>含量等</w:t>
      </w:r>
      <w:r>
        <w:rPr>
          <w:rFonts w:hint="eastAsia" w:ascii="Times New Roman" w:hAnsi="Times New Roman" w:eastAsia="仿宋_GB2312" w:cs="Times New Roman"/>
          <w:sz w:val="32"/>
          <w:szCs w:val="32"/>
        </w:rPr>
        <w:t>控制参数要求</w:t>
      </w:r>
      <w:r>
        <w:rPr>
          <w:rFonts w:ascii="Times New Roman" w:hAnsi="Times New Roman" w:eastAsia="仿宋_GB2312" w:cs="Times New Roman"/>
          <w:sz w:val="32"/>
          <w:szCs w:val="32"/>
        </w:rPr>
        <w:t>。</w:t>
      </w:r>
    </w:p>
    <w:p>
      <w:pPr>
        <w:pStyle w:val="32"/>
        <w:spacing w:line="594" w:lineRule="exact"/>
        <w:ind w:firstLine="640"/>
        <w:rPr>
          <w:rFonts w:ascii="Times New Roman" w:hAnsi="Times New Roman" w:eastAsia="仿宋_GB2312"/>
          <w:sz w:val="32"/>
          <w:szCs w:val="32"/>
        </w:rPr>
      </w:pPr>
      <w:r>
        <w:rPr>
          <w:rFonts w:hint="eastAsia" w:ascii="Times New Roman" w:hAnsi="Times New Roman" w:eastAsia="仿宋_GB2312"/>
          <w:sz w:val="32"/>
          <w:szCs w:val="32"/>
        </w:rPr>
        <w:t>（五）制定可可制品微生物监控制度。企业应当按照</w:t>
      </w:r>
      <w:r>
        <w:rPr>
          <w:rFonts w:hint="eastAsia" w:ascii="Times New Roman" w:hAnsi="Times New Roman" w:eastAsia="仿宋_GB2312"/>
          <w:kern w:val="0"/>
          <w:sz w:val="32"/>
          <w:szCs w:val="32"/>
        </w:rPr>
        <w:t>《食品安全国家标准  食品生产通用卫生规范》（</w:t>
      </w:r>
      <w:r>
        <w:rPr>
          <w:rFonts w:ascii="Times New Roman" w:hAnsi="Times New Roman" w:eastAsia="仿宋_GB2312"/>
          <w:kern w:val="0"/>
          <w:sz w:val="32"/>
          <w:szCs w:val="32"/>
        </w:rPr>
        <w:t>GB 14881</w:t>
      </w:r>
      <w:r>
        <w:rPr>
          <w:rFonts w:hint="eastAsia" w:ascii="Times New Roman" w:hAnsi="Times New Roman" w:eastAsia="仿宋_GB2312"/>
          <w:kern w:val="0"/>
          <w:sz w:val="32"/>
          <w:szCs w:val="32"/>
        </w:rPr>
        <w:t>）</w:t>
      </w:r>
      <w:r>
        <w:rPr>
          <w:rFonts w:hint="eastAsia" w:ascii="Times New Roman" w:hAnsi="Times New Roman" w:eastAsia="仿宋_GB2312"/>
          <w:sz w:val="32"/>
          <w:szCs w:val="32"/>
        </w:rPr>
        <w:t>附录</w:t>
      </w:r>
      <w:r>
        <w:rPr>
          <w:rFonts w:ascii="Times New Roman" w:hAnsi="Times New Roman" w:eastAsia="仿宋_GB2312"/>
          <w:sz w:val="32"/>
          <w:szCs w:val="32"/>
        </w:rPr>
        <w:t>A</w:t>
      </w:r>
      <w:r>
        <w:rPr>
          <w:rFonts w:hint="eastAsia" w:ascii="Times New Roman" w:hAnsi="Times New Roman" w:eastAsia="仿宋_GB2312"/>
          <w:sz w:val="32"/>
          <w:szCs w:val="32"/>
        </w:rPr>
        <w:t>的要求，结合生产工艺及相关产品标准要求，制定生产过程的微生物监控制度。微生物监控制度要包含停产后重新生产的微生物控制要求。</w:t>
      </w:r>
    </w:p>
    <w:p>
      <w:pPr>
        <w:shd w:val="clear" w:color="auto" w:fill="FFFFFF"/>
        <w:spacing w:line="594" w:lineRule="exact"/>
        <w:ind w:firstLine="640" w:firstLineChars="200"/>
        <w:jc w:val="both"/>
        <w:rPr>
          <w:rFonts w:ascii="Times New Roman" w:hAnsi="Times New Roman" w:eastAsia="仿宋_GB2312" w:cs="Times New Roman"/>
          <w:kern w:val="2"/>
          <w:sz w:val="32"/>
          <w:szCs w:val="32"/>
        </w:rPr>
      </w:pPr>
      <w:r>
        <w:rPr>
          <w:rFonts w:hint="default" w:ascii="Times New Roman" w:hAnsi="Times New Roman" w:eastAsia="黑体" w:cs="Times New Roman"/>
          <w:sz w:val="32"/>
          <w:szCs w:val="32"/>
        </w:rPr>
        <w:t xml:space="preserve">第三十六条 </w:t>
      </w:r>
      <w:r>
        <w:rPr>
          <w:rFonts w:hint="eastAsia" w:ascii="Times New Roman" w:hAnsi="Times New Roman" w:eastAsia="仿宋_GB2312" w:cs="Times New Roman"/>
          <w:kern w:val="2"/>
          <w:sz w:val="32"/>
          <w:szCs w:val="32"/>
        </w:rPr>
        <w:t>焙炒咖啡生产过程控制应当在投料环节对咖啡豆品种进行核对，避免品种混淆。企业应建立咖啡豆品种追溯体系，如实记录每批次投料的咖啡豆品种、产地、供应商信息。产品标签标注咖啡豆品种的，应确保投料品种与标注一致，不得虚假标注。应当确定原料</w:t>
      </w:r>
      <w:r>
        <w:rPr>
          <w:rFonts w:ascii="Times New Roman" w:hAnsi="Times New Roman" w:eastAsia="仿宋_GB2312" w:cs="Times New Roman"/>
          <w:kern w:val="2"/>
          <w:sz w:val="32"/>
          <w:szCs w:val="32"/>
        </w:rPr>
        <w:t>、半成品的储存期限</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并建立管理控制措施。</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hint="default" w:ascii="Times New Roman" w:hAnsi="Times New Roman" w:eastAsia="黑体" w:cs="Times New Roman"/>
          <w:sz w:val="32"/>
          <w:szCs w:val="32"/>
        </w:rPr>
        <w:t>第三十七条</w:t>
      </w:r>
      <w:r>
        <w:rPr>
          <w:rFonts w:hint="eastAsia" w:ascii="Times New Roman" w:hAnsi="Times New Roman" w:eastAsia="仿宋_GB2312" w:cs="Times New Roman"/>
          <w:kern w:val="2"/>
          <w:sz w:val="32"/>
          <w:szCs w:val="32"/>
        </w:rPr>
        <w:t xml:space="preserve"> </w:t>
      </w:r>
      <w:r>
        <w:rPr>
          <w:rFonts w:ascii="Times New Roman" w:hAnsi="Times New Roman" w:eastAsia="仿宋_GB2312" w:cs="Times New Roman"/>
          <w:kern w:val="2"/>
          <w:sz w:val="32"/>
          <w:szCs w:val="32"/>
        </w:rPr>
        <w:t>建立并执行检验管理及出厂检验记录制度。应包括原料检验、过程检验、出厂检验及产品留样的方式及要求，过程检验包括但不限于对半成品质量、安全指标的监测。产品执行标准规定出厂检验要求的，应按标准规定执行。执行标准未规定出厂检验要求的，企业应综合考虑产品特性、工艺特点、生产过程控制等因素确定检验项目、检验频次、检验方法等检验要求。</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lang w:val="zh-CN"/>
        </w:rPr>
        <w:t>（</w:t>
      </w:r>
      <w:r>
        <w:rPr>
          <w:rFonts w:ascii="Times New Roman" w:hAnsi="Times New Roman" w:eastAsia="仿宋_GB2312" w:cs="Times New Roman"/>
          <w:kern w:val="2"/>
          <w:sz w:val="32"/>
          <w:szCs w:val="32"/>
        </w:rPr>
        <w:t>一</w:t>
      </w:r>
      <w:r>
        <w:rPr>
          <w:rFonts w:ascii="Times New Roman" w:hAnsi="Times New Roman" w:eastAsia="仿宋_GB2312" w:cs="Times New Roman"/>
          <w:kern w:val="2"/>
          <w:sz w:val="32"/>
          <w:szCs w:val="32"/>
          <w:lang w:val="zh-CN"/>
        </w:rPr>
        <w:t>）</w:t>
      </w:r>
      <w:r>
        <w:rPr>
          <w:rFonts w:ascii="Times New Roman" w:hAnsi="Times New Roman" w:eastAsia="仿宋_GB2312" w:cs="Times New Roman"/>
          <w:kern w:val="2"/>
          <w:sz w:val="32"/>
          <w:szCs w:val="32"/>
        </w:rPr>
        <w:t>自行检验。自行检验的企业应具备与所检项目</w:t>
      </w:r>
      <w:r>
        <w:rPr>
          <w:rFonts w:hint="eastAsia" w:ascii="Times New Roman" w:hAnsi="Times New Roman" w:eastAsia="仿宋_GB2312" w:cs="Times New Roman"/>
          <w:kern w:val="2"/>
          <w:sz w:val="32"/>
          <w:szCs w:val="32"/>
        </w:rPr>
        <w:t>相</w:t>
      </w:r>
      <w:r>
        <w:rPr>
          <w:rFonts w:ascii="Times New Roman" w:hAnsi="Times New Roman" w:eastAsia="仿宋_GB2312" w:cs="Times New Roman"/>
          <w:kern w:val="2"/>
          <w:sz w:val="32"/>
          <w:szCs w:val="32"/>
        </w:rPr>
        <w:t>适应的检验室和检验能力，每年至少对所检项目进行1次检验能力验证。使用快速检测方法的，应定期与国家标准规定的检验方法进行比对或验证，保证检测结果准确。当快速检</w:t>
      </w:r>
      <w:r>
        <w:rPr>
          <w:rFonts w:hint="eastAsia" w:ascii="Times New Roman" w:hAnsi="Times New Roman" w:eastAsia="仿宋_GB2312" w:cs="Times New Roman"/>
          <w:kern w:val="2"/>
          <w:sz w:val="32"/>
          <w:szCs w:val="32"/>
        </w:rPr>
        <w:t>测</w:t>
      </w:r>
      <w:r>
        <w:rPr>
          <w:rFonts w:ascii="Times New Roman" w:hAnsi="Times New Roman" w:eastAsia="仿宋_GB2312" w:cs="Times New Roman"/>
          <w:kern w:val="2"/>
          <w:sz w:val="32"/>
          <w:szCs w:val="32"/>
        </w:rPr>
        <w:t>方法检测结果显示异常时，应使用国家标准规定的检验方法进行验证。</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（二）委托检验。不能自行检验的，可委托具有检验资质的第三方检测机构进行检验，并妥善保存检验报告。</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三）产品留样。每批产品均应有留样，产品留样间应满足产品贮存条件要求，留样数量应满足复检要求，产品留样应保存至保质期满并有记录。对过期产品进行科学处置，如实、完整记录留样及过期产品处置相关信息。</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hint="default" w:ascii="Times New Roman" w:hAnsi="Times New Roman" w:eastAsia="黑体" w:cs="Times New Roman"/>
          <w:sz w:val="32"/>
          <w:szCs w:val="32"/>
        </w:rPr>
        <w:t>第三十八</w:t>
      </w:r>
      <w:r>
        <w:rPr>
          <w:rFonts w:ascii="Times New Roman" w:hAnsi="Times New Roman" w:eastAsia="黑体" w:cs="Times New Roman"/>
          <w:sz w:val="32"/>
          <w:szCs w:val="32"/>
        </w:rPr>
        <w:t>条</w:t>
      </w:r>
      <w:r>
        <w:rPr>
          <w:rFonts w:hint="eastAsia" w:ascii="Times New Roman" w:hAnsi="Times New Roman" w:eastAsia="仿宋_GB2312" w:cs="Times New Roman"/>
          <w:kern w:val="2"/>
          <w:sz w:val="32"/>
          <w:szCs w:val="32"/>
        </w:rPr>
        <w:t xml:space="preserve"> </w:t>
      </w:r>
      <w:r>
        <w:rPr>
          <w:rFonts w:ascii="Times New Roman" w:hAnsi="Times New Roman" w:eastAsia="仿宋_GB2312" w:cs="Times New Roman"/>
          <w:kern w:val="2"/>
          <w:sz w:val="32"/>
          <w:szCs w:val="32"/>
        </w:rPr>
        <w:t>建立并执行</w:t>
      </w:r>
      <w:r>
        <w:rPr>
          <w:rFonts w:ascii="Times New Roman" w:hAnsi="Times New Roman" w:eastAsia="仿宋_GB2312" w:cs="Times New Roman"/>
          <w:kern w:val="2"/>
          <w:sz w:val="32"/>
          <w:szCs w:val="32"/>
          <w:lang w:val="zh-CN"/>
        </w:rPr>
        <w:t>运输</w:t>
      </w:r>
      <w:r>
        <w:rPr>
          <w:rFonts w:ascii="Times New Roman" w:hAnsi="Times New Roman" w:eastAsia="仿宋_GB2312" w:cs="Times New Roman"/>
          <w:kern w:val="2"/>
          <w:sz w:val="32"/>
          <w:szCs w:val="32"/>
        </w:rPr>
        <w:t>和交付</w:t>
      </w:r>
      <w:r>
        <w:rPr>
          <w:rFonts w:ascii="Times New Roman" w:hAnsi="Times New Roman" w:eastAsia="仿宋_GB2312" w:cs="Times New Roman"/>
          <w:kern w:val="2"/>
          <w:sz w:val="32"/>
          <w:szCs w:val="32"/>
          <w:lang w:val="zh-CN"/>
        </w:rPr>
        <w:t>管理制度。</w:t>
      </w:r>
      <w:r>
        <w:rPr>
          <w:rFonts w:ascii="Times New Roman" w:hAnsi="Times New Roman" w:eastAsia="仿宋_GB2312" w:cs="Times New Roman"/>
          <w:kern w:val="2"/>
          <w:sz w:val="32"/>
          <w:szCs w:val="32"/>
        </w:rPr>
        <w:t>企业</w:t>
      </w:r>
      <w:r>
        <w:rPr>
          <w:rFonts w:ascii="Times New Roman" w:hAnsi="Times New Roman" w:eastAsia="仿宋_GB2312" w:cs="Times New Roman"/>
          <w:kern w:val="2"/>
          <w:sz w:val="32"/>
          <w:szCs w:val="32"/>
          <w:lang w:val="zh-CN"/>
        </w:rPr>
        <w:t>应根据食品及食品原料的特点和卫生需要</w:t>
      </w:r>
      <w:r>
        <w:rPr>
          <w:rFonts w:ascii="Times New Roman" w:hAnsi="Times New Roman" w:eastAsia="仿宋_GB2312" w:cs="Times New Roman"/>
          <w:kern w:val="2"/>
          <w:sz w:val="32"/>
          <w:szCs w:val="32"/>
        </w:rPr>
        <w:t>规定</w:t>
      </w:r>
      <w:r>
        <w:rPr>
          <w:rFonts w:ascii="Times New Roman" w:hAnsi="Times New Roman" w:eastAsia="仿宋_GB2312" w:cs="Times New Roman"/>
          <w:kern w:val="2"/>
          <w:sz w:val="32"/>
          <w:szCs w:val="32"/>
          <w:lang w:val="zh-CN"/>
        </w:rPr>
        <w:t>运输、交付要求。不得与有毒、有害、有异味的物品一同运输。不应使用未经清洗的车辆和未经消毒的容器运输产品。运输过程中温度控制应符合产品运输的温度要求。冷链运输车厢内应设置温度监控</w:t>
      </w:r>
      <w:r>
        <w:rPr>
          <w:rFonts w:ascii="Times New Roman" w:hAnsi="Times New Roman" w:eastAsia="仿宋_GB2312" w:cs="Times New Roman"/>
          <w:kern w:val="2"/>
          <w:sz w:val="32"/>
          <w:szCs w:val="32"/>
        </w:rPr>
        <w:t>设备</w:t>
      </w:r>
      <w:r>
        <w:rPr>
          <w:rFonts w:ascii="Times New Roman" w:hAnsi="Times New Roman" w:eastAsia="仿宋_GB2312" w:cs="Times New Roman"/>
          <w:kern w:val="2"/>
          <w:sz w:val="32"/>
          <w:szCs w:val="32"/>
          <w:lang w:val="zh-CN"/>
        </w:rPr>
        <w:t>，并</w:t>
      </w:r>
      <w:r>
        <w:rPr>
          <w:rFonts w:ascii="Times New Roman" w:hAnsi="Times New Roman" w:eastAsia="仿宋_GB2312" w:cs="Times New Roman"/>
          <w:kern w:val="2"/>
          <w:sz w:val="32"/>
          <w:szCs w:val="32"/>
        </w:rPr>
        <w:t>规定</w:t>
      </w:r>
      <w:r>
        <w:rPr>
          <w:rFonts w:ascii="Times New Roman" w:hAnsi="Times New Roman" w:eastAsia="仿宋_GB2312" w:cs="Times New Roman"/>
          <w:kern w:val="2"/>
          <w:sz w:val="32"/>
          <w:szCs w:val="32"/>
          <w:lang w:val="zh-CN"/>
        </w:rPr>
        <w:t>校准、维护</w:t>
      </w:r>
      <w:r>
        <w:rPr>
          <w:rFonts w:ascii="Times New Roman" w:hAnsi="Times New Roman" w:eastAsia="仿宋_GB2312" w:cs="Times New Roman"/>
          <w:kern w:val="2"/>
          <w:sz w:val="32"/>
          <w:szCs w:val="32"/>
        </w:rPr>
        <w:t>频次</w:t>
      </w:r>
      <w:r>
        <w:rPr>
          <w:rFonts w:ascii="Times New Roman" w:hAnsi="Times New Roman" w:eastAsia="仿宋_GB2312" w:cs="Times New Roman"/>
          <w:kern w:val="2"/>
          <w:sz w:val="32"/>
          <w:szCs w:val="32"/>
          <w:lang w:val="zh-CN"/>
        </w:rPr>
        <w:t>。</w:t>
      </w:r>
      <w:r>
        <w:rPr>
          <w:rFonts w:ascii="Times New Roman" w:hAnsi="Times New Roman" w:eastAsia="仿宋_GB2312" w:cs="Times New Roman"/>
          <w:kern w:val="2"/>
          <w:sz w:val="32"/>
          <w:szCs w:val="32"/>
        </w:rPr>
        <w:t>采购第三方物流服务的企业应签订合同，满足上述要求。</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hint="default" w:ascii="Times New Roman" w:hAnsi="Times New Roman" w:eastAsia="黑体" w:cs="Times New Roman"/>
          <w:sz w:val="32"/>
          <w:szCs w:val="32"/>
        </w:rPr>
        <w:t>第三十九</w:t>
      </w:r>
      <w:r>
        <w:rPr>
          <w:rFonts w:ascii="Times New Roman" w:hAnsi="Times New Roman" w:eastAsia="黑体" w:cs="Times New Roman"/>
          <w:sz w:val="32"/>
          <w:szCs w:val="32"/>
        </w:rPr>
        <w:t>条</w:t>
      </w:r>
      <w:r>
        <w:rPr>
          <w:rFonts w:hint="default" w:ascii="Times New Roman" w:hAnsi="Times New Roman" w:eastAsia="黑体" w:cs="Times New Roman"/>
          <w:sz w:val="32"/>
          <w:szCs w:val="32"/>
        </w:rPr>
        <w:t xml:space="preserve"> </w:t>
      </w:r>
      <w:r>
        <w:rPr>
          <w:rFonts w:ascii="Times New Roman" w:hAnsi="Times New Roman" w:eastAsia="仿宋_GB2312" w:cs="Times New Roman"/>
          <w:kern w:val="2"/>
          <w:sz w:val="32"/>
          <w:szCs w:val="32"/>
        </w:rPr>
        <w:t>建立并执行食品安全追溯制度。如实记录原料</w:t>
      </w:r>
      <w:r>
        <w:rPr>
          <w:rFonts w:ascii="Times New Roman" w:hAnsi="Times New Roman" w:eastAsia="仿宋_GB2312" w:cs="Times New Roman"/>
          <w:kern w:val="2"/>
          <w:sz w:val="32"/>
          <w:szCs w:val="32"/>
          <w:lang w:val="zh-CN"/>
        </w:rPr>
        <w:t>采购</w:t>
      </w:r>
      <w:r>
        <w:rPr>
          <w:rFonts w:ascii="Times New Roman" w:hAnsi="Times New Roman" w:eastAsia="仿宋_GB2312" w:cs="Times New Roman"/>
          <w:kern w:val="2"/>
          <w:sz w:val="32"/>
        </w:rPr>
        <w:t>与验收、</w:t>
      </w:r>
      <w:r>
        <w:rPr>
          <w:rFonts w:ascii="Times New Roman" w:hAnsi="Times New Roman" w:eastAsia="仿宋_GB2312" w:cs="Times New Roman"/>
          <w:kern w:val="2"/>
          <w:sz w:val="32"/>
          <w:szCs w:val="32"/>
        </w:rPr>
        <w:t>生产加工、产品检验、出厂销售等全过程信息，实现产品有效追溯。企业应合理设定产品批次，建立批生产记录，如实记录投料的原料名称、投料数量、产品批号、投料日期等信息。</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hint="default" w:ascii="Times New Roman" w:hAnsi="Times New Roman" w:eastAsia="黑体" w:cs="Times New Roman"/>
          <w:sz w:val="32"/>
          <w:szCs w:val="32"/>
        </w:rPr>
        <w:t>第四十</w:t>
      </w:r>
      <w:r>
        <w:rPr>
          <w:rFonts w:ascii="Times New Roman" w:hAnsi="Times New Roman" w:eastAsia="黑体" w:cs="Times New Roman"/>
          <w:sz w:val="32"/>
          <w:szCs w:val="32"/>
        </w:rPr>
        <w:t>条</w:t>
      </w:r>
      <w:r>
        <w:rPr>
          <w:rFonts w:hint="default" w:ascii="Times New Roman" w:hAnsi="Times New Roman" w:eastAsia="黑体" w:cs="Times New Roman"/>
          <w:sz w:val="32"/>
          <w:szCs w:val="32"/>
        </w:rPr>
        <w:t xml:space="preserve"> </w:t>
      </w:r>
      <w:r>
        <w:rPr>
          <w:rFonts w:ascii="Times New Roman" w:hAnsi="Times New Roman" w:eastAsia="仿宋_GB2312" w:cs="Times New Roman"/>
          <w:kern w:val="2"/>
          <w:sz w:val="32"/>
          <w:szCs w:val="32"/>
        </w:rPr>
        <w:t>建立并执行食品安全自查制度。企业应对</w:t>
      </w:r>
      <w:r>
        <w:rPr>
          <w:rFonts w:hint="eastAsia" w:ascii="Times New Roman" w:hAnsi="Times New Roman" w:eastAsia="仿宋_GB2312" w:cs="Times New Roman"/>
          <w:kern w:val="2"/>
          <w:sz w:val="32"/>
          <w:szCs w:val="32"/>
        </w:rPr>
        <w:t>可可及焙炒咖啡产品</w:t>
      </w:r>
      <w:r>
        <w:rPr>
          <w:rFonts w:ascii="Times New Roman" w:hAnsi="Times New Roman" w:eastAsia="仿宋_GB2312" w:cs="Times New Roman"/>
          <w:kern w:val="2"/>
          <w:sz w:val="32"/>
          <w:szCs w:val="32"/>
        </w:rPr>
        <w:t>生产安全状况进行检查评价，并规定自查频次。</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自查内容应包括食品原料、食品添加剂、食品相关产品进货查验情况；生产过程控制情况；人员管理情况；检验管理情况；记录及文件管理情况等。</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hint="default" w:ascii="Times New Roman" w:hAnsi="Times New Roman" w:eastAsia="黑体" w:cs="Times New Roman"/>
          <w:sz w:val="32"/>
          <w:szCs w:val="32"/>
        </w:rPr>
        <w:t>第四十一</w:t>
      </w:r>
      <w:r>
        <w:rPr>
          <w:rFonts w:ascii="Times New Roman" w:hAnsi="Times New Roman" w:eastAsia="黑体" w:cs="Times New Roman"/>
          <w:sz w:val="32"/>
          <w:szCs w:val="32"/>
        </w:rPr>
        <w:t>条</w:t>
      </w:r>
      <w:r>
        <w:rPr>
          <w:rFonts w:hint="eastAsia" w:ascii="Times New Roman" w:hAnsi="Times New Roman" w:eastAsia="仿宋_GB2312" w:cs="Times New Roman"/>
          <w:kern w:val="2"/>
          <w:sz w:val="32"/>
          <w:szCs w:val="32"/>
        </w:rPr>
        <w:t xml:space="preserve"> </w:t>
      </w:r>
      <w:r>
        <w:rPr>
          <w:rFonts w:ascii="Times New Roman" w:hAnsi="Times New Roman" w:eastAsia="仿宋_GB2312" w:cs="Times New Roman"/>
          <w:kern w:val="2"/>
          <w:sz w:val="32"/>
          <w:szCs w:val="32"/>
        </w:rPr>
        <w:t>建立并执行不合格品管理及不安全食品召回制度。企业应明确对在</w:t>
      </w:r>
      <w:r>
        <w:rPr>
          <w:rFonts w:ascii="Times New Roman" w:hAnsi="Times New Roman" w:eastAsia="仿宋_GB2312" w:cs="Times New Roman"/>
          <w:kern w:val="2"/>
          <w:sz w:val="32"/>
          <w:szCs w:val="32"/>
          <w:lang w:val="zh-CN"/>
        </w:rPr>
        <w:t>验收</w:t>
      </w:r>
      <w:r>
        <w:rPr>
          <w:rFonts w:ascii="Times New Roman" w:hAnsi="Times New Roman" w:eastAsia="仿宋_GB2312" w:cs="Times New Roman"/>
          <w:kern w:val="2"/>
          <w:sz w:val="32"/>
          <w:szCs w:val="32"/>
        </w:rPr>
        <w:t>和生产过程</w:t>
      </w:r>
      <w:r>
        <w:rPr>
          <w:rFonts w:ascii="Times New Roman" w:hAnsi="Times New Roman" w:eastAsia="仿宋_GB2312" w:cs="Times New Roman"/>
          <w:kern w:val="2"/>
          <w:sz w:val="32"/>
          <w:szCs w:val="32"/>
          <w:lang w:val="zh-CN"/>
        </w:rPr>
        <w:t>中发现的不合格</w:t>
      </w:r>
      <w:r>
        <w:rPr>
          <w:rFonts w:ascii="Times New Roman" w:hAnsi="Times New Roman" w:eastAsia="仿宋_GB2312" w:cs="Times New Roman"/>
          <w:kern w:val="2"/>
          <w:sz w:val="32"/>
          <w:szCs w:val="32"/>
        </w:rPr>
        <w:t>原料、半成品和成品进行标识、贮存和处置措施，不合格品应与合格品分开放置并明显标记。如实、完整记录不合格品保存和处理情况。企业应对召回的食品采取补救、无害化处置、销毁等措施，如实记录召回和处置情况，并向所在地县级市场监管部门报告。</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hint="default" w:ascii="Times New Roman" w:hAnsi="Times New Roman" w:eastAsia="黑体" w:cs="Times New Roman"/>
          <w:sz w:val="32"/>
          <w:szCs w:val="32"/>
        </w:rPr>
        <w:t xml:space="preserve">第四十二条 </w:t>
      </w:r>
      <w:r>
        <w:rPr>
          <w:rFonts w:ascii="Times New Roman" w:hAnsi="Times New Roman" w:eastAsia="仿宋_GB2312" w:cs="Times New Roman"/>
          <w:kern w:val="2"/>
          <w:sz w:val="32"/>
          <w:szCs w:val="32"/>
        </w:rPr>
        <w:t>其他制度。</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（一）建立并执行</w:t>
      </w:r>
      <w:r>
        <w:rPr>
          <w:rFonts w:ascii="Times New Roman" w:hAnsi="Times New Roman" w:eastAsia="仿宋_GB2312" w:cs="Times New Roman"/>
          <w:kern w:val="2"/>
          <w:sz w:val="32"/>
          <w:szCs w:val="32"/>
          <w:lang w:val="zh-CN"/>
        </w:rPr>
        <w:t>食品安全防护制度。应建立食品防护计划，最大限度降低因故意污染、蓄意破坏等人为因素造成食品受到生物、化学、物理</w:t>
      </w:r>
      <w:r>
        <w:rPr>
          <w:rFonts w:ascii="Times New Roman" w:hAnsi="Times New Roman" w:eastAsia="仿宋_GB2312" w:cs="Times New Roman"/>
          <w:kern w:val="2"/>
          <w:sz w:val="32"/>
          <w:szCs w:val="32"/>
        </w:rPr>
        <w:t>方面</w:t>
      </w:r>
      <w:r>
        <w:rPr>
          <w:rFonts w:ascii="Times New Roman" w:hAnsi="Times New Roman" w:eastAsia="仿宋_GB2312" w:cs="Times New Roman"/>
          <w:kern w:val="2"/>
          <w:sz w:val="32"/>
          <w:szCs w:val="32"/>
          <w:lang w:val="zh-CN"/>
        </w:rPr>
        <w:t>风险</w:t>
      </w:r>
      <w:r>
        <w:rPr>
          <w:rFonts w:hint="eastAsia" w:ascii="Times New Roman" w:hAnsi="Times New Roman" w:eastAsia="仿宋_GB2312" w:cs="Times New Roman"/>
          <w:kern w:val="2"/>
          <w:sz w:val="32"/>
          <w:szCs w:val="32"/>
          <w:lang w:val="zh-CN"/>
        </w:rPr>
        <w:t>的可能性</w:t>
      </w:r>
      <w:r>
        <w:rPr>
          <w:rFonts w:ascii="Times New Roman" w:hAnsi="Times New Roman" w:eastAsia="仿宋_GB2312" w:cs="Times New Roman"/>
          <w:kern w:val="2"/>
          <w:sz w:val="32"/>
          <w:szCs w:val="32"/>
          <w:lang w:val="zh-CN"/>
        </w:rPr>
        <w:t>。</w:t>
      </w:r>
    </w:p>
    <w:p>
      <w:pPr>
        <w:widowControl w:val="0"/>
        <w:spacing w:line="594"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（二）建立并执行仓储管理制度。包括原料仓库管理制度和产品仓库管理制度。</w:t>
      </w:r>
    </w:p>
    <w:p>
      <w:pPr>
        <w:widowControl w:val="0"/>
        <w:spacing w:line="594" w:lineRule="exact"/>
        <w:ind w:firstLine="640" w:firstLineChars="200"/>
        <w:jc w:val="both"/>
        <w:rPr>
          <w:rFonts w:ascii="Times New Roman" w:hAnsi="Times New Roman" w:eastAsia="仿宋_GB2312" w:cs="Times New Roman"/>
          <w:kern w:val="2"/>
          <w:sz w:val="32"/>
          <w:szCs w:val="32"/>
          <w:lang w:val="zh-CN"/>
        </w:rPr>
      </w:pPr>
      <w:r>
        <w:rPr>
          <w:rFonts w:hint="eastAsia" w:ascii="Times New Roman" w:hAnsi="Times New Roman" w:eastAsia="仿宋_GB2312" w:cs="Times New Roman"/>
          <w:kern w:val="2"/>
          <w:sz w:val="32"/>
          <w:szCs w:val="32"/>
        </w:rPr>
        <w:t>1.</w:t>
      </w:r>
      <w:r>
        <w:rPr>
          <w:rFonts w:ascii="Times New Roman" w:hAnsi="Times New Roman" w:eastAsia="仿宋_GB2312" w:cs="Times New Roman"/>
          <w:kern w:val="2"/>
          <w:sz w:val="32"/>
          <w:szCs w:val="32"/>
        </w:rPr>
        <w:t>原料仓库。</w:t>
      </w:r>
      <w:r>
        <w:rPr>
          <w:rFonts w:ascii="Times New Roman" w:hAnsi="Times New Roman" w:eastAsia="仿宋_GB2312" w:cs="Times New Roman"/>
          <w:kern w:val="2"/>
          <w:sz w:val="32"/>
          <w:szCs w:val="32"/>
          <w:lang w:val="zh-CN"/>
        </w:rPr>
        <w:t>应设专人管理原料仓库，</w:t>
      </w:r>
      <w:r>
        <w:rPr>
          <w:rFonts w:ascii="Times New Roman" w:hAnsi="Times New Roman" w:eastAsia="仿宋_GB2312" w:cs="Times New Roman"/>
          <w:kern w:val="2"/>
          <w:sz w:val="32"/>
          <w:szCs w:val="32"/>
        </w:rPr>
        <w:t>规定</w:t>
      </w:r>
      <w:r>
        <w:rPr>
          <w:rFonts w:ascii="Times New Roman" w:hAnsi="Times New Roman" w:eastAsia="仿宋_GB2312" w:cs="Times New Roman"/>
          <w:kern w:val="2"/>
          <w:sz w:val="32"/>
          <w:szCs w:val="32"/>
          <w:lang w:val="zh-CN"/>
        </w:rPr>
        <w:t>仓库卫生检查</w:t>
      </w:r>
      <w:r>
        <w:rPr>
          <w:rFonts w:ascii="Times New Roman" w:hAnsi="Times New Roman" w:eastAsia="仿宋_GB2312" w:cs="Times New Roman"/>
          <w:kern w:val="2"/>
          <w:sz w:val="32"/>
          <w:szCs w:val="32"/>
        </w:rPr>
        <w:t>频次</w:t>
      </w:r>
      <w:r>
        <w:rPr>
          <w:rFonts w:ascii="Times New Roman" w:hAnsi="Times New Roman" w:eastAsia="仿宋_GB2312" w:cs="Times New Roman"/>
          <w:kern w:val="2"/>
          <w:sz w:val="32"/>
          <w:szCs w:val="32"/>
          <w:lang w:val="zh-CN"/>
        </w:rPr>
        <w:t>，及时清理变质、超过保质期的食品原料。</w:t>
      </w:r>
    </w:p>
    <w:p>
      <w:pPr>
        <w:widowControl w:val="0"/>
        <w:spacing w:line="594" w:lineRule="exact"/>
        <w:ind w:firstLine="640" w:firstLineChars="200"/>
        <w:jc w:val="both"/>
        <w:rPr>
          <w:rFonts w:ascii="Times New Roman" w:hAnsi="Times New Roman" w:eastAsia="仿宋_GB2312" w:cs="Times New Roman"/>
          <w:kern w:val="2"/>
          <w:sz w:val="32"/>
          <w:szCs w:val="32"/>
          <w:lang w:val="zh-CN"/>
        </w:rPr>
      </w:pPr>
      <w:r>
        <w:rPr>
          <w:rFonts w:hint="eastAsia" w:ascii="Times New Roman" w:hAnsi="Times New Roman" w:eastAsia="仿宋_GB2312" w:cs="Times New Roman"/>
          <w:kern w:val="2"/>
          <w:sz w:val="32"/>
          <w:szCs w:val="32"/>
        </w:rPr>
        <w:t>2.</w:t>
      </w:r>
      <w:r>
        <w:rPr>
          <w:rFonts w:ascii="Times New Roman" w:hAnsi="Times New Roman" w:eastAsia="仿宋_GB2312" w:cs="Times New Roman"/>
          <w:kern w:val="2"/>
          <w:sz w:val="32"/>
          <w:szCs w:val="32"/>
        </w:rPr>
        <w:t>成品仓库。</w:t>
      </w:r>
      <w:r>
        <w:rPr>
          <w:rFonts w:ascii="Times New Roman" w:hAnsi="Times New Roman" w:eastAsia="仿宋_GB2312" w:cs="Times New Roman"/>
          <w:kern w:val="2"/>
          <w:sz w:val="32"/>
          <w:szCs w:val="32"/>
          <w:lang w:val="zh-CN"/>
        </w:rPr>
        <w:t>不得将食品与有毒、有害、有异味的物品一同贮存。包装后</w:t>
      </w:r>
      <w:r>
        <w:rPr>
          <w:rFonts w:hint="eastAsia" w:ascii="Times New Roman" w:hAnsi="Times New Roman" w:eastAsia="仿宋_GB2312" w:cs="Times New Roman"/>
          <w:kern w:val="2"/>
          <w:sz w:val="32"/>
          <w:szCs w:val="32"/>
          <w:lang w:val="zh-CN"/>
        </w:rPr>
        <w:t>的</w:t>
      </w:r>
      <w:r>
        <w:rPr>
          <w:rFonts w:ascii="Times New Roman" w:hAnsi="Times New Roman" w:eastAsia="仿宋_GB2312" w:cs="Times New Roman"/>
          <w:kern w:val="2"/>
          <w:sz w:val="32"/>
          <w:szCs w:val="32"/>
          <w:lang w:val="zh-CN"/>
        </w:rPr>
        <w:t>成品应在产品规定</w:t>
      </w:r>
      <w:r>
        <w:rPr>
          <w:rFonts w:hint="eastAsia" w:ascii="Times New Roman" w:hAnsi="Times New Roman" w:eastAsia="仿宋_GB2312" w:cs="Times New Roman"/>
          <w:kern w:val="2"/>
          <w:sz w:val="32"/>
          <w:szCs w:val="32"/>
          <w:lang w:val="zh-CN"/>
        </w:rPr>
        <w:t>的</w:t>
      </w:r>
      <w:r>
        <w:rPr>
          <w:rFonts w:ascii="Times New Roman" w:hAnsi="Times New Roman" w:eastAsia="仿宋_GB2312" w:cs="Times New Roman"/>
          <w:kern w:val="2"/>
          <w:sz w:val="32"/>
          <w:szCs w:val="32"/>
          <w:lang w:val="zh-CN"/>
        </w:rPr>
        <w:t>温/湿度条件下贮存。</w:t>
      </w:r>
    </w:p>
    <w:p>
      <w:pPr>
        <w:widowControl w:val="0"/>
        <w:spacing w:line="594" w:lineRule="exact"/>
        <w:ind w:firstLine="640" w:firstLineChars="200"/>
        <w:jc w:val="both"/>
        <w:rPr>
          <w:rFonts w:ascii="Times New Roman" w:hAnsi="Times New Roman" w:eastAsia="仿宋_GB2312" w:cs="Times New Roman"/>
          <w:kern w:val="2"/>
          <w:sz w:val="32"/>
          <w:szCs w:val="32"/>
          <w:lang w:val="zh-CN"/>
        </w:rPr>
      </w:pPr>
      <w:r>
        <w:rPr>
          <w:rFonts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rPr>
        <w:t>三</w:t>
      </w:r>
      <w:r>
        <w:rPr>
          <w:rFonts w:ascii="Times New Roman" w:hAnsi="Times New Roman" w:eastAsia="仿宋_GB2312" w:cs="Times New Roman"/>
          <w:kern w:val="2"/>
          <w:sz w:val="32"/>
          <w:szCs w:val="32"/>
        </w:rPr>
        <w:t>）</w:t>
      </w:r>
      <w:r>
        <w:rPr>
          <w:rFonts w:ascii="Times New Roman" w:hAnsi="Times New Roman" w:eastAsia="仿宋_GB2312" w:cs="Times New Roman"/>
          <w:kern w:val="2"/>
          <w:sz w:val="32"/>
          <w:szCs w:val="32"/>
          <w:lang w:val="zh-CN"/>
        </w:rPr>
        <w:t>建立并执行废弃物存放和清除制度。</w:t>
      </w:r>
      <w:r>
        <w:rPr>
          <w:rFonts w:ascii="Times New Roman" w:hAnsi="Times New Roman" w:eastAsia="仿宋_GB2312" w:cs="Times New Roman"/>
          <w:kern w:val="2"/>
          <w:sz w:val="32"/>
          <w:szCs w:val="32"/>
        </w:rPr>
        <w:t>应规定</w:t>
      </w:r>
      <w:r>
        <w:rPr>
          <w:rFonts w:ascii="Times New Roman" w:hAnsi="Times New Roman" w:eastAsia="仿宋_GB2312" w:cs="Times New Roman"/>
          <w:kern w:val="2"/>
          <w:sz w:val="32"/>
          <w:szCs w:val="32"/>
          <w:lang w:val="zh-CN"/>
        </w:rPr>
        <w:t>废弃物清除</w:t>
      </w:r>
      <w:r>
        <w:rPr>
          <w:rFonts w:ascii="Times New Roman" w:hAnsi="Times New Roman" w:eastAsia="仿宋_GB2312" w:cs="Times New Roman"/>
          <w:kern w:val="2"/>
          <w:sz w:val="32"/>
          <w:szCs w:val="32"/>
        </w:rPr>
        <w:t>频次</w:t>
      </w:r>
      <w:r>
        <w:rPr>
          <w:rFonts w:ascii="Times New Roman" w:hAnsi="Times New Roman" w:eastAsia="仿宋_GB2312" w:cs="Times New Roman"/>
          <w:kern w:val="2"/>
          <w:sz w:val="32"/>
          <w:szCs w:val="32"/>
          <w:lang w:val="zh-CN"/>
        </w:rPr>
        <w:t>；必要时应及时清除废弃物；易腐败的废弃物应尽快清除。</w:t>
      </w:r>
    </w:p>
    <w:p>
      <w:pPr>
        <w:widowControl w:val="0"/>
        <w:spacing w:line="594" w:lineRule="exact"/>
        <w:ind w:firstLine="640" w:firstLineChars="200"/>
        <w:jc w:val="both"/>
        <w:rPr>
          <w:rFonts w:ascii="Times New Roman" w:hAnsi="Times New Roman" w:eastAsia="仿宋_GB2312" w:cs="Times New Roman"/>
          <w:kern w:val="2"/>
          <w:sz w:val="32"/>
          <w:szCs w:val="32"/>
          <w:lang w:val="zh-CN"/>
        </w:rPr>
      </w:pPr>
      <w:r>
        <w:rPr>
          <w:rFonts w:ascii="Times New Roman" w:hAnsi="Times New Roman" w:eastAsia="仿宋_GB2312" w:cs="Times New Roman"/>
          <w:kern w:val="2"/>
          <w:sz w:val="32"/>
          <w:szCs w:val="32"/>
          <w:lang w:val="zh-CN"/>
        </w:rPr>
        <w:t>（</w:t>
      </w:r>
      <w:r>
        <w:rPr>
          <w:rFonts w:hint="eastAsia" w:ascii="Times New Roman" w:hAnsi="Times New Roman" w:eastAsia="仿宋_GB2312" w:cs="Times New Roman"/>
          <w:kern w:val="2"/>
          <w:sz w:val="32"/>
          <w:szCs w:val="32"/>
        </w:rPr>
        <w:t>四</w:t>
      </w:r>
      <w:r>
        <w:rPr>
          <w:rFonts w:ascii="Times New Roman" w:hAnsi="Times New Roman" w:eastAsia="仿宋_GB2312" w:cs="Times New Roman"/>
          <w:kern w:val="2"/>
          <w:sz w:val="32"/>
          <w:szCs w:val="32"/>
          <w:lang w:val="zh-CN"/>
        </w:rPr>
        <w:t>）建立并执行工作服清洗保洁制度。工作服及其他配套物品（</w:t>
      </w:r>
      <w:r>
        <w:rPr>
          <w:rFonts w:ascii="Times New Roman" w:hAnsi="Times New Roman" w:eastAsia="仿宋_GB2312" w:cs="Times New Roman"/>
          <w:kern w:val="2"/>
          <w:sz w:val="32"/>
          <w:szCs w:val="32"/>
        </w:rPr>
        <w:t>以下简称工作服</w:t>
      </w:r>
      <w:r>
        <w:rPr>
          <w:rFonts w:ascii="Times New Roman" w:hAnsi="Times New Roman" w:eastAsia="仿宋_GB2312" w:cs="Times New Roman"/>
          <w:kern w:val="2"/>
          <w:sz w:val="32"/>
          <w:szCs w:val="32"/>
          <w:lang w:val="zh-CN"/>
        </w:rPr>
        <w:t>）应符合相应的作业区卫生要求。不同清洁作业区的工作服应分开放置，与个人服装</w:t>
      </w:r>
      <w:r>
        <w:rPr>
          <w:rFonts w:hint="eastAsia" w:ascii="Times New Roman" w:hAnsi="Times New Roman" w:eastAsia="仿宋_GB2312" w:cs="Times New Roman"/>
          <w:kern w:val="2"/>
          <w:sz w:val="32"/>
          <w:szCs w:val="32"/>
          <w:lang w:val="zh-CN"/>
        </w:rPr>
        <w:t>及</w:t>
      </w:r>
      <w:r>
        <w:rPr>
          <w:rFonts w:ascii="Times New Roman" w:hAnsi="Times New Roman" w:eastAsia="仿宋_GB2312" w:cs="Times New Roman"/>
          <w:kern w:val="2"/>
          <w:sz w:val="32"/>
          <w:szCs w:val="32"/>
          <w:lang w:val="zh-CN"/>
        </w:rPr>
        <w:t xml:space="preserve">其他物品分开放置。员工不得在相关作业区以外穿着工作服。 </w:t>
      </w:r>
    </w:p>
    <w:p>
      <w:pPr>
        <w:widowControl w:val="0"/>
        <w:spacing w:line="594" w:lineRule="exact"/>
        <w:ind w:firstLine="640" w:firstLineChars="200"/>
        <w:jc w:val="both"/>
        <w:rPr>
          <w:rFonts w:ascii="Times New Roman" w:hAnsi="Times New Roman" w:eastAsia="仿宋_GB2312" w:cs="Times New Roman"/>
          <w:kern w:val="2"/>
          <w:sz w:val="32"/>
          <w:szCs w:val="32"/>
          <w:lang w:val="zh-CN"/>
        </w:rPr>
      </w:pPr>
      <w:r>
        <w:rPr>
          <w:rFonts w:ascii="Times New Roman" w:hAnsi="Times New Roman" w:eastAsia="仿宋_GB2312" w:cs="Times New Roman"/>
          <w:kern w:val="2"/>
          <w:sz w:val="32"/>
          <w:szCs w:val="32"/>
          <w:lang w:val="zh-CN"/>
        </w:rPr>
        <w:t>不同清洁作业区的工作服应从颜色、标识上加以明显区分并分开清洗。准清洁作业区和清洁作业区的工作服应每日进行清洗、更换，一般作业区的工作服可根据实际情况制定清洗、更换的频次。清洗消毒后仍不能达到预期用途的工作服应及时更换。</w:t>
      </w:r>
    </w:p>
    <w:p>
      <w:pPr>
        <w:widowControl w:val="0"/>
        <w:spacing w:line="594" w:lineRule="exact"/>
        <w:ind w:firstLine="640" w:firstLineChars="200"/>
        <w:jc w:val="both"/>
        <w:rPr>
          <w:rFonts w:ascii="Times New Roman" w:hAnsi="Times New Roman" w:eastAsia="仿宋_GB2312" w:cs="Times New Roman"/>
          <w:kern w:val="2"/>
          <w:sz w:val="32"/>
          <w:szCs w:val="32"/>
          <w:lang w:val="zh-CN"/>
        </w:rPr>
      </w:pPr>
      <w:r>
        <w:rPr>
          <w:rFonts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rPr>
        <w:t>五</w:t>
      </w:r>
      <w:r>
        <w:rPr>
          <w:rFonts w:ascii="Times New Roman" w:hAnsi="Times New Roman" w:eastAsia="仿宋_GB2312" w:cs="Times New Roman"/>
          <w:kern w:val="2"/>
          <w:sz w:val="32"/>
          <w:szCs w:val="32"/>
        </w:rPr>
        <w:t>）建立并执行</w:t>
      </w:r>
      <w:r>
        <w:rPr>
          <w:rFonts w:ascii="Times New Roman" w:hAnsi="Times New Roman" w:eastAsia="仿宋_GB2312" w:cs="Times New Roman"/>
          <w:kern w:val="2"/>
          <w:sz w:val="32"/>
          <w:szCs w:val="32"/>
          <w:lang w:val="zh-CN"/>
        </w:rPr>
        <w:t>文件管理制度。对文件进行有效管理，确保各相关场所使用的文件均为有效版本。</w:t>
      </w:r>
    </w:p>
    <w:p>
      <w:pPr>
        <w:widowControl w:val="0"/>
        <w:adjustRightInd w:val="0"/>
        <w:spacing w:line="594" w:lineRule="exact"/>
        <w:ind w:firstLine="640" w:firstLineChars="200"/>
        <w:jc w:val="center"/>
        <w:rPr>
          <w:rFonts w:ascii="Times New Roman" w:hAnsi="Times New Roman" w:eastAsia="黑体" w:cs="Times New Roman"/>
          <w:sz w:val="32"/>
          <w:szCs w:val="32"/>
        </w:rPr>
      </w:pPr>
      <w:bookmarkStart w:id="9" w:name="_Toc83971202"/>
      <w:r>
        <w:rPr>
          <w:rFonts w:hint="eastAsia" w:ascii="Times New Roman" w:hAnsi="Times New Roman" w:eastAsia="黑体" w:cs="Times New Roman"/>
          <w:sz w:val="32"/>
          <w:szCs w:val="32"/>
        </w:rPr>
        <w:t>第七章 试制产品检验报告</w:t>
      </w:r>
      <w:bookmarkEnd w:id="9"/>
    </w:p>
    <w:p>
      <w:pPr>
        <w:pStyle w:val="32"/>
        <w:adjustRightInd w:val="0"/>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第四十三条 </w:t>
      </w:r>
      <w:r>
        <w:rPr>
          <w:rFonts w:hint="eastAsia" w:ascii="Times New Roman" w:hAnsi="Times New Roman" w:eastAsia="仿宋_GB2312"/>
          <w:kern w:val="0"/>
          <w:sz w:val="32"/>
          <w:szCs w:val="32"/>
        </w:rPr>
        <w:t>企业应按</w:t>
      </w:r>
      <w:r>
        <w:rPr>
          <w:rFonts w:hint="eastAsia" w:ascii="Times New Roman" w:hAnsi="Times New Roman" w:eastAsia="仿宋_GB2312"/>
          <w:kern w:val="0"/>
          <w:sz w:val="32"/>
          <w:szCs w:val="32"/>
          <w:lang w:eastAsia="zh-CN"/>
        </w:rPr>
        <w:t>照</w:t>
      </w:r>
      <w:r>
        <w:rPr>
          <w:rFonts w:hint="eastAsia" w:ascii="Times New Roman" w:hAnsi="Times New Roman" w:eastAsia="仿宋_GB2312"/>
          <w:kern w:val="0"/>
          <w:sz w:val="32"/>
          <w:szCs w:val="32"/>
        </w:rPr>
        <w:t>所申报</w:t>
      </w:r>
      <w:r>
        <w:rPr>
          <w:rFonts w:hint="eastAsia" w:ascii="Times New Roman" w:hAnsi="Times New Roman" w:eastAsia="仿宋_GB2312"/>
          <w:kern w:val="0"/>
          <w:sz w:val="32"/>
          <w:szCs w:val="32"/>
          <w:lang w:eastAsia="zh-CN"/>
        </w:rPr>
        <w:t>的</w:t>
      </w:r>
      <w:r>
        <w:rPr>
          <w:rFonts w:hint="eastAsia" w:ascii="Times New Roman" w:hAnsi="Times New Roman" w:eastAsia="仿宋_GB2312"/>
          <w:sz w:val="32"/>
          <w:szCs w:val="32"/>
        </w:rPr>
        <w:t>可可及焙炒咖啡产品</w:t>
      </w:r>
      <w:r>
        <w:rPr>
          <w:rFonts w:hint="eastAsia" w:ascii="Times New Roman" w:hAnsi="Times New Roman" w:eastAsia="仿宋_GB2312"/>
          <w:kern w:val="0"/>
          <w:sz w:val="32"/>
          <w:szCs w:val="32"/>
        </w:rPr>
        <w:t>类别和执行标准，提供同一品种、同一批次的试制产品检验合格报告，</w:t>
      </w:r>
      <w:r>
        <w:rPr>
          <w:rFonts w:hint="eastAsia" w:ascii="Times New Roman" w:hAnsi="Times New Roman" w:eastAsia="仿宋_GB2312"/>
          <w:kern w:val="0"/>
          <w:sz w:val="32"/>
          <w:szCs w:val="32"/>
          <w:lang w:eastAsia="zh-CN"/>
        </w:rPr>
        <w:t>并</w:t>
      </w:r>
      <w:r>
        <w:rPr>
          <w:rFonts w:hint="eastAsia" w:ascii="Times New Roman" w:hAnsi="Times New Roman" w:eastAsia="仿宋_GB2312"/>
          <w:kern w:val="0"/>
          <w:sz w:val="32"/>
          <w:szCs w:val="32"/>
        </w:rPr>
        <w:t>对检验报告</w:t>
      </w:r>
      <w:r>
        <w:rPr>
          <w:rFonts w:hint="eastAsia" w:ascii="Times New Roman" w:hAnsi="Times New Roman" w:eastAsia="仿宋_GB2312"/>
          <w:kern w:val="0"/>
          <w:sz w:val="32"/>
          <w:szCs w:val="32"/>
          <w:lang w:eastAsia="zh-CN"/>
        </w:rPr>
        <w:t>的</w:t>
      </w:r>
      <w:r>
        <w:rPr>
          <w:rFonts w:hint="eastAsia" w:ascii="Times New Roman" w:hAnsi="Times New Roman" w:eastAsia="仿宋_GB2312"/>
          <w:kern w:val="0"/>
          <w:sz w:val="32"/>
          <w:szCs w:val="32"/>
        </w:rPr>
        <w:t>真实性负责。</w:t>
      </w:r>
    </w:p>
    <w:p>
      <w:pPr>
        <w:pStyle w:val="8"/>
        <w:spacing w:line="594" w:lineRule="exact"/>
        <w:ind w:firstLine="640" w:firstLineChars="200"/>
        <w:rPr>
          <w:rFonts w:ascii="Times New Roman" w:hAnsi="Times New Roman"/>
          <w:kern w:val="0"/>
          <w:sz w:val="32"/>
          <w:szCs w:val="32"/>
        </w:rPr>
      </w:pPr>
      <w:r>
        <w:rPr>
          <w:rFonts w:hint="eastAsia" w:ascii="Times New Roman" w:hAnsi="Times New Roman" w:eastAsia="黑体"/>
          <w:kern w:val="0"/>
          <w:sz w:val="32"/>
          <w:szCs w:val="32"/>
        </w:rPr>
        <w:t xml:space="preserve">第四十四条 </w:t>
      </w:r>
      <w:r>
        <w:rPr>
          <w:rFonts w:ascii="Times New Roman" w:hAnsi="Times New Roman"/>
          <w:kern w:val="0"/>
          <w:sz w:val="32"/>
          <w:szCs w:val="32"/>
        </w:rPr>
        <w:t>检验项目</w:t>
      </w:r>
      <w:r>
        <w:rPr>
          <w:rFonts w:hint="eastAsia" w:ascii="Times New Roman" w:hAnsi="Times New Roman"/>
          <w:kern w:val="0"/>
          <w:sz w:val="32"/>
          <w:szCs w:val="32"/>
        </w:rPr>
        <w:t>应符合</w:t>
      </w:r>
      <w:r>
        <w:rPr>
          <w:rFonts w:ascii="Times New Roman" w:hAnsi="Times New Roman"/>
          <w:kern w:val="0"/>
          <w:sz w:val="32"/>
          <w:szCs w:val="32"/>
        </w:rPr>
        <w:t>相应的食品安全国家标准及企业明示的产品执行标准，包括国家标准、行业标准、地方标准、团体标准、企业标准等</w:t>
      </w:r>
      <w:r>
        <w:rPr>
          <w:rFonts w:hint="eastAsia" w:ascii="Times New Roman" w:hAnsi="Times New Roman"/>
          <w:kern w:val="0"/>
          <w:sz w:val="32"/>
          <w:szCs w:val="32"/>
          <w:lang w:eastAsia="zh-CN"/>
        </w:rPr>
        <w:t>，以</w:t>
      </w:r>
      <w:r>
        <w:rPr>
          <w:rFonts w:ascii="Times New Roman" w:hAnsi="Times New Roman"/>
          <w:kern w:val="0"/>
          <w:sz w:val="32"/>
          <w:szCs w:val="32"/>
        </w:rPr>
        <w:t>及国务院卫生行政部门的相关公告要求。</w:t>
      </w:r>
    </w:p>
    <w:p>
      <w:pPr>
        <w:pStyle w:val="8"/>
        <w:spacing w:line="594" w:lineRule="exact"/>
        <w:ind w:firstLine="640" w:firstLineChars="200"/>
        <w:rPr>
          <w:rFonts w:ascii="Times New Roman" w:hAnsi="Times New Roman"/>
          <w:kern w:val="0"/>
          <w:sz w:val="32"/>
          <w:szCs w:val="32"/>
        </w:rPr>
      </w:pPr>
      <w:r>
        <w:rPr>
          <w:rFonts w:hint="eastAsia" w:ascii="Times New Roman" w:hAnsi="Times New Roman"/>
          <w:kern w:val="0"/>
          <w:sz w:val="32"/>
          <w:szCs w:val="32"/>
        </w:rPr>
        <w:t>可可制品</w:t>
      </w:r>
      <w:r>
        <w:rPr>
          <w:rFonts w:ascii="Times New Roman" w:hAnsi="Times New Roman"/>
          <w:kern w:val="0"/>
          <w:sz w:val="32"/>
          <w:szCs w:val="32"/>
        </w:rPr>
        <w:t>涉及的检</w:t>
      </w:r>
      <w:r>
        <w:rPr>
          <w:rFonts w:hint="eastAsia" w:ascii="Times New Roman" w:hAnsi="Times New Roman"/>
          <w:kern w:val="0"/>
          <w:sz w:val="32"/>
          <w:szCs w:val="32"/>
        </w:rPr>
        <w:t>验</w:t>
      </w:r>
      <w:r>
        <w:rPr>
          <w:rFonts w:ascii="Times New Roman" w:hAnsi="Times New Roman"/>
          <w:kern w:val="0"/>
          <w:sz w:val="32"/>
          <w:szCs w:val="32"/>
        </w:rPr>
        <w:t>项目与方法参见附件2，</w:t>
      </w:r>
      <w:r>
        <w:rPr>
          <w:rFonts w:hint="eastAsia" w:ascii="Times New Roman" w:hAnsi="Times New Roman"/>
          <w:kern w:val="0"/>
          <w:sz w:val="32"/>
          <w:szCs w:val="32"/>
        </w:rPr>
        <w:t>焙炒咖啡</w:t>
      </w:r>
      <w:r>
        <w:rPr>
          <w:rFonts w:ascii="Times New Roman" w:hAnsi="Times New Roman"/>
          <w:kern w:val="0"/>
          <w:sz w:val="32"/>
          <w:szCs w:val="32"/>
        </w:rPr>
        <w:t>涉及的检</w:t>
      </w:r>
      <w:r>
        <w:rPr>
          <w:rFonts w:hint="eastAsia" w:ascii="Times New Roman" w:hAnsi="Times New Roman"/>
          <w:kern w:val="0"/>
          <w:sz w:val="32"/>
          <w:szCs w:val="32"/>
        </w:rPr>
        <w:t>验</w:t>
      </w:r>
      <w:r>
        <w:rPr>
          <w:rFonts w:ascii="Times New Roman" w:hAnsi="Times New Roman"/>
          <w:kern w:val="0"/>
          <w:sz w:val="32"/>
          <w:szCs w:val="32"/>
        </w:rPr>
        <w:t>项目与方法参见附件3。</w:t>
      </w:r>
    </w:p>
    <w:p>
      <w:pPr>
        <w:widowControl w:val="0"/>
        <w:spacing w:line="594" w:lineRule="exact"/>
        <w:jc w:val="center"/>
        <w:rPr>
          <w:rFonts w:ascii="Times New Roman" w:hAnsi="Times New Roman" w:eastAsia="黑体" w:cs="Times New Roman"/>
          <w:sz w:val="32"/>
          <w:szCs w:val="32"/>
        </w:rPr>
      </w:pPr>
      <w:bookmarkStart w:id="10" w:name="_Toc83971203"/>
      <w:r>
        <w:rPr>
          <w:rFonts w:hint="eastAsia" w:ascii="Times New Roman" w:hAnsi="Times New Roman" w:eastAsia="黑体" w:cs="Times New Roman"/>
          <w:sz w:val="32"/>
          <w:szCs w:val="32"/>
        </w:rPr>
        <w:t>第八章 附则</w:t>
      </w:r>
      <w:bookmarkEnd w:id="10"/>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第四十五条 </w:t>
      </w:r>
      <w:r>
        <w:rPr>
          <w:rFonts w:hint="eastAsia" w:ascii="Times New Roman" w:hAnsi="Times New Roman" w:eastAsia="仿宋_GB2312"/>
          <w:kern w:val="0"/>
          <w:sz w:val="32"/>
          <w:szCs w:val="32"/>
        </w:rPr>
        <w:t>本</w:t>
      </w:r>
      <w:r>
        <w:rPr>
          <w:rFonts w:ascii="Times New Roman" w:hAnsi="Times New Roman" w:eastAsia="仿宋_GB2312"/>
          <w:kern w:val="0"/>
          <w:sz w:val="32"/>
          <w:szCs w:val="32"/>
        </w:rPr>
        <w:t>《细则》</w:t>
      </w:r>
      <w:r>
        <w:rPr>
          <w:rFonts w:hint="eastAsia" w:ascii="Times New Roman" w:hAnsi="Times New Roman" w:eastAsia="仿宋_GB2312"/>
          <w:kern w:val="0"/>
          <w:sz w:val="32"/>
          <w:szCs w:val="32"/>
        </w:rPr>
        <w:t>由国家市场监督管理总局负责解释。</w:t>
      </w: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黑体"/>
          <w:kern w:val="0"/>
          <w:sz w:val="32"/>
          <w:szCs w:val="32"/>
        </w:rPr>
        <w:t xml:space="preserve">第四十六条 </w:t>
      </w:r>
      <w:r>
        <w:rPr>
          <w:rFonts w:hint="eastAsia" w:ascii="Times New Roman" w:hAnsi="Times New Roman" w:eastAsia="仿宋_GB2312"/>
          <w:kern w:val="0"/>
          <w:sz w:val="32"/>
          <w:szCs w:val="32"/>
        </w:rPr>
        <w:t>本</w:t>
      </w:r>
      <w:r>
        <w:rPr>
          <w:rFonts w:ascii="Times New Roman" w:hAnsi="Times New Roman" w:eastAsia="仿宋_GB2312"/>
          <w:kern w:val="0"/>
          <w:sz w:val="32"/>
          <w:szCs w:val="32"/>
        </w:rPr>
        <w:t>《细则》</w:t>
      </w:r>
      <w:r>
        <w:rPr>
          <w:rFonts w:hint="eastAsia" w:ascii="Times New Roman" w:hAnsi="Times New Roman" w:eastAsia="仿宋_GB2312"/>
          <w:kern w:val="0"/>
          <w:sz w:val="32"/>
          <w:szCs w:val="32"/>
        </w:rPr>
        <w:t>自发布之日起施行，原《可可制品生产许可证审查细则》《焙炒咖啡生产许可证审查细则》同时废止。</w:t>
      </w:r>
    </w:p>
    <w:p>
      <w:pPr>
        <w:pStyle w:val="32"/>
        <w:spacing w:line="594" w:lineRule="exact"/>
        <w:ind w:firstLine="0" w:firstLineChars="0"/>
        <w:rPr>
          <w:rFonts w:ascii="Times New Roman" w:hAnsi="Times New Roman" w:eastAsia="仿宋_GB2312"/>
          <w:kern w:val="0"/>
          <w:sz w:val="32"/>
          <w:szCs w:val="32"/>
        </w:rPr>
      </w:pPr>
    </w:p>
    <w:p>
      <w:pPr>
        <w:pStyle w:val="32"/>
        <w:spacing w:line="594" w:lineRule="exact"/>
        <w:ind w:firstLine="640"/>
        <w:rPr>
          <w:rFonts w:ascii="Times New Roman" w:hAnsi="Times New Roman" w:eastAsia="仿宋_GB2312"/>
          <w:kern w:val="0"/>
          <w:sz w:val="32"/>
          <w:szCs w:val="32"/>
        </w:rPr>
      </w:pPr>
      <w:r>
        <w:rPr>
          <w:rFonts w:hint="eastAsia" w:ascii="Times New Roman" w:hAnsi="Times New Roman" w:eastAsia="仿宋_GB2312"/>
          <w:kern w:val="0"/>
          <w:sz w:val="32"/>
          <w:szCs w:val="32"/>
        </w:rPr>
        <w:t>附件</w:t>
      </w:r>
      <w:r>
        <w:rPr>
          <w:rFonts w:ascii="Times New Roman" w:hAnsi="Times New Roman" w:eastAsia="仿宋_GB2312"/>
          <w:kern w:val="0"/>
          <w:sz w:val="32"/>
          <w:szCs w:val="32"/>
        </w:rPr>
        <w:t>:1.</w:t>
      </w:r>
      <w:r>
        <w:rPr>
          <w:rFonts w:hint="eastAsia" w:ascii="Times New Roman" w:hAnsi="Times New Roman" w:eastAsia="仿宋_GB2312"/>
          <w:kern w:val="0"/>
          <w:sz w:val="32"/>
          <w:szCs w:val="32"/>
        </w:rPr>
        <w:t>引用的文件与标准</w:t>
      </w:r>
    </w:p>
    <w:p>
      <w:pPr>
        <w:spacing w:line="594" w:lineRule="exact"/>
        <w:ind w:firstLine="1379" w:firstLineChars="431"/>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default" w:ascii="Times New Roman" w:hAnsi="Times New Roman" w:eastAsia="仿宋_GB2312" w:cs="Times New Roman"/>
          <w:sz w:val="32"/>
          <w:szCs w:val="32"/>
        </w:rPr>
        <w:t>可可制品的检验项目与方法</w:t>
      </w:r>
    </w:p>
    <w:p>
      <w:pPr>
        <w:spacing w:line="594" w:lineRule="exact"/>
        <w:ind w:firstLine="1379" w:firstLineChars="431"/>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default" w:ascii="Times New Roman" w:hAnsi="Times New Roman" w:eastAsia="仿宋_GB2312" w:cs="Times New Roman"/>
          <w:sz w:val="32"/>
          <w:szCs w:val="32"/>
        </w:rPr>
        <w:t>焙炒咖啡的检验项目与方法</w:t>
      </w:r>
    </w:p>
    <w:p>
      <w:pPr>
        <w:spacing w:line="500" w:lineRule="exact"/>
        <w:rPr>
          <w:rFonts w:ascii="Times New Roman" w:hAnsi="Times New Roman" w:eastAsia="黑体" w:cs="Times New Roman"/>
          <w:sz w:val="32"/>
          <w:szCs w:val="32"/>
        </w:rPr>
      </w:pPr>
      <w:r>
        <w:rPr>
          <w:rFonts w:ascii="Times New Roman" w:hAnsi="Times New Roman" w:eastAsia="黑体" w:cs="Times New Roman"/>
          <w:b/>
          <w:bCs/>
          <w:sz w:val="32"/>
          <w:szCs w:val="32"/>
        </w:rPr>
        <w:br w:type="page"/>
      </w:r>
      <w:r>
        <w:rPr>
          <w:rFonts w:ascii="Times New Roman" w:hAnsi="Times New Roman" w:eastAsia="黑体" w:cs="Times New Roman"/>
          <w:sz w:val="32"/>
          <w:szCs w:val="32"/>
        </w:rPr>
        <w:t>附件1</w:t>
      </w:r>
    </w:p>
    <w:p>
      <w:pPr>
        <w:spacing w:line="500" w:lineRule="exact"/>
        <w:jc w:val="left"/>
        <w:rPr>
          <w:rFonts w:ascii="Times New Roman" w:hAnsi="Times New Roman" w:eastAsia="方正小标宋简体" w:cs="Times New Roman"/>
          <w:sz w:val="44"/>
          <w:szCs w:val="44"/>
        </w:rPr>
      </w:pPr>
    </w:p>
    <w:p>
      <w:pPr>
        <w:spacing w:line="594"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引用</w:t>
      </w:r>
      <w:r>
        <w:rPr>
          <w:rFonts w:ascii="Times New Roman" w:hAnsi="Times New Roman" w:eastAsia="方正小标宋简体" w:cs="Times New Roman"/>
          <w:sz w:val="44"/>
          <w:szCs w:val="44"/>
        </w:rPr>
        <w:t>的文件与标准</w:t>
      </w:r>
    </w:p>
    <w:tbl>
      <w:tblPr>
        <w:tblStyle w:val="2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1"/>
        <w:gridCol w:w="1953"/>
        <w:gridCol w:w="5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adjustRightInd w:val="0"/>
              <w:snapToGrid w:val="0"/>
              <w:spacing w:line="360" w:lineRule="exact"/>
              <w:jc w:val="center"/>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序号</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adjustRightInd w:val="0"/>
              <w:snapToGrid w:val="0"/>
              <w:spacing w:line="360" w:lineRule="exact"/>
              <w:jc w:val="center"/>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编号</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adjustRightInd w:val="0"/>
              <w:snapToGrid w:val="0"/>
              <w:spacing w:line="360" w:lineRule="exact"/>
              <w:jc w:val="center"/>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cs="Times New Roman"/>
              </w:rPr>
            </w:pPr>
            <w:r>
              <w:rPr>
                <w:rFonts w:hint="eastAsia" w:ascii="Times New Roman" w:hAnsi="Times New Roman" w:cs="Times New Roman"/>
              </w:rPr>
              <w:t>1</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ascii="Times New Roman" w:hAnsi="Times New Roman" w:eastAsia="仿宋_GB2312" w:cs="Times New Roman"/>
                <w:bCs/>
              </w:rPr>
              <w:t>GB/T 20705</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hint="eastAsia" w:ascii="Times New Roman" w:hAnsi="Times New Roman" w:eastAsia="仿宋_GB2312" w:cs="Times New Roman"/>
                <w:bCs/>
              </w:rPr>
              <w:t>可可液块及可可饼块质量要求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cs="Times New Roman"/>
              </w:rPr>
            </w:pPr>
            <w:r>
              <w:rPr>
                <w:rFonts w:hint="eastAsia" w:ascii="Times New Roman" w:hAnsi="Times New Roman" w:cs="Times New Roman"/>
              </w:rPr>
              <w:t>2</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ascii="Times New Roman" w:hAnsi="Times New Roman" w:eastAsia="仿宋_GB2312" w:cs="Times New Roman"/>
                <w:bCs/>
              </w:rPr>
              <w:t>GB/T 20706</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hint="eastAsia" w:ascii="Times New Roman" w:hAnsi="Times New Roman" w:eastAsia="仿宋_GB2312" w:cs="Times New Roman"/>
                <w:bCs/>
              </w:rPr>
              <w:t>可可粉质量要求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cs="Times New Roman"/>
              </w:rPr>
            </w:pPr>
            <w:r>
              <w:rPr>
                <w:rFonts w:hint="eastAsia" w:ascii="Times New Roman" w:hAnsi="Times New Roman" w:cs="Times New Roman"/>
              </w:rPr>
              <w:t>3</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ascii="Times New Roman" w:hAnsi="Times New Roman" w:eastAsia="仿宋_GB2312" w:cs="Times New Roman"/>
                <w:bCs/>
              </w:rPr>
              <w:t>GB/T 20707</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hint="eastAsia" w:ascii="Times New Roman" w:hAnsi="Times New Roman" w:eastAsia="仿宋_GB2312" w:cs="Times New Roman"/>
                <w:bCs/>
              </w:rPr>
              <w:t>可可脂质量要求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4</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ascii="Times New Roman" w:hAnsi="Times New Roman" w:eastAsia="仿宋_GB2312" w:cs="Times New Roman"/>
              </w:rPr>
              <w:t>NY/T 605</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hint="eastAsia" w:ascii="Times New Roman" w:hAnsi="Times New Roman" w:eastAsia="仿宋_GB2312" w:cs="Times New Roman"/>
              </w:rPr>
              <w:t>焙炒咖啡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5</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ascii="Times New Roman" w:hAnsi="Times New Roman" w:eastAsia="仿宋_GB2312" w:cs="Times New Roman"/>
              </w:rPr>
              <w:t>GB/T 191</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hint="eastAsia" w:ascii="Times New Roman" w:hAnsi="Times New Roman" w:eastAsia="仿宋_GB2312" w:cs="Times New Roman"/>
              </w:rPr>
              <w:t>包装储运符号标志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6</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ascii="Times New Roman" w:hAnsi="Times New Roman" w:eastAsia="仿宋_GB2312" w:cs="Times New Roman"/>
              </w:rPr>
              <w:t>GB 2760</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hint="eastAsia" w:ascii="Times New Roman" w:hAnsi="Times New Roman" w:eastAsia="仿宋_GB2312" w:cs="Times New Roman"/>
              </w:rPr>
              <w:t>食品安全国家标准  食品添加剂使用标准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7</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ascii="Times New Roman" w:hAnsi="Times New Roman" w:eastAsia="仿宋_GB2312" w:cs="Times New Roman"/>
              </w:rPr>
              <w:t>GB 2761</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hint="eastAsia" w:ascii="Times New Roman" w:hAnsi="Times New Roman" w:eastAsia="仿宋_GB2312" w:cs="Times New Roman"/>
              </w:rPr>
              <w:t>食品安全国家标准  食品中真菌毒素限量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8</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 2762</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食品安全国家标准  食品中污染物限量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9</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 2763</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食品安全国家标准  食品中农药最大残留限量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10</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 28050</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食品安全国家标准  预包装食品营养标签通则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11</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 4806.1</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食品安全国家标准  食品接触材料及制品通用安全要求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12</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 4806.7</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食品安全国家标准  食品接触用塑料材料及制品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13</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 xml:space="preserve">GB 4806.8 </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食品安全国家标准  食品接触用纸和纸板材料及制品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14</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 4806.9</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食品安全国家标准  食品接触用金属材料及制品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15</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GB/T 6543</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运输包装用单瓦楞纸箱和双瓦楞纸箱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16</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 7718</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食品安全国家标准  预包装食品标签通则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17</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 4806</w:t>
            </w:r>
          </w:p>
          <w:p>
            <w:pPr>
              <w:spacing w:line="360" w:lineRule="exact"/>
              <w:jc w:val="center"/>
              <w:rPr>
                <w:rFonts w:ascii="Times New Roman" w:hAnsi="Times New Roman" w:eastAsia="仿宋_GB2312" w:cs="Times New Roman"/>
              </w:rPr>
            </w:pPr>
            <w:r>
              <w:rPr>
                <w:rFonts w:ascii="Times New Roman" w:hAnsi="Times New Roman" w:eastAsia="仿宋_GB2312" w:cs="Times New Roman"/>
              </w:rPr>
              <w:t>.13</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食品安全国家标准</w:t>
            </w:r>
            <w:r>
              <w:rPr>
                <w:rFonts w:ascii="Times New Roman" w:hAnsi="Times New Roman" w:eastAsia="仿宋_GB2312" w:cs="Times New Roman"/>
              </w:rPr>
              <w:t xml:space="preserve"> 食品接触用复合材料及制品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18</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GB/T 10004</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包装用塑料复合膜、袋干法复合、挤出复合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19</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ascii="Times New Roman" w:hAnsi="Times New Roman" w:eastAsia="仿宋_GB2312" w:cs="Times New Roman"/>
              </w:rPr>
              <w:t>GB 14881</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食品安全国家标准  食品生产通用卫生规范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20</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hint="eastAsia" w:ascii="Times New Roman" w:hAnsi="Times New Roman" w:eastAsia="仿宋_GB2312" w:cs="Times New Roman"/>
                <w:bCs/>
              </w:rPr>
              <w:t>国家市场监督管理总局令</w:t>
            </w:r>
            <w:r>
              <w:rPr>
                <w:rFonts w:ascii="Times New Roman" w:hAnsi="Times New Roman" w:eastAsia="仿宋_GB2312" w:cs="Times New Roman"/>
                <w:bCs/>
              </w:rPr>
              <w:t xml:space="preserve"> 第70号</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hint="eastAsia" w:ascii="Times New Roman" w:hAnsi="Times New Roman" w:eastAsia="仿宋_GB2312" w:cs="Times New Roman"/>
                <w:bCs/>
              </w:rPr>
              <w:t>定量包装商品计量监督管理办法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21</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ascii="Times New Roman" w:hAnsi="Times New Roman" w:eastAsia="仿宋_GB2312" w:cs="Times New Roman"/>
              </w:rPr>
              <w:t>JJF 1070</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bCs/>
              </w:rPr>
            </w:pPr>
            <w:r>
              <w:rPr>
                <w:rFonts w:hint="eastAsia" w:ascii="Times New Roman" w:hAnsi="Times New Roman" w:eastAsia="仿宋_GB2312" w:cs="Times New Roman"/>
              </w:rPr>
              <w:t>定量包装商品净含量计量检验规则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70" w:hRule="atLeast"/>
          <w:jc w:val="center"/>
        </w:trPr>
        <w:tc>
          <w:tcPr>
            <w:tcW w:w="10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numPr>
                <w:ilvl w:val="255"/>
                <w:numId w:val="0"/>
              </w:numPr>
              <w:spacing w:line="360" w:lineRule="exact"/>
              <w:jc w:val="center"/>
              <w:rPr>
                <w:rFonts w:ascii="Times New Roman" w:hAnsi="Times New Roman" w:eastAsia="仿宋_GB2312" w:cs="Times New Roman"/>
              </w:rPr>
            </w:pPr>
            <w:r>
              <w:rPr>
                <w:rFonts w:ascii="Times New Roman" w:hAnsi="Times New Roman" w:eastAsia="仿宋_GB2312" w:cs="Times New Roman"/>
              </w:rPr>
              <w:t>22</w:t>
            </w:r>
          </w:p>
        </w:tc>
        <w:tc>
          <w:tcPr>
            <w:tcW w:w="19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原食品药品监管总局</w:t>
            </w:r>
            <w:r>
              <w:rPr>
                <w:rFonts w:ascii="Times New Roman" w:hAnsi="Times New Roman" w:eastAsia="仿宋_GB2312" w:cs="Times New Roman"/>
              </w:rPr>
              <w:t>2017</w:t>
            </w:r>
            <w:r>
              <w:rPr>
                <w:rFonts w:hint="eastAsia" w:ascii="Times New Roman" w:hAnsi="Times New Roman" w:eastAsia="仿宋_GB2312" w:cs="Times New Roman"/>
              </w:rPr>
              <w:t>年第</w:t>
            </w:r>
            <w:r>
              <w:rPr>
                <w:rFonts w:ascii="Times New Roman" w:hAnsi="Times New Roman" w:eastAsia="仿宋_GB2312" w:cs="Times New Roman"/>
              </w:rPr>
              <w:t>39</w:t>
            </w:r>
            <w:r>
              <w:rPr>
                <w:rFonts w:hint="eastAsia" w:ascii="Times New Roman" w:hAnsi="Times New Roman" w:eastAsia="仿宋_GB2312" w:cs="Times New Roman"/>
              </w:rPr>
              <w:t>号公告</w:t>
            </w:r>
          </w:p>
        </w:tc>
        <w:tc>
          <w:tcPr>
            <w:tcW w:w="591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关于发布食品生产经营企业建立食品安全</w:t>
            </w:r>
          </w:p>
          <w:p>
            <w:pPr>
              <w:spacing w:line="360" w:lineRule="exact"/>
              <w:jc w:val="center"/>
              <w:rPr>
                <w:rFonts w:ascii="Times New Roman" w:hAnsi="Times New Roman" w:eastAsia="仿宋_GB2312" w:cs="Times New Roman"/>
              </w:rPr>
            </w:pPr>
            <w:r>
              <w:rPr>
                <w:rFonts w:hint="eastAsia" w:ascii="Times New Roman" w:hAnsi="Times New Roman" w:eastAsia="仿宋_GB2312" w:cs="Times New Roman"/>
              </w:rPr>
              <w:t>追溯体系若干规定的公告</w:t>
            </w:r>
          </w:p>
        </w:tc>
      </w:tr>
    </w:tbl>
    <w:p>
      <w:pPr>
        <w:spacing w:line="594" w:lineRule="exact"/>
        <w:rPr>
          <w:rFonts w:ascii="Times New Roman" w:hAnsi="Times New Roman" w:eastAsia="黑体" w:cs="Times New Roman"/>
          <w:b/>
          <w:bCs/>
          <w:sz w:val="32"/>
          <w:szCs w:val="32"/>
        </w:rPr>
      </w:pPr>
      <w:r>
        <w:rPr>
          <w:rFonts w:ascii="Times New Roman" w:hAnsi="Times New Roman" w:eastAsia="黑体" w:cs="Times New Roman"/>
          <w:b/>
          <w:bCs/>
          <w:sz w:val="32"/>
          <w:szCs w:val="32"/>
        </w:rPr>
        <w:br w:type="page"/>
      </w:r>
    </w:p>
    <w:p>
      <w:pPr>
        <w:spacing w:line="500" w:lineRule="exact"/>
        <w:rPr>
          <w:rFonts w:ascii="Times New Roman" w:hAnsi="Times New Roman" w:eastAsia="黑体" w:cs="Times New Roman"/>
          <w:sz w:val="32"/>
          <w:szCs w:val="32"/>
        </w:rPr>
      </w:pPr>
      <w:r>
        <w:rPr>
          <w:rFonts w:ascii="Times New Roman" w:hAnsi="Times New Roman" w:eastAsia="黑体" w:cs="Times New Roman"/>
          <w:sz w:val="32"/>
          <w:szCs w:val="32"/>
        </w:rPr>
        <w:t>附件2</w:t>
      </w:r>
    </w:p>
    <w:p>
      <w:pPr>
        <w:spacing w:line="500" w:lineRule="exact"/>
        <w:rPr>
          <w:rFonts w:ascii="Times New Roman" w:hAnsi="Times New Roman" w:eastAsia="黑体" w:cs="Times New Roman"/>
          <w:sz w:val="32"/>
          <w:szCs w:val="32"/>
        </w:rPr>
      </w:pPr>
    </w:p>
    <w:p>
      <w:pPr>
        <w:spacing w:line="594" w:lineRule="exact"/>
        <w:jc w:val="center"/>
        <w:rPr>
          <w:rFonts w:ascii="Times New Roman" w:hAnsi="Times New Roman" w:eastAsia="黑体" w:cs="Times New Roman"/>
          <w:sz w:val="30"/>
          <w:szCs w:val="30"/>
        </w:rPr>
      </w:pPr>
      <w:r>
        <w:rPr>
          <w:rFonts w:hint="eastAsia" w:ascii="Times New Roman" w:hAnsi="Times New Roman" w:eastAsia="方正小标宋简体" w:cs="Times New Roman"/>
          <w:sz w:val="44"/>
          <w:szCs w:val="44"/>
        </w:rPr>
        <w:t>可可制品的检验项目与方法</w:t>
      </w:r>
    </w:p>
    <w:tbl>
      <w:tblPr>
        <w:tblStyle w:val="23"/>
        <w:tblW w:w="8887" w:type="dxa"/>
        <w:tblInd w:w="82" w:type="dxa"/>
        <w:tblLayout w:type="fixed"/>
        <w:tblCellMar>
          <w:top w:w="0" w:type="dxa"/>
          <w:left w:w="0" w:type="dxa"/>
          <w:bottom w:w="0" w:type="dxa"/>
          <w:right w:w="0" w:type="dxa"/>
        </w:tblCellMar>
      </w:tblPr>
      <w:tblGrid>
        <w:gridCol w:w="642"/>
        <w:gridCol w:w="1720"/>
        <w:gridCol w:w="2391"/>
        <w:gridCol w:w="2498"/>
        <w:gridCol w:w="1636"/>
      </w:tblGrid>
      <w:tr>
        <w:tblPrEx>
          <w:tblCellMar>
            <w:top w:w="0" w:type="dxa"/>
            <w:left w:w="0" w:type="dxa"/>
            <w:bottom w:w="0" w:type="dxa"/>
            <w:right w:w="0" w:type="dxa"/>
          </w:tblCellMar>
        </w:tblPrEx>
        <w:trPr>
          <w:trHeight w:val="221" w:hRule="atLeast"/>
          <w:tblHeader/>
        </w:trPr>
        <w:tc>
          <w:tcPr>
            <w:tcW w:w="6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360" w:lineRule="exact"/>
              <w:jc w:val="center"/>
              <w:rPr>
                <w:rFonts w:hint="default" w:ascii="Times New Roman" w:hAnsi="Times New Roman" w:eastAsia="黑体" w:cs="Times New Roman"/>
                <w:b w:val="0"/>
                <w:bCs/>
                <w:sz w:val="28"/>
                <w:szCs w:val="28"/>
              </w:rPr>
            </w:pPr>
            <w:r>
              <w:rPr>
                <w:rFonts w:hint="default" w:ascii="Times New Roman" w:hAnsi="Times New Roman" w:eastAsia="黑体" w:cs="Times New Roman"/>
                <w:b w:val="0"/>
                <w:bCs/>
                <w:sz w:val="28"/>
                <w:szCs w:val="28"/>
              </w:rPr>
              <w:t>序号</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360" w:lineRule="exact"/>
              <w:jc w:val="center"/>
              <w:rPr>
                <w:rFonts w:hint="default" w:ascii="Times New Roman" w:hAnsi="Times New Roman" w:eastAsia="黑体" w:cs="Times New Roman"/>
                <w:b w:val="0"/>
                <w:bCs/>
                <w:sz w:val="28"/>
                <w:szCs w:val="28"/>
              </w:rPr>
            </w:pPr>
            <w:r>
              <w:rPr>
                <w:rFonts w:hint="default" w:ascii="Times New Roman" w:hAnsi="Times New Roman" w:eastAsia="黑体" w:cs="Times New Roman"/>
                <w:b w:val="0"/>
                <w:bCs/>
                <w:sz w:val="28"/>
                <w:szCs w:val="28"/>
              </w:rPr>
              <w:t>检验项目</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360" w:lineRule="exact"/>
              <w:jc w:val="center"/>
              <w:rPr>
                <w:rFonts w:hint="default" w:ascii="Times New Roman" w:hAnsi="Times New Roman" w:eastAsia="黑体" w:cs="Times New Roman"/>
                <w:b w:val="0"/>
                <w:bCs/>
                <w:sz w:val="28"/>
                <w:szCs w:val="28"/>
              </w:rPr>
            </w:pPr>
            <w:r>
              <w:rPr>
                <w:rFonts w:hint="default" w:ascii="Times New Roman" w:hAnsi="Times New Roman" w:eastAsia="黑体" w:cs="Times New Roman"/>
                <w:b w:val="0"/>
                <w:bCs/>
                <w:sz w:val="28"/>
                <w:szCs w:val="28"/>
              </w:rPr>
              <w:t>标准号</w:t>
            </w:r>
          </w:p>
        </w:tc>
        <w:tc>
          <w:tcPr>
            <w:tcW w:w="24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360" w:lineRule="exact"/>
              <w:jc w:val="center"/>
              <w:rPr>
                <w:rFonts w:hint="default" w:ascii="Times New Roman" w:hAnsi="Times New Roman" w:eastAsia="黑体" w:cs="Times New Roman"/>
                <w:b w:val="0"/>
                <w:bCs/>
                <w:sz w:val="28"/>
                <w:szCs w:val="28"/>
              </w:rPr>
            </w:pPr>
            <w:r>
              <w:rPr>
                <w:rFonts w:hint="default" w:ascii="Times New Roman" w:hAnsi="Times New Roman" w:eastAsia="黑体" w:cs="Times New Roman"/>
                <w:b w:val="0"/>
                <w:bCs/>
                <w:sz w:val="28"/>
                <w:szCs w:val="28"/>
              </w:rPr>
              <w:t>标准名称</w:t>
            </w:r>
          </w:p>
        </w:tc>
        <w:tc>
          <w:tcPr>
            <w:tcW w:w="16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360" w:lineRule="exact"/>
              <w:jc w:val="center"/>
              <w:rPr>
                <w:rFonts w:hint="default" w:ascii="Times New Roman" w:hAnsi="Times New Roman" w:eastAsia="黑体" w:cs="Times New Roman"/>
                <w:b w:val="0"/>
                <w:bCs/>
                <w:sz w:val="28"/>
                <w:szCs w:val="28"/>
              </w:rPr>
            </w:pPr>
            <w:r>
              <w:rPr>
                <w:rFonts w:hint="default" w:ascii="Times New Roman" w:hAnsi="Times New Roman" w:eastAsia="黑体" w:cs="Times New Roman"/>
                <w:b w:val="0"/>
                <w:bCs/>
                <w:sz w:val="28"/>
                <w:szCs w:val="28"/>
              </w:rPr>
              <w:t>检验方法</w:t>
            </w:r>
          </w:p>
        </w:tc>
      </w:tr>
      <w:tr>
        <w:tblPrEx>
          <w:tblCellMar>
            <w:top w:w="0" w:type="dxa"/>
            <w:left w:w="0" w:type="dxa"/>
            <w:bottom w:w="0" w:type="dxa"/>
            <w:right w:w="0" w:type="dxa"/>
          </w:tblCellMar>
        </w:tblPrEx>
        <w:trPr>
          <w:trHeight w:val="558" w:hRule="atLeast"/>
        </w:trPr>
        <w:tc>
          <w:tcPr>
            <w:tcW w:w="6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141"/>
              <w:jc w:val="center"/>
              <w:rPr>
                <w:rFonts w:ascii="Times New Roman" w:hAnsi="Times New Roman" w:eastAsia="仿宋_GB2312" w:cs="Times New Roman"/>
                <w:bCs/>
              </w:rPr>
            </w:pPr>
            <w:r>
              <w:rPr>
                <w:rFonts w:hint="eastAsia" w:ascii="Times New Roman" w:hAnsi="Times New Roman" w:eastAsia="仿宋_GB2312" w:cs="Times New Roman"/>
                <w:bCs/>
              </w:rPr>
              <w:t>1</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rPr>
              <w:t>感官</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rPr>
              <w:t>按照相应的产品标准</w:t>
            </w:r>
          </w:p>
        </w:tc>
        <w:tc>
          <w:tcPr>
            <w:tcW w:w="24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按照相应的产品标准</w:t>
            </w:r>
          </w:p>
        </w:tc>
        <w:tc>
          <w:tcPr>
            <w:tcW w:w="16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按照相应标准</w:t>
            </w:r>
          </w:p>
        </w:tc>
      </w:tr>
      <w:tr>
        <w:tblPrEx>
          <w:tblCellMar>
            <w:top w:w="0" w:type="dxa"/>
            <w:left w:w="0" w:type="dxa"/>
            <w:bottom w:w="0" w:type="dxa"/>
            <w:right w:w="0" w:type="dxa"/>
          </w:tblCellMar>
        </w:tblPrEx>
        <w:trPr>
          <w:trHeight w:val="558" w:hRule="atLeast"/>
        </w:trPr>
        <w:tc>
          <w:tcPr>
            <w:tcW w:w="6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141"/>
              <w:jc w:val="center"/>
              <w:rPr>
                <w:rFonts w:ascii="Times New Roman" w:hAnsi="Times New Roman" w:eastAsia="仿宋_GB2312" w:cs="Times New Roman"/>
                <w:bCs/>
              </w:rPr>
            </w:pPr>
            <w:r>
              <w:rPr>
                <w:rFonts w:hint="eastAsia" w:ascii="Times New Roman" w:hAnsi="Times New Roman" w:eastAsia="仿宋_GB2312" w:cs="Times New Roman"/>
                <w:bCs/>
              </w:rPr>
              <w:t>2</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常规理化</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按照相应的产品标准</w:t>
            </w:r>
          </w:p>
        </w:tc>
        <w:tc>
          <w:tcPr>
            <w:tcW w:w="24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按照相应的产品标准</w:t>
            </w:r>
          </w:p>
        </w:tc>
        <w:tc>
          <w:tcPr>
            <w:tcW w:w="16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按照相应标准</w:t>
            </w:r>
          </w:p>
        </w:tc>
      </w:tr>
      <w:tr>
        <w:tblPrEx>
          <w:tblCellMar>
            <w:top w:w="0" w:type="dxa"/>
            <w:left w:w="0" w:type="dxa"/>
            <w:bottom w:w="0" w:type="dxa"/>
            <w:right w:w="0" w:type="dxa"/>
          </w:tblCellMar>
        </w:tblPrEx>
        <w:trPr>
          <w:trHeight w:val="837" w:hRule="atLeast"/>
        </w:trPr>
        <w:tc>
          <w:tcPr>
            <w:tcW w:w="6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141"/>
              <w:jc w:val="center"/>
              <w:rPr>
                <w:rFonts w:ascii="Times New Roman" w:hAnsi="Times New Roman" w:eastAsia="仿宋_GB2312" w:cs="Times New Roman"/>
                <w:bCs/>
              </w:rPr>
            </w:pPr>
            <w:r>
              <w:rPr>
                <w:rFonts w:ascii="Times New Roman" w:hAnsi="Times New Roman" w:eastAsia="仿宋_GB2312" w:cs="Times New Roman"/>
                <w:bCs/>
              </w:rPr>
              <w:t>3</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标签</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GB 7718</w:t>
            </w:r>
          </w:p>
        </w:tc>
        <w:tc>
          <w:tcPr>
            <w:tcW w:w="24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食品安全国家标准  预包装食品标签通则</w:t>
            </w:r>
          </w:p>
        </w:tc>
        <w:tc>
          <w:tcPr>
            <w:tcW w:w="16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GB 7718</w:t>
            </w:r>
          </w:p>
        </w:tc>
      </w:tr>
      <w:tr>
        <w:tblPrEx>
          <w:tblCellMar>
            <w:top w:w="0" w:type="dxa"/>
            <w:left w:w="0" w:type="dxa"/>
            <w:bottom w:w="0" w:type="dxa"/>
            <w:right w:w="0" w:type="dxa"/>
          </w:tblCellMar>
        </w:tblPrEx>
        <w:trPr>
          <w:trHeight w:val="923" w:hRule="atLeast"/>
        </w:trPr>
        <w:tc>
          <w:tcPr>
            <w:tcW w:w="6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141"/>
              <w:jc w:val="center"/>
              <w:rPr>
                <w:rFonts w:ascii="Times New Roman" w:hAnsi="Times New Roman" w:eastAsia="仿宋_GB2312" w:cs="Times New Roman"/>
                <w:bCs/>
              </w:rPr>
            </w:pPr>
            <w:r>
              <w:rPr>
                <w:rFonts w:ascii="Times New Roman" w:hAnsi="Times New Roman" w:eastAsia="仿宋_GB2312" w:cs="Times New Roman"/>
                <w:bCs/>
              </w:rPr>
              <w:t>4</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营养标签</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GB 28050</w:t>
            </w:r>
          </w:p>
        </w:tc>
        <w:tc>
          <w:tcPr>
            <w:tcW w:w="24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食品安全国家标准  预包装食品营养标签通则</w:t>
            </w:r>
          </w:p>
        </w:tc>
        <w:tc>
          <w:tcPr>
            <w:tcW w:w="16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GB 28050</w:t>
            </w:r>
          </w:p>
        </w:tc>
      </w:tr>
      <w:tr>
        <w:tblPrEx>
          <w:tblCellMar>
            <w:top w:w="0" w:type="dxa"/>
            <w:left w:w="0" w:type="dxa"/>
            <w:bottom w:w="0" w:type="dxa"/>
            <w:right w:w="0" w:type="dxa"/>
          </w:tblCellMar>
        </w:tblPrEx>
        <w:trPr>
          <w:trHeight w:val="810" w:hRule="atLeast"/>
        </w:trPr>
        <w:tc>
          <w:tcPr>
            <w:tcW w:w="642"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ind w:left="141"/>
              <w:jc w:val="center"/>
              <w:rPr>
                <w:rFonts w:ascii="Times New Roman" w:hAnsi="Times New Roman" w:eastAsia="仿宋_GB2312" w:cs="Times New Roman"/>
                <w:bCs/>
              </w:rPr>
            </w:pPr>
            <w:r>
              <w:rPr>
                <w:rFonts w:ascii="Times New Roman" w:hAnsi="Times New Roman" w:eastAsia="仿宋_GB2312" w:cs="Times New Roman"/>
                <w:bCs/>
              </w:rPr>
              <w:t>5</w:t>
            </w:r>
          </w:p>
        </w:tc>
        <w:tc>
          <w:tcPr>
            <w:tcW w:w="1720"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食品添加剂</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GB 2760</w:t>
            </w:r>
          </w:p>
        </w:tc>
        <w:tc>
          <w:tcPr>
            <w:tcW w:w="24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食品安全国家标准  食品添加剂使用标准</w:t>
            </w:r>
          </w:p>
        </w:tc>
        <w:tc>
          <w:tcPr>
            <w:tcW w:w="16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按照相应标准</w:t>
            </w:r>
          </w:p>
        </w:tc>
      </w:tr>
      <w:tr>
        <w:tblPrEx>
          <w:tblCellMar>
            <w:top w:w="0" w:type="dxa"/>
            <w:left w:w="0" w:type="dxa"/>
            <w:bottom w:w="0" w:type="dxa"/>
            <w:right w:w="0" w:type="dxa"/>
          </w:tblCellMar>
        </w:tblPrEx>
        <w:trPr>
          <w:trHeight w:val="754" w:hRule="atLeast"/>
        </w:trPr>
        <w:tc>
          <w:tcPr>
            <w:tcW w:w="642"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141"/>
              <w:jc w:val="center"/>
              <w:rPr>
                <w:rFonts w:ascii="Times New Roman" w:hAnsi="Times New Roman" w:eastAsia="仿宋_GB2312" w:cs="Times New Roman"/>
                <w:bCs/>
              </w:rPr>
            </w:pPr>
            <w:r>
              <w:rPr>
                <w:rFonts w:ascii="Times New Roman" w:hAnsi="Times New Roman" w:eastAsia="仿宋_GB2312" w:cs="Times New Roman"/>
                <w:bCs/>
              </w:rPr>
              <w:t>6</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铅</w:t>
            </w:r>
          </w:p>
        </w:tc>
        <w:tc>
          <w:tcPr>
            <w:tcW w:w="2391" w:type="dxa"/>
            <w:tcBorders>
              <w:top w:val="single" w:color="auto" w:sz="4" w:space="0"/>
              <w:left w:val="nil"/>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GB 2762</w:t>
            </w:r>
          </w:p>
        </w:tc>
        <w:tc>
          <w:tcPr>
            <w:tcW w:w="2498" w:type="dxa"/>
            <w:tcBorders>
              <w:top w:val="single" w:color="auto" w:sz="4" w:space="0"/>
              <w:left w:val="nil"/>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食品安全国家标准  食品中污染物限量</w:t>
            </w:r>
          </w:p>
        </w:tc>
        <w:tc>
          <w:tcPr>
            <w:tcW w:w="16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GB 5009.12</w:t>
            </w:r>
          </w:p>
        </w:tc>
      </w:tr>
      <w:tr>
        <w:tblPrEx>
          <w:tblCellMar>
            <w:top w:w="0" w:type="dxa"/>
            <w:left w:w="0" w:type="dxa"/>
            <w:bottom w:w="0" w:type="dxa"/>
            <w:right w:w="0" w:type="dxa"/>
          </w:tblCellMar>
        </w:tblPrEx>
        <w:trPr>
          <w:trHeight w:val="754" w:hRule="atLeast"/>
        </w:trPr>
        <w:tc>
          <w:tcPr>
            <w:tcW w:w="642"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141"/>
              <w:jc w:val="center"/>
              <w:rPr>
                <w:rFonts w:ascii="Times New Roman" w:hAnsi="Times New Roman" w:eastAsia="仿宋_GB2312" w:cs="Times New Roman"/>
                <w:bCs/>
              </w:rPr>
            </w:pPr>
            <w:r>
              <w:rPr>
                <w:rFonts w:ascii="Times New Roman" w:hAnsi="Times New Roman" w:eastAsia="仿宋_GB2312" w:cs="Times New Roman"/>
                <w:bCs/>
              </w:rPr>
              <w:t>7</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总砷</w:t>
            </w:r>
          </w:p>
        </w:tc>
        <w:tc>
          <w:tcPr>
            <w:tcW w:w="2391" w:type="dxa"/>
            <w:tcBorders>
              <w:top w:val="single" w:color="auto" w:sz="4" w:space="0"/>
              <w:left w:val="nil"/>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GB 2762</w:t>
            </w:r>
          </w:p>
        </w:tc>
        <w:tc>
          <w:tcPr>
            <w:tcW w:w="2498" w:type="dxa"/>
            <w:tcBorders>
              <w:top w:val="single" w:color="auto" w:sz="4" w:space="0"/>
              <w:left w:val="nil"/>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食品安全国家标准  食品中污染物限量</w:t>
            </w:r>
          </w:p>
        </w:tc>
        <w:tc>
          <w:tcPr>
            <w:tcW w:w="16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GB 5009.11</w:t>
            </w:r>
          </w:p>
        </w:tc>
      </w:tr>
      <w:tr>
        <w:tblPrEx>
          <w:tblCellMar>
            <w:top w:w="0" w:type="dxa"/>
            <w:left w:w="0" w:type="dxa"/>
            <w:bottom w:w="0" w:type="dxa"/>
            <w:right w:w="0" w:type="dxa"/>
          </w:tblCellMar>
        </w:tblPrEx>
        <w:trPr>
          <w:trHeight w:val="1123" w:hRule="atLeast"/>
        </w:trPr>
        <w:tc>
          <w:tcPr>
            <w:tcW w:w="642" w:type="dxa"/>
            <w:tcBorders>
              <w:top w:val="single" w:color="000000" w:sz="4" w:space="0"/>
              <w:left w:val="single" w:color="000000" w:sz="4" w:space="0"/>
              <w:right w:val="single" w:color="auto" w:sz="4" w:space="0"/>
            </w:tcBorders>
            <w:tcMar>
              <w:top w:w="15" w:type="dxa"/>
              <w:left w:w="15" w:type="dxa"/>
              <w:right w:w="15" w:type="dxa"/>
            </w:tcMar>
            <w:vAlign w:val="center"/>
          </w:tcPr>
          <w:p>
            <w:pPr>
              <w:spacing w:line="360" w:lineRule="exact"/>
              <w:ind w:left="141"/>
              <w:jc w:val="center"/>
              <w:rPr>
                <w:rFonts w:ascii="Times New Roman" w:hAnsi="Times New Roman" w:eastAsia="仿宋_GB2312" w:cs="Times New Roman"/>
                <w:bCs/>
              </w:rPr>
            </w:pPr>
            <w:r>
              <w:rPr>
                <w:rFonts w:ascii="Times New Roman" w:hAnsi="Times New Roman" w:eastAsia="仿宋_GB2312" w:cs="Times New Roman"/>
                <w:bCs/>
              </w:rPr>
              <w:t>8</w:t>
            </w:r>
          </w:p>
        </w:tc>
        <w:tc>
          <w:tcPr>
            <w:tcW w:w="17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农药残留</w:t>
            </w:r>
          </w:p>
        </w:tc>
        <w:tc>
          <w:tcPr>
            <w:tcW w:w="23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rPr>
              <w:t>GB 2763</w:t>
            </w:r>
          </w:p>
        </w:tc>
        <w:tc>
          <w:tcPr>
            <w:tcW w:w="24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食品安全国家标准  食品中农药最大残留限量</w:t>
            </w:r>
          </w:p>
        </w:tc>
        <w:tc>
          <w:tcPr>
            <w:tcW w:w="163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按照相应标准</w:t>
            </w:r>
          </w:p>
        </w:tc>
      </w:tr>
      <w:tr>
        <w:tblPrEx>
          <w:tblCellMar>
            <w:top w:w="0" w:type="dxa"/>
            <w:left w:w="0" w:type="dxa"/>
            <w:bottom w:w="0" w:type="dxa"/>
            <w:right w:w="0" w:type="dxa"/>
          </w:tblCellMar>
        </w:tblPrEx>
        <w:trPr>
          <w:trHeight w:val="482" w:hRule="atLeast"/>
        </w:trPr>
        <w:tc>
          <w:tcPr>
            <w:tcW w:w="6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141"/>
              <w:jc w:val="center"/>
              <w:rPr>
                <w:rFonts w:ascii="Times New Roman" w:hAnsi="Times New Roman" w:eastAsia="仿宋_GB2312" w:cs="Times New Roman"/>
                <w:bCs/>
              </w:rPr>
            </w:pPr>
            <w:r>
              <w:rPr>
                <w:rFonts w:ascii="Times New Roman" w:hAnsi="Times New Roman" w:eastAsia="仿宋_GB2312" w:cs="Times New Roman"/>
                <w:bCs/>
              </w:rPr>
              <w:t>9</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净含量</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国家市场监督管理总局令 第70号</w:t>
            </w:r>
          </w:p>
        </w:tc>
        <w:tc>
          <w:tcPr>
            <w:tcW w:w="24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定量包装商品计量监督管理办法</w:t>
            </w:r>
          </w:p>
        </w:tc>
        <w:tc>
          <w:tcPr>
            <w:tcW w:w="16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JJF 1070</w:t>
            </w:r>
          </w:p>
        </w:tc>
      </w:tr>
      <w:tr>
        <w:tblPrEx>
          <w:tblCellMar>
            <w:top w:w="0" w:type="dxa"/>
            <w:left w:w="0" w:type="dxa"/>
            <w:bottom w:w="0" w:type="dxa"/>
            <w:right w:w="0" w:type="dxa"/>
          </w:tblCellMar>
        </w:tblPrEx>
        <w:trPr>
          <w:trHeight w:val="482" w:hRule="atLeast"/>
        </w:trPr>
        <w:tc>
          <w:tcPr>
            <w:tcW w:w="6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141"/>
              <w:jc w:val="center"/>
              <w:rPr>
                <w:rFonts w:ascii="Times New Roman" w:hAnsi="Times New Roman" w:eastAsia="仿宋_GB2312" w:cs="Times New Roman"/>
                <w:bCs/>
              </w:rPr>
            </w:pPr>
            <w:r>
              <w:rPr>
                <w:rFonts w:hint="eastAsia" w:ascii="Times New Roman" w:hAnsi="Times New Roman" w:eastAsia="仿宋_GB2312" w:cs="Times New Roman"/>
                <w:bCs/>
              </w:rPr>
              <w:t>1</w:t>
            </w:r>
            <w:r>
              <w:rPr>
                <w:rFonts w:ascii="Times New Roman" w:hAnsi="Times New Roman" w:eastAsia="仿宋_GB2312" w:cs="Times New Roman"/>
                <w:bCs/>
              </w:rPr>
              <w:t>0</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rPr>
              <w:t>其他检验项目</w:t>
            </w:r>
          </w:p>
        </w:tc>
        <w:tc>
          <w:tcPr>
            <w:tcW w:w="23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rPr>
              <w:t>按照产品明示标准</w:t>
            </w:r>
          </w:p>
        </w:tc>
        <w:tc>
          <w:tcPr>
            <w:tcW w:w="24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按照产品明示标准</w:t>
            </w:r>
          </w:p>
        </w:tc>
        <w:tc>
          <w:tcPr>
            <w:tcW w:w="16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按照相应标准</w:t>
            </w:r>
          </w:p>
        </w:tc>
      </w:tr>
      <w:tr>
        <w:tblPrEx>
          <w:tblCellMar>
            <w:top w:w="0" w:type="dxa"/>
            <w:left w:w="0" w:type="dxa"/>
            <w:bottom w:w="0" w:type="dxa"/>
            <w:right w:w="0" w:type="dxa"/>
          </w:tblCellMar>
        </w:tblPrEx>
        <w:trPr>
          <w:trHeight w:val="482" w:hRule="atLeast"/>
        </w:trPr>
        <w:tc>
          <w:tcPr>
            <w:tcW w:w="8887"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both"/>
              <w:rPr>
                <w:rFonts w:hint="eastAsia" w:ascii="Times New Roman" w:hAnsi="Times New Roman" w:eastAsia="仿宋_GB2312" w:cs="Times New Roman"/>
                <w:lang w:eastAsia="zh-CN"/>
              </w:rPr>
            </w:pPr>
            <w:r>
              <w:rPr>
                <w:rFonts w:hint="eastAsia" w:ascii="Times New Roman" w:hAnsi="Times New Roman" w:eastAsia="仿宋_GB2312" w:cs="Times New Roman"/>
                <w:lang w:eastAsia="zh-CN"/>
              </w:rPr>
              <w:t>备注：</w:t>
            </w:r>
            <w:r>
              <w:rPr>
                <w:rFonts w:hint="eastAsia" w:ascii="Times New Roman" w:hAnsi="Times New Roman" w:eastAsia="仿宋_GB2312" w:cs="Times New Roman"/>
              </w:rPr>
              <w:t>本表按照可可制品相关标准汇总，供参考。</w:t>
            </w:r>
          </w:p>
        </w:tc>
      </w:tr>
    </w:tbl>
    <w:p>
      <w:pPr>
        <w:spacing w:line="594" w:lineRule="exact"/>
        <w:ind w:firstLine="642" w:firstLineChars="200"/>
        <w:rPr>
          <w:rFonts w:ascii="Times New Roman" w:hAnsi="Times New Roman" w:eastAsia="黑体" w:cs="Times New Roman"/>
          <w:b/>
          <w:bCs/>
          <w:sz w:val="32"/>
          <w:szCs w:val="32"/>
        </w:rPr>
        <w:sectPr>
          <w:footerReference r:id="rId3" w:type="default"/>
          <w:pgSz w:w="11906" w:h="16838"/>
          <w:pgMar w:top="1984" w:right="1474" w:bottom="1644" w:left="1474" w:header="851" w:footer="992" w:gutter="0"/>
          <w:pgNumType w:start="1"/>
          <w:cols w:space="425" w:num="1"/>
          <w:docGrid w:type="lines" w:linePitch="312" w:charSpace="0"/>
        </w:sectPr>
      </w:pPr>
    </w:p>
    <w:p>
      <w:pPr>
        <w:spacing w:line="594" w:lineRule="exact"/>
        <w:rPr>
          <w:rFonts w:ascii="Times New Roman" w:hAnsi="Times New Roman" w:eastAsia="黑体" w:cs="Times New Roman"/>
          <w:sz w:val="32"/>
          <w:szCs w:val="32"/>
        </w:rPr>
      </w:pPr>
      <w:r>
        <w:rPr>
          <w:rFonts w:ascii="Times New Roman" w:hAnsi="Times New Roman" w:eastAsia="黑体" w:cs="Times New Roman"/>
          <w:sz w:val="32"/>
          <w:szCs w:val="32"/>
        </w:rPr>
        <w:t>附件3</w:t>
      </w:r>
    </w:p>
    <w:p>
      <w:pPr>
        <w:spacing w:line="594" w:lineRule="exact"/>
        <w:rPr>
          <w:rFonts w:ascii="Times New Roman" w:hAnsi="Times New Roman" w:eastAsia="黑体" w:cs="Times New Roman"/>
          <w:sz w:val="32"/>
          <w:szCs w:val="32"/>
        </w:rPr>
      </w:pPr>
    </w:p>
    <w:p>
      <w:pPr>
        <w:spacing w:line="594"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焙炒咖啡的检验项目与方法</w:t>
      </w:r>
    </w:p>
    <w:tbl>
      <w:tblPr>
        <w:tblStyle w:val="23"/>
        <w:tblW w:w="8875" w:type="dxa"/>
        <w:tblInd w:w="82" w:type="dxa"/>
        <w:tblLayout w:type="fixed"/>
        <w:tblCellMar>
          <w:top w:w="0" w:type="dxa"/>
          <w:left w:w="0" w:type="dxa"/>
          <w:bottom w:w="0" w:type="dxa"/>
          <w:right w:w="0" w:type="dxa"/>
        </w:tblCellMar>
      </w:tblPr>
      <w:tblGrid>
        <w:gridCol w:w="725"/>
        <w:gridCol w:w="1598"/>
        <w:gridCol w:w="1824"/>
        <w:gridCol w:w="2590"/>
        <w:gridCol w:w="2138"/>
      </w:tblGrid>
      <w:tr>
        <w:tblPrEx>
          <w:tblCellMar>
            <w:top w:w="0" w:type="dxa"/>
            <w:left w:w="0" w:type="dxa"/>
            <w:bottom w:w="0" w:type="dxa"/>
            <w:right w:w="0" w:type="dxa"/>
          </w:tblCellMar>
        </w:tblPrEx>
        <w:trPr>
          <w:trHeight w:val="524" w:hRule="atLeast"/>
          <w:tblHeader/>
        </w:trPr>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94" w:lineRule="exact"/>
              <w:jc w:val="center"/>
              <w:rPr>
                <w:rFonts w:hint="default" w:ascii="Times New Roman" w:hAnsi="Times New Roman" w:eastAsia="黑体" w:cs="Times New Roman"/>
                <w:b w:val="0"/>
                <w:bCs/>
                <w:sz w:val="28"/>
                <w:szCs w:val="28"/>
              </w:rPr>
            </w:pPr>
            <w:r>
              <w:rPr>
                <w:rFonts w:hint="default" w:ascii="Times New Roman" w:hAnsi="Times New Roman" w:eastAsia="黑体" w:cs="Times New Roman"/>
                <w:b w:val="0"/>
                <w:bCs/>
                <w:sz w:val="28"/>
                <w:szCs w:val="28"/>
              </w:rPr>
              <w:t>序号</w:t>
            </w:r>
          </w:p>
        </w:tc>
        <w:tc>
          <w:tcPr>
            <w:tcW w:w="15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94" w:lineRule="exact"/>
              <w:jc w:val="center"/>
              <w:rPr>
                <w:rFonts w:hint="default" w:ascii="Times New Roman" w:hAnsi="Times New Roman" w:eastAsia="黑体" w:cs="Times New Roman"/>
                <w:b w:val="0"/>
                <w:bCs/>
                <w:sz w:val="28"/>
                <w:szCs w:val="28"/>
              </w:rPr>
            </w:pPr>
            <w:r>
              <w:rPr>
                <w:rFonts w:hint="default" w:ascii="Times New Roman" w:hAnsi="Times New Roman" w:eastAsia="黑体" w:cs="Times New Roman"/>
                <w:b w:val="0"/>
                <w:bCs/>
                <w:sz w:val="28"/>
                <w:szCs w:val="28"/>
              </w:rPr>
              <w:t>检验项目</w:t>
            </w:r>
          </w:p>
        </w:tc>
        <w:tc>
          <w:tcPr>
            <w:tcW w:w="18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94" w:lineRule="exact"/>
              <w:jc w:val="center"/>
              <w:rPr>
                <w:rFonts w:hint="default" w:ascii="Times New Roman" w:hAnsi="Times New Roman" w:eastAsia="黑体" w:cs="Times New Roman"/>
                <w:b w:val="0"/>
                <w:bCs/>
                <w:sz w:val="28"/>
                <w:szCs w:val="28"/>
              </w:rPr>
            </w:pPr>
            <w:r>
              <w:rPr>
                <w:rFonts w:hint="default" w:ascii="Times New Roman" w:hAnsi="Times New Roman" w:eastAsia="黑体" w:cs="Times New Roman"/>
                <w:b w:val="0"/>
                <w:bCs/>
                <w:sz w:val="28"/>
                <w:szCs w:val="28"/>
              </w:rPr>
              <w:t>标准号</w:t>
            </w:r>
          </w:p>
        </w:tc>
        <w:tc>
          <w:tcPr>
            <w:tcW w:w="2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94" w:lineRule="exact"/>
              <w:jc w:val="center"/>
              <w:rPr>
                <w:rFonts w:hint="default" w:ascii="Times New Roman" w:hAnsi="Times New Roman" w:eastAsia="黑体" w:cs="Times New Roman"/>
                <w:b w:val="0"/>
                <w:bCs/>
                <w:sz w:val="28"/>
                <w:szCs w:val="28"/>
              </w:rPr>
            </w:pPr>
            <w:r>
              <w:rPr>
                <w:rFonts w:hint="default" w:ascii="Times New Roman" w:hAnsi="Times New Roman" w:eastAsia="黑体" w:cs="Times New Roman"/>
                <w:b w:val="0"/>
                <w:bCs/>
                <w:sz w:val="28"/>
                <w:szCs w:val="28"/>
              </w:rPr>
              <w:t>标准名称</w:t>
            </w:r>
          </w:p>
        </w:tc>
        <w:tc>
          <w:tcPr>
            <w:tcW w:w="2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94" w:lineRule="exact"/>
              <w:jc w:val="center"/>
              <w:rPr>
                <w:rFonts w:hint="default" w:ascii="Times New Roman" w:hAnsi="Times New Roman" w:eastAsia="黑体" w:cs="Times New Roman"/>
                <w:b w:val="0"/>
                <w:bCs/>
                <w:sz w:val="28"/>
                <w:szCs w:val="28"/>
              </w:rPr>
            </w:pPr>
            <w:r>
              <w:rPr>
                <w:rFonts w:hint="default" w:ascii="Times New Roman" w:hAnsi="Times New Roman" w:eastAsia="黑体" w:cs="Times New Roman"/>
                <w:b w:val="0"/>
                <w:bCs/>
                <w:sz w:val="28"/>
                <w:szCs w:val="28"/>
              </w:rPr>
              <w:t>检验方法</w:t>
            </w:r>
          </w:p>
        </w:tc>
      </w:tr>
      <w:tr>
        <w:tblPrEx>
          <w:tblCellMar>
            <w:top w:w="0" w:type="dxa"/>
            <w:left w:w="0" w:type="dxa"/>
            <w:bottom w:w="0" w:type="dxa"/>
            <w:right w:w="0" w:type="dxa"/>
          </w:tblCellMar>
        </w:tblPrEx>
        <w:trPr>
          <w:trHeight w:val="508" w:hRule="atLeast"/>
        </w:trPr>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37"/>
              <w:jc w:val="center"/>
              <w:rPr>
                <w:rFonts w:ascii="Times New Roman" w:hAnsi="Times New Roman" w:eastAsia="仿宋_GB2312" w:cs="Times New Roman"/>
                <w:bCs/>
              </w:rPr>
            </w:pPr>
            <w:r>
              <w:rPr>
                <w:rFonts w:hint="eastAsia" w:ascii="Times New Roman" w:hAnsi="Times New Roman" w:eastAsia="仿宋_GB2312" w:cs="Times New Roman"/>
                <w:bCs/>
              </w:rPr>
              <w:t>1</w:t>
            </w:r>
          </w:p>
        </w:tc>
        <w:tc>
          <w:tcPr>
            <w:tcW w:w="15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感官</w:t>
            </w:r>
          </w:p>
        </w:tc>
        <w:tc>
          <w:tcPr>
            <w:tcW w:w="18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NY/T 605</w:t>
            </w:r>
          </w:p>
        </w:tc>
        <w:tc>
          <w:tcPr>
            <w:tcW w:w="2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焙炒咖啡</w:t>
            </w:r>
          </w:p>
        </w:tc>
        <w:tc>
          <w:tcPr>
            <w:tcW w:w="2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NY/T 605</w:t>
            </w:r>
          </w:p>
        </w:tc>
      </w:tr>
      <w:tr>
        <w:tblPrEx>
          <w:tblCellMar>
            <w:top w:w="0" w:type="dxa"/>
            <w:left w:w="0" w:type="dxa"/>
            <w:bottom w:w="0" w:type="dxa"/>
            <w:right w:w="0" w:type="dxa"/>
          </w:tblCellMar>
        </w:tblPrEx>
        <w:trPr>
          <w:trHeight w:val="507" w:hRule="atLeast"/>
        </w:trPr>
        <w:tc>
          <w:tcPr>
            <w:tcW w:w="72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spacing w:line="360" w:lineRule="exact"/>
              <w:ind w:left="37"/>
              <w:jc w:val="center"/>
              <w:rPr>
                <w:rFonts w:ascii="Times New Roman" w:hAnsi="Times New Roman" w:eastAsia="仿宋_GB2312" w:cs="Times New Roman"/>
                <w:bCs/>
              </w:rPr>
            </w:pPr>
            <w:r>
              <w:rPr>
                <w:rFonts w:hint="eastAsia" w:ascii="Times New Roman" w:hAnsi="Times New Roman" w:eastAsia="仿宋_GB2312" w:cs="Times New Roman"/>
                <w:bCs/>
              </w:rPr>
              <w:t>2</w:t>
            </w:r>
          </w:p>
        </w:tc>
        <w:tc>
          <w:tcPr>
            <w:tcW w:w="159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水分</w:t>
            </w:r>
          </w:p>
        </w:tc>
        <w:tc>
          <w:tcPr>
            <w:tcW w:w="18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NY/T 605</w:t>
            </w:r>
          </w:p>
        </w:tc>
        <w:tc>
          <w:tcPr>
            <w:tcW w:w="2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焙炒咖啡</w:t>
            </w:r>
          </w:p>
        </w:tc>
        <w:tc>
          <w:tcPr>
            <w:tcW w:w="2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GB 5009.3</w:t>
            </w:r>
          </w:p>
        </w:tc>
      </w:tr>
      <w:tr>
        <w:tblPrEx>
          <w:tblCellMar>
            <w:top w:w="0" w:type="dxa"/>
            <w:left w:w="0" w:type="dxa"/>
            <w:bottom w:w="0" w:type="dxa"/>
            <w:right w:w="0" w:type="dxa"/>
          </w:tblCellMar>
        </w:tblPrEx>
        <w:trPr>
          <w:trHeight w:val="888" w:hRule="atLeast"/>
        </w:trPr>
        <w:tc>
          <w:tcPr>
            <w:tcW w:w="7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ind w:left="37"/>
              <w:jc w:val="center"/>
              <w:rPr>
                <w:rFonts w:ascii="Times New Roman" w:hAnsi="Times New Roman" w:eastAsia="仿宋_GB2312" w:cs="Times New Roman"/>
                <w:bCs/>
              </w:rPr>
            </w:pPr>
            <w:r>
              <w:rPr>
                <w:rFonts w:hint="eastAsia" w:ascii="Times New Roman" w:hAnsi="Times New Roman" w:eastAsia="仿宋_GB2312" w:cs="Times New Roman"/>
                <w:bCs/>
              </w:rPr>
              <w:t>3</w:t>
            </w:r>
          </w:p>
        </w:tc>
        <w:tc>
          <w:tcPr>
            <w:tcW w:w="15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标签</w:t>
            </w:r>
          </w:p>
        </w:tc>
        <w:tc>
          <w:tcPr>
            <w:tcW w:w="1824"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bCs/>
              </w:rPr>
              <w:t>GB 7718</w:t>
            </w:r>
          </w:p>
        </w:tc>
        <w:tc>
          <w:tcPr>
            <w:tcW w:w="2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食品安全国家标准  预包装食品标签通则</w:t>
            </w:r>
          </w:p>
        </w:tc>
        <w:tc>
          <w:tcPr>
            <w:tcW w:w="2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GB 7718</w:t>
            </w:r>
          </w:p>
        </w:tc>
      </w:tr>
      <w:tr>
        <w:tblPrEx>
          <w:tblCellMar>
            <w:top w:w="0" w:type="dxa"/>
            <w:left w:w="0" w:type="dxa"/>
            <w:bottom w:w="0" w:type="dxa"/>
            <w:right w:w="0" w:type="dxa"/>
          </w:tblCellMar>
        </w:tblPrEx>
        <w:trPr>
          <w:trHeight w:val="282" w:hRule="atLeast"/>
        </w:trPr>
        <w:tc>
          <w:tcPr>
            <w:tcW w:w="7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ind w:left="37"/>
              <w:jc w:val="center"/>
              <w:rPr>
                <w:rFonts w:ascii="Times New Roman" w:hAnsi="Times New Roman" w:eastAsia="仿宋_GB2312" w:cs="Times New Roman"/>
                <w:bCs/>
              </w:rPr>
            </w:pPr>
            <w:r>
              <w:rPr>
                <w:rFonts w:hint="eastAsia" w:ascii="Times New Roman" w:hAnsi="Times New Roman" w:eastAsia="仿宋_GB2312" w:cs="Times New Roman"/>
                <w:bCs/>
              </w:rPr>
              <w:t>4</w:t>
            </w:r>
          </w:p>
        </w:tc>
        <w:tc>
          <w:tcPr>
            <w:tcW w:w="15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营养标签</w:t>
            </w:r>
          </w:p>
        </w:tc>
        <w:tc>
          <w:tcPr>
            <w:tcW w:w="1824"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bCs/>
              </w:rPr>
              <w:t>GB 28050</w:t>
            </w:r>
          </w:p>
        </w:tc>
        <w:tc>
          <w:tcPr>
            <w:tcW w:w="2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食品安全国家标准  预包装食品营养标签通则</w:t>
            </w:r>
          </w:p>
        </w:tc>
        <w:tc>
          <w:tcPr>
            <w:tcW w:w="2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GB 28050</w:t>
            </w:r>
          </w:p>
        </w:tc>
      </w:tr>
      <w:tr>
        <w:tblPrEx>
          <w:tblCellMar>
            <w:top w:w="0" w:type="dxa"/>
            <w:left w:w="0" w:type="dxa"/>
            <w:bottom w:w="0" w:type="dxa"/>
            <w:right w:w="0" w:type="dxa"/>
          </w:tblCellMar>
        </w:tblPrEx>
        <w:trPr>
          <w:trHeight w:val="823" w:hRule="atLeast"/>
        </w:trPr>
        <w:tc>
          <w:tcPr>
            <w:tcW w:w="72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37"/>
              <w:jc w:val="center"/>
              <w:rPr>
                <w:rFonts w:ascii="Times New Roman" w:hAnsi="Times New Roman" w:eastAsia="仿宋_GB2312" w:cs="Times New Roman"/>
                <w:bCs/>
              </w:rPr>
            </w:pPr>
            <w:r>
              <w:rPr>
                <w:rFonts w:hint="eastAsia" w:ascii="Times New Roman" w:hAnsi="Times New Roman" w:eastAsia="仿宋_GB2312" w:cs="Times New Roman"/>
                <w:bCs/>
              </w:rPr>
              <w:t>5</w:t>
            </w:r>
          </w:p>
        </w:tc>
        <w:tc>
          <w:tcPr>
            <w:tcW w:w="1598"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bCs/>
              </w:rPr>
              <w:t>食品添加剂</w:t>
            </w:r>
          </w:p>
        </w:tc>
        <w:tc>
          <w:tcPr>
            <w:tcW w:w="18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GB 2760</w:t>
            </w:r>
          </w:p>
        </w:tc>
        <w:tc>
          <w:tcPr>
            <w:tcW w:w="2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食品安全国家标准  食品添加剂使用标准</w:t>
            </w:r>
          </w:p>
        </w:tc>
        <w:tc>
          <w:tcPr>
            <w:tcW w:w="2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按照对应标准</w:t>
            </w:r>
          </w:p>
        </w:tc>
      </w:tr>
      <w:tr>
        <w:tblPrEx>
          <w:tblCellMar>
            <w:top w:w="0" w:type="dxa"/>
            <w:left w:w="0" w:type="dxa"/>
            <w:bottom w:w="0" w:type="dxa"/>
            <w:right w:w="0" w:type="dxa"/>
          </w:tblCellMar>
        </w:tblPrEx>
        <w:trPr>
          <w:trHeight w:val="798" w:hRule="atLeast"/>
        </w:trPr>
        <w:tc>
          <w:tcPr>
            <w:tcW w:w="725" w:type="dxa"/>
            <w:tcBorders>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37"/>
              <w:jc w:val="center"/>
              <w:rPr>
                <w:rFonts w:ascii="Times New Roman" w:hAnsi="Times New Roman" w:eastAsia="仿宋_GB2312" w:cs="Times New Roman"/>
                <w:bCs/>
              </w:rPr>
            </w:pPr>
            <w:r>
              <w:rPr>
                <w:rFonts w:hint="eastAsia" w:ascii="Times New Roman" w:hAnsi="Times New Roman" w:eastAsia="仿宋_GB2312" w:cs="Times New Roman"/>
                <w:bCs/>
              </w:rPr>
              <w:t>6</w:t>
            </w:r>
          </w:p>
        </w:tc>
        <w:tc>
          <w:tcPr>
            <w:tcW w:w="1598" w:type="dxa"/>
            <w:tcBorders>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bCs/>
              </w:rPr>
              <w:t>赭曲霉毒素A</w:t>
            </w:r>
          </w:p>
        </w:tc>
        <w:tc>
          <w:tcPr>
            <w:tcW w:w="18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GB 2761</w:t>
            </w:r>
          </w:p>
        </w:tc>
        <w:tc>
          <w:tcPr>
            <w:tcW w:w="2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bCs/>
              </w:rPr>
              <w:t>食品安全国家标准  食品中真菌毒素限量</w:t>
            </w:r>
          </w:p>
        </w:tc>
        <w:tc>
          <w:tcPr>
            <w:tcW w:w="2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GB 5009.185</w:t>
            </w:r>
          </w:p>
        </w:tc>
      </w:tr>
      <w:tr>
        <w:tblPrEx>
          <w:tblCellMar>
            <w:top w:w="0" w:type="dxa"/>
            <w:left w:w="0" w:type="dxa"/>
            <w:bottom w:w="0" w:type="dxa"/>
            <w:right w:w="0" w:type="dxa"/>
          </w:tblCellMar>
        </w:tblPrEx>
        <w:trPr>
          <w:trHeight w:val="798" w:hRule="atLeast"/>
        </w:trPr>
        <w:tc>
          <w:tcPr>
            <w:tcW w:w="725"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ind w:left="37"/>
              <w:jc w:val="center"/>
              <w:rPr>
                <w:rFonts w:ascii="Times New Roman" w:hAnsi="Times New Roman" w:eastAsia="仿宋_GB2312" w:cs="Times New Roman"/>
                <w:bCs/>
              </w:rPr>
            </w:pPr>
            <w:r>
              <w:rPr>
                <w:rFonts w:hint="eastAsia" w:ascii="Times New Roman" w:hAnsi="Times New Roman" w:eastAsia="仿宋_GB2312" w:cs="Times New Roman"/>
                <w:bCs/>
              </w:rPr>
              <w:t>7</w:t>
            </w:r>
          </w:p>
        </w:tc>
        <w:tc>
          <w:tcPr>
            <w:tcW w:w="1598"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铅</w:t>
            </w:r>
          </w:p>
        </w:tc>
        <w:tc>
          <w:tcPr>
            <w:tcW w:w="1824" w:type="dxa"/>
            <w:tcBorders>
              <w:top w:val="single" w:color="auto" w:sz="4" w:space="0"/>
              <w:left w:val="nil"/>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bCs/>
              </w:rPr>
              <w:t>GB 2762</w:t>
            </w:r>
          </w:p>
        </w:tc>
        <w:tc>
          <w:tcPr>
            <w:tcW w:w="2590" w:type="dxa"/>
            <w:tcBorders>
              <w:top w:val="single" w:color="auto" w:sz="4" w:space="0"/>
              <w:left w:val="nil"/>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bCs/>
              </w:rPr>
              <w:t>食品安全国家标准  食品中污染物限量</w:t>
            </w:r>
          </w:p>
        </w:tc>
        <w:tc>
          <w:tcPr>
            <w:tcW w:w="2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GB 5009.12</w:t>
            </w:r>
          </w:p>
        </w:tc>
      </w:tr>
      <w:tr>
        <w:tblPrEx>
          <w:tblCellMar>
            <w:top w:w="0" w:type="dxa"/>
            <w:left w:w="0" w:type="dxa"/>
            <w:bottom w:w="0" w:type="dxa"/>
            <w:right w:w="0" w:type="dxa"/>
          </w:tblCellMar>
        </w:tblPrEx>
        <w:trPr>
          <w:trHeight w:val="1145" w:hRule="atLeast"/>
        </w:trPr>
        <w:tc>
          <w:tcPr>
            <w:tcW w:w="725" w:type="dxa"/>
            <w:tcBorders>
              <w:top w:val="single" w:color="000000" w:sz="4" w:space="0"/>
              <w:left w:val="single" w:color="000000" w:sz="4" w:space="0"/>
              <w:right w:val="single" w:color="auto" w:sz="4" w:space="0"/>
            </w:tcBorders>
            <w:tcMar>
              <w:top w:w="15" w:type="dxa"/>
              <w:left w:w="15" w:type="dxa"/>
              <w:right w:w="15" w:type="dxa"/>
            </w:tcMar>
            <w:vAlign w:val="center"/>
          </w:tcPr>
          <w:p>
            <w:pPr>
              <w:spacing w:line="360" w:lineRule="exact"/>
              <w:ind w:left="37"/>
              <w:jc w:val="center"/>
              <w:rPr>
                <w:rFonts w:ascii="Times New Roman" w:hAnsi="Times New Roman" w:eastAsia="仿宋_GB2312" w:cs="Times New Roman"/>
                <w:bCs/>
              </w:rPr>
            </w:pPr>
            <w:r>
              <w:rPr>
                <w:rFonts w:hint="eastAsia" w:ascii="Times New Roman" w:hAnsi="Times New Roman" w:eastAsia="仿宋_GB2312" w:cs="Times New Roman"/>
                <w:bCs/>
              </w:rPr>
              <w:t>8</w:t>
            </w:r>
          </w:p>
        </w:tc>
        <w:tc>
          <w:tcPr>
            <w:tcW w:w="15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bCs/>
              </w:rPr>
              <w:t>农药残留</w:t>
            </w:r>
          </w:p>
        </w:tc>
        <w:tc>
          <w:tcPr>
            <w:tcW w:w="18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GB 2763</w:t>
            </w:r>
          </w:p>
        </w:tc>
        <w:tc>
          <w:tcPr>
            <w:tcW w:w="25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食品安全国家标准  食品中农药最大残留限量</w:t>
            </w:r>
          </w:p>
        </w:tc>
        <w:tc>
          <w:tcPr>
            <w:tcW w:w="21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按照相应标准</w:t>
            </w:r>
          </w:p>
        </w:tc>
      </w:tr>
      <w:tr>
        <w:tblPrEx>
          <w:tblCellMar>
            <w:top w:w="0" w:type="dxa"/>
            <w:left w:w="0" w:type="dxa"/>
            <w:bottom w:w="0" w:type="dxa"/>
            <w:right w:w="0" w:type="dxa"/>
          </w:tblCellMar>
        </w:tblPrEx>
        <w:trPr>
          <w:trHeight w:val="1154" w:hRule="atLeast"/>
        </w:trPr>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ind w:left="37"/>
              <w:jc w:val="center"/>
              <w:rPr>
                <w:rFonts w:ascii="Times New Roman" w:hAnsi="Times New Roman" w:eastAsia="仿宋_GB2312" w:cs="Times New Roman"/>
                <w:bCs/>
              </w:rPr>
            </w:pPr>
            <w:r>
              <w:rPr>
                <w:rFonts w:ascii="Times New Roman" w:hAnsi="Times New Roman" w:eastAsia="仿宋_GB2312" w:cs="Times New Roman"/>
                <w:bCs/>
              </w:rPr>
              <w:t>9</w:t>
            </w:r>
          </w:p>
        </w:tc>
        <w:tc>
          <w:tcPr>
            <w:tcW w:w="15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净含量</w:t>
            </w:r>
          </w:p>
        </w:tc>
        <w:tc>
          <w:tcPr>
            <w:tcW w:w="18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bCs/>
              </w:rPr>
              <w:t>国家市场监督管理总局令 第70号</w:t>
            </w:r>
          </w:p>
        </w:tc>
        <w:tc>
          <w:tcPr>
            <w:tcW w:w="2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定量包装商品计量监督管理办法</w:t>
            </w:r>
          </w:p>
        </w:tc>
        <w:tc>
          <w:tcPr>
            <w:tcW w:w="2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default" w:ascii="Times New Roman" w:hAnsi="Times New Roman" w:eastAsia="仿宋_GB2312" w:cs="Times New Roman"/>
              </w:rPr>
            </w:pPr>
            <w:r>
              <w:rPr>
                <w:rFonts w:hint="default" w:ascii="Times New Roman" w:hAnsi="Times New Roman" w:eastAsia="仿宋_GB2312" w:cs="Times New Roman"/>
              </w:rPr>
              <w:t>JJF 1070</w:t>
            </w:r>
          </w:p>
        </w:tc>
      </w:tr>
      <w:tr>
        <w:tblPrEx>
          <w:tblCellMar>
            <w:top w:w="0" w:type="dxa"/>
            <w:left w:w="0" w:type="dxa"/>
            <w:bottom w:w="0" w:type="dxa"/>
            <w:right w:w="0" w:type="dxa"/>
          </w:tblCellMar>
        </w:tblPrEx>
        <w:trPr>
          <w:trHeight w:val="147" w:hRule="atLeast"/>
        </w:trPr>
        <w:tc>
          <w:tcPr>
            <w:tcW w:w="7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94" w:lineRule="exact"/>
              <w:ind w:left="37"/>
              <w:jc w:val="center"/>
              <w:rPr>
                <w:rFonts w:ascii="Times New Roman" w:hAnsi="Times New Roman" w:eastAsia="仿宋_GB2312" w:cs="Times New Roman"/>
                <w:bCs/>
              </w:rPr>
            </w:pPr>
            <w:r>
              <w:rPr>
                <w:rFonts w:ascii="Times New Roman" w:hAnsi="Times New Roman" w:eastAsia="仿宋_GB2312" w:cs="Times New Roman"/>
                <w:bCs/>
              </w:rPr>
              <w:t>10</w:t>
            </w:r>
          </w:p>
        </w:tc>
        <w:tc>
          <w:tcPr>
            <w:tcW w:w="15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94" w:lineRule="exact"/>
              <w:jc w:val="center"/>
              <w:rPr>
                <w:rFonts w:hint="default" w:ascii="Times New Roman" w:hAnsi="Times New Roman" w:eastAsia="仿宋_GB2312" w:cs="Times New Roman"/>
                <w:bCs/>
              </w:rPr>
            </w:pPr>
            <w:r>
              <w:rPr>
                <w:rFonts w:hint="default" w:ascii="Times New Roman" w:hAnsi="Times New Roman" w:eastAsia="仿宋_GB2312" w:cs="Times New Roman"/>
                <w:bCs/>
              </w:rPr>
              <w:t>其他检验项目</w:t>
            </w:r>
          </w:p>
        </w:tc>
        <w:tc>
          <w:tcPr>
            <w:tcW w:w="18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94" w:lineRule="exact"/>
              <w:jc w:val="center"/>
              <w:rPr>
                <w:rFonts w:hint="default" w:ascii="Times New Roman" w:hAnsi="Times New Roman" w:eastAsia="仿宋_GB2312" w:cs="Times New Roman"/>
                <w:bCs/>
              </w:rPr>
            </w:pPr>
            <w:r>
              <w:rPr>
                <w:rFonts w:hint="default" w:ascii="Times New Roman" w:hAnsi="Times New Roman" w:eastAsia="仿宋_GB2312" w:cs="Times New Roman"/>
              </w:rPr>
              <w:t>按照产品明示标准</w:t>
            </w:r>
          </w:p>
        </w:tc>
        <w:tc>
          <w:tcPr>
            <w:tcW w:w="25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94" w:lineRule="exact"/>
              <w:jc w:val="center"/>
              <w:rPr>
                <w:rFonts w:hint="default" w:ascii="Times New Roman" w:hAnsi="Times New Roman" w:eastAsia="仿宋_GB2312" w:cs="Times New Roman"/>
              </w:rPr>
            </w:pPr>
            <w:r>
              <w:rPr>
                <w:rFonts w:hint="default" w:ascii="Times New Roman" w:hAnsi="Times New Roman" w:eastAsia="仿宋_GB2312" w:cs="Times New Roman"/>
              </w:rPr>
              <w:t>按照产品明示标准</w:t>
            </w:r>
          </w:p>
        </w:tc>
        <w:tc>
          <w:tcPr>
            <w:tcW w:w="21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94" w:lineRule="exact"/>
              <w:jc w:val="center"/>
              <w:rPr>
                <w:rFonts w:hint="default" w:ascii="Times New Roman" w:hAnsi="Times New Roman" w:eastAsia="仿宋_GB2312" w:cs="Times New Roman"/>
              </w:rPr>
            </w:pPr>
            <w:r>
              <w:rPr>
                <w:rFonts w:hint="default" w:ascii="Times New Roman" w:hAnsi="Times New Roman" w:eastAsia="仿宋_GB2312" w:cs="Times New Roman"/>
                <w:bCs/>
              </w:rPr>
              <w:t>按照相应标准</w:t>
            </w:r>
          </w:p>
        </w:tc>
      </w:tr>
      <w:tr>
        <w:tblPrEx>
          <w:tblCellMar>
            <w:top w:w="0" w:type="dxa"/>
            <w:left w:w="0" w:type="dxa"/>
            <w:bottom w:w="0" w:type="dxa"/>
            <w:right w:w="0" w:type="dxa"/>
          </w:tblCellMar>
        </w:tblPrEx>
        <w:trPr>
          <w:trHeight w:val="147" w:hRule="atLeast"/>
        </w:trPr>
        <w:tc>
          <w:tcPr>
            <w:tcW w:w="887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94" w:lineRule="exact"/>
              <w:ind w:firstLine="0" w:firstLineChars="0"/>
              <w:jc w:val="left"/>
              <w:rPr>
                <w:rFonts w:hint="default" w:ascii="Times New Roman" w:hAnsi="Times New Roman" w:eastAsia="仿宋_GB2312" w:cs="Times New Roman"/>
                <w:bCs/>
              </w:rPr>
            </w:pPr>
            <w:r>
              <w:rPr>
                <w:rFonts w:hint="eastAsia" w:ascii="Times New Roman" w:hAnsi="Times New Roman" w:eastAsia="仿宋_GB2312" w:cs="Times New Roman"/>
                <w:lang w:eastAsia="zh-CN"/>
              </w:rPr>
              <w:t>备注：</w:t>
            </w:r>
            <w:r>
              <w:rPr>
                <w:rFonts w:hint="eastAsia" w:ascii="Times New Roman" w:hAnsi="Times New Roman" w:eastAsia="仿宋_GB2312" w:cs="Times New Roman"/>
              </w:rPr>
              <w:t>本表按照焙炒咖啡相关标准汇总，供参考。</w:t>
            </w:r>
          </w:p>
        </w:tc>
      </w:tr>
    </w:tbl>
    <w:p>
      <w:pPr>
        <w:spacing w:line="594" w:lineRule="exact"/>
        <w:ind w:firstLine="480" w:firstLineChars="200"/>
        <w:rPr>
          <w:rFonts w:ascii="Times New Roman" w:hAnsi="Times New Roman" w:eastAsia="仿宋" w:cs="Times New Roman"/>
        </w:rPr>
      </w:pPr>
    </w:p>
    <w:sectPr>
      <w:pgSz w:w="11906" w:h="16838"/>
      <w:pgMar w:top="1984" w:right="1474" w:bottom="164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Light">
    <w:altName w:val="宋体"/>
    <w:panose1 w:val="02010600030101010101"/>
    <w:charset w:val="86"/>
    <w:family w:val="auto"/>
    <w:pitch w:val="default"/>
    <w:sig w:usb0="00000000" w:usb1="00000000" w:usb2="00000016" w:usb3="00000000" w:csb0="0004000F" w:csb1="00000000"/>
  </w:font>
  <w:font w:name="等线">
    <w:altName w:val="方正黑体简体"/>
    <w:panose1 w:val="02010600030101010101"/>
    <w:charset w:val="86"/>
    <w:family w:val="auto"/>
    <w:pitch w:val="default"/>
    <w:sig w:usb0="00000000" w:usb1="00000000" w:usb2="00000016" w:usb3="00000000" w:csb0="0004000F"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libri Light">
    <w:altName w:val="Arial Rounded MT Bold"/>
    <w:panose1 w:val="020F0302020204030204"/>
    <w:charset w:val="00"/>
    <w:family w:val="swiss"/>
    <w:pitch w:val="default"/>
    <w:sig w:usb0="00000000" w:usb1="00000000" w:usb2="00000009" w:usb3="00000000" w:csb0="200001FF" w:csb1="00000000"/>
  </w:font>
  <w:font w:name="Arial Rounded MT Bold">
    <w:panose1 w:val="020F0704030504030204"/>
    <w:charset w:val="00"/>
    <w:family w:val="auto"/>
    <w:pitch w:val="default"/>
    <w:sig w:usb0="00000003" w:usb1="00000000" w:usb2="00000000" w:usb3="00000000" w:csb0="20000001"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0F3C52" w:usb2="00000016" w:usb3="00000000" w:csb0="0004001F" w:csb1="00000000"/>
  </w:font>
  <w:font w:name="等线 Light">
    <w:altName w:val="Mangal"/>
    <w:panose1 w:val="00000000000000000000"/>
    <w:charset w:val="00"/>
    <w:family w:val="auto"/>
    <w:pitch w:val="default"/>
    <w:sig w:usb0="00000000" w:usb1="00000000" w:usb2="00000000" w:usb3="00000000" w:csb0="00000000" w:csb1="00000000"/>
  </w:font>
  <w:font w:name="Mangal">
    <w:panose1 w:val="00000400000000000000"/>
    <w:charset w:val="00"/>
    <w:family w:val="auto"/>
    <w:pitch w:val="default"/>
    <w:sig w:usb0="00008000" w:usb1="00000000" w:usb2="00000000" w:usb3="00000000" w:csb0="00000000" w:csb1="00000000"/>
  </w:font>
  <w:font w:name="等线">
    <w:altName w:val="方正黑体简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1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revisionView w:markup="0"/>
  <w:trackRevisions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1409E7"/>
    <w:rsid w:val="000002E8"/>
    <w:rsid w:val="000013C9"/>
    <w:rsid w:val="0000172C"/>
    <w:rsid w:val="00001E56"/>
    <w:rsid w:val="00002240"/>
    <w:rsid w:val="00002682"/>
    <w:rsid w:val="00002887"/>
    <w:rsid w:val="00002F02"/>
    <w:rsid w:val="00002F77"/>
    <w:rsid w:val="0000312A"/>
    <w:rsid w:val="00003296"/>
    <w:rsid w:val="000032A1"/>
    <w:rsid w:val="00003392"/>
    <w:rsid w:val="000033BC"/>
    <w:rsid w:val="000037B2"/>
    <w:rsid w:val="000038BA"/>
    <w:rsid w:val="00003B3F"/>
    <w:rsid w:val="00004335"/>
    <w:rsid w:val="00004C8D"/>
    <w:rsid w:val="00004D1D"/>
    <w:rsid w:val="000053F1"/>
    <w:rsid w:val="0000638C"/>
    <w:rsid w:val="000066C7"/>
    <w:rsid w:val="00007314"/>
    <w:rsid w:val="00007787"/>
    <w:rsid w:val="000079FD"/>
    <w:rsid w:val="00007D44"/>
    <w:rsid w:val="00010043"/>
    <w:rsid w:val="0001052D"/>
    <w:rsid w:val="000109E0"/>
    <w:rsid w:val="00011448"/>
    <w:rsid w:val="000114B4"/>
    <w:rsid w:val="00011B9B"/>
    <w:rsid w:val="00011D33"/>
    <w:rsid w:val="0001209F"/>
    <w:rsid w:val="0001223E"/>
    <w:rsid w:val="0001233B"/>
    <w:rsid w:val="000127AD"/>
    <w:rsid w:val="000128CA"/>
    <w:rsid w:val="0001299C"/>
    <w:rsid w:val="00012F4F"/>
    <w:rsid w:val="00013323"/>
    <w:rsid w:val="0001383D"/>
    <w:rsid w:val="00013993"/>
    <w:rsid w:val="000142D6"/>
    <w:rsid w:val="00014571"/>
    <w:rsid w:val="00014E46"/>
    <w:rsid w:val="0001507C"/>
    <w:rsid w:val="00015101"/>
    <w:rsid w:val="00016078"/>
    <w:rsid w:val="000160FC"/>
    <w:rsid w:val="00016212"/>
    <w:rsid w:val="00016449"/>
    <w:rsid w:val="000164B1"/>
    <w:rsid w:val="000164D1"/>
    <w:rsid w:val="00016A59"/>
    <w:rsid w:val="00016CAC"/>
    <w:rsid w:val="00016E7B"/>
    <w:rsid w:val="000176EE"/>
    <w:rsid w:val="00017744"/>
    <w:rsid w:val="00017867"/>
    <w:rsid w:val="00020131"/>
    <w:rsid w:val="0002072D"/>
    <w:rsid w:val="000217D3"/>
    <w:rsid w:val="0002189C"/>
    <w:rsid w:val="000219D1"/>
    <w:rsid w:val="000219ED"/>
    <w:rsid w:val="00021F1C"/>
    <w:rsid w:val="00021F3D"/>
    <w:rsid w:val="00021FD8"/>
    <w:rsid w:val="0002218E"/>
    <w:rsid w:val="00022EA2"/>
    <w:rsid w:val="00023050"/>
    <w:rsid w:val="00023842"/>
    <w:rsid w:val="00023A78"/>
    <w:rsid w:val="00024037"/>
    <w:rsid w:val="00024256"/>
    <w:rsid w:val="00024364"/>
    <w:rsid w:val="00024885"/>
    <w:rsid w:val="00024A9A"/>
    <w:rsid w:val="000251DA"/>
    <w:rsid w:val="000252F8"/>
    <w:rsid w:val="000253EC"/>
    <w:rsid w:val="00025596"/>
    <w:rsid w:val="00025917"/>
    <w:rsid w:val="00025E88"/>
    <w:rsid w:val="00026041"/>
    <w:rsid w:val="0002605E"/>
    <w:rsid w:val="00026207"/>
    <w:rsid w:val="0002656A"/>
    <w:rsid w:val="000265DC"/>
    <w:rsid w:val="00026B14"/>
    <w:rsid w:val="00026C09"/>
    <w:rsid w:val="00026DC6"/>
    <w:rsid w:val="00027803"/>
    <w:rsid w:val="00027CD5"/>
    <w:rsid w:val="00027D52"/>
    <w:rsid w:val="00027E15"/>
    <w:rsid w:val="00027F17"/>
    <w:rsid w:val="000301E3"/>
    <w:rsid w:val="00030859"/>
    <w:rsid w:val="000309F8"/>
    <w:rsid w:val="00030BD0"/>
    <w:rsid w:val="00030CB2"/>
    <w:rsid w:val="00031041"/>
    <w:rsid w:val="000312B4"/>
    <w:rsid w:val="00031607"/>
    <w:rsid w:val="0003161A"/>
    <w:rsid w:val="000317F4"/>
    <w:rsid w:val="000319B7"/>
    <w:rsid w:val="00031A62"/>
    <w:rsid w:val="00031EDF"/>
    <w:rsid w:val="00031F2A"/>
    <w:rsid w:val="000326EC"/>
    <w:rsid w:val="00032AD0"/>
    <w:rsid w:val="00032BC4"/>
    <w:rsid w:val="00032CE5"/>
    <w:rsid w:val="00032CF5"/>
    <w:rsid w:val="00033245"/>
    <w:rsid w:val="00033292"/>
    <w:rsid w:val="000339BE"/>
    <w:rsid w:val="00033BFB"/>
    <w:rsid w:val="00033CB0"/>
    <w:rsid w:val="00033D7A"/>
    <w:rsid w:val="00033EC0"/>
    <w:rsid w:val="00034242"/>
    <w:rsid w:val="00034303"/>
    <w:rsid w:val="0003444F"/>
    <w:rsid w:val="00034501"/>
    <w:rsid w:val="00034716"/>
    <w:rsid w:val="00034A9E"/>
    <w:rsid w:val="00034F21"/>
    <w:rsid w:val="0003513D"/>
    <w:rsid w:val="00035158"/>
    <w:rsid w:val="00035E9B"/>
    <w:rsid w:val="0003605C"/>
    <w:rsid w:val="000365F8"/>
    <w:rsid w:val="000367A7"/>
    <w:rsid w:val="000368DB"/>
    <w:rsid w:val="00036EF3"/>
    <w:rsid w:val="00036F73"/>
    <w:rsid w:val="00036FDE"/>
    <w:rsid w:val="000372C3"/>
    <w:rsid w:val="000373C5"/>
    <w:rsid w:val="000375CA"/>
    <w:rsid w:val="00037646"/>
    <w:rsid w:val="00037765"/>
    <w:rsid w:val="00040BC6"/>
    <w:rsid w:val="00040CD6"/>
    <w:rsid w:val="00040DEA"/>
    <w:rsid w:val="000416ED"/>
    <w:rsid w:val="00041A09"/>
    <w:rsid w:val="00041D63"/>
    <w:rsid w:val="00041FB9"/>
    <w:rsid w:val="00042350"/>
    <w:rsid w:val="0004256E"/>
    <w:rsid w:val="00042650"/>
    <w:rsid w:val="00042925"/>
    <w:rsid w:val="000430D5"/>
    <w:rsid w:val="00043585"/>
    <w:rsid w:val="000438A3"/>
    <w:rsid w:val="00043BE2"/>
    <w:rsid w:val="00043C56"/>
    <w:rsid w:val="00043CB3"/>
    <w:rsid w:val="00043F32"/>
    <w:rsid w:val="000442B7"/>
    <w:rsid w:val="0004456F"/>
    <w:rsid w:val="0004458F"/>
    <w:rsid w:val="000448CC"/>
    <w:rsid w:val="00044DAD"/>
    <w:rsid w:val="00044F62"/>
    <w:rsid w:val="0004582B"/>
    <w:rsid w:val="00045A72"/>
    <w:rsid w:val="0004608D"/>
    <w:rsid w:val="00046790"/>
    <w:rsid w:val="00046841"/>
    <w:rsid w:val="00046C7B"/>
    <w:rsid w:val="00046FA7"/>
    <w:rsid w:val="00046FAF"/>
    <w:rsid w:val="00047448"/>
    <w:rsid w:val="00047A4B"/>
    <w:rsid w:val="00047C08"/>
    <w:rsid w:val="00047C2E"/>
    <w:rsid w:val="00047D5C"/>
    <w:rsid w:val="00047DC1"/>
    <w:rsid w:val="00047E47"/>
    <w:rsid w:val="0005055E"/>
    <w:rsid w:val="000505EA"/>
    <w:rsid w:val="000507CD"/>
    <w:rsid w:val="000508CF"/>
    <w:rsid w:val="00050D4F"/>
    <w:rsid w:val="00050DD3"/>
    <w:rsid w:val="000513AF"/>
    <w:rsid w:val="0005148C"/>
    <w:rsid w:val="00051534"/>
    <w:rsid w:val="00051787"/>
    <w:rsid w:val="00051D1D"/>
    <w:rsid w:val="0005225C"/>
    <w:rsid w:val="000522E9"/>
    <w:rsid w:val="0005239E"/>
    <w:rsid w:val="000523B0"/>
    <w:rsid w:val="000525F5"/>
    <w:rsid w:val="000525FA"/>
    <w:rsid w:val="0005298D"/>
    <w:rsid w:val="00052F12"/>
    <w:rsid w:val="00053039"/>
    <w:rsid w:val="00053654"/>
    <w:rsid w:val="000538EC"/>
    <w:rsid w:val="00053BE6"/>
    <w:rsid w:val="00053E3F"/>
    <w:rsid w:val="00053EED"/>
    <w:rsid w:val="00054890"/>
    <w:rsid w:val="000549A8"/>
    <w:rsid w:val="00054BA7"/>
    <w:rsid w:val="00054C73"/>
    <w:rsid w:val="00055276"/>
    <w:rsid w:val="00055744"/>
    <w:rsid w:val="0005589D"/>
    <w:rsid w:val="00055937"/>
    <w:rsid w:val="00055D91"/>
    <w:rsid w:val="00056149"/>
    <w:rsid w:val="0005619B"/>
    <w:rsid w:val="000561FA"/>
    <w:rsid w:val="00056959"/>
    <w:rsid w:val="00056A04"/>
    <w:rsid w:val="0005711C"/>
    <w:rsid w:val="00057137"/>
    <w:rsid w:val="00057368"/>
    <w:rsid w:val="000575D6"/>
    <w:rsid w:val="0005796C"/>
    <w:rsid w:val="0006042A"/>
    <w:rsid w:val="000604E6"/>
    <w:rsid w:val="00060FC2"/>
    <w:rsid w:val="00060FD9"/>
    <w:rsid w:val="000617C7"/>
    <w:rsid w:val="0006196E"/>
    <w:rsid w:val="00061BA0"/>
    <w:rsid w:val="00061EE3"/>
    <w:rsid w:val="00062004"/>
    <w:rsid w:val="00062379"/>
    <w:rsid w:val="000627CF"/>
    <w:rsid w:val="00062982"/>
    <w:rsid w:val="00062A82"/>
    <w:rsid w:val="00062B8F"/>
    <w:rsid w:val="00062FE3"/>
    <w:rsid w:val="00063B0C"/>
    <w:rsid w:val="00063FE9"/>
    <w:rsid w:val="0006401F"/>
    <w:rsid w:val="00064149"/>
    <w:rsid w:val="0006453C"/>
    <w:rsid w:val="00064EEA"/>
    <w:rsid w:val="00064F1E"/>
    <w:rsid w:val="00065053"/>
    <w:rsid w:val="00065552"/>
    <w:rsid w:val="0006589E"/>
    <w:rsid w:val="00065E84"/>
    <w:rsid w:val="00065F52"/>
    <w:rsid w:val="00065FC5"/>
    <w:rsid w:val="0006607D"/>
    <w:rsid w:val="0006671A"/>
    <w:rsid w:val="00066892"/>
    <w:rsid w:val="000669B7"/>
    <w:rsid w:val="00066E9C"/>
    <w:rsid w:val="00066EDB"/>
    <w:rsid w:val="00066F74"/>
    <w:rsid w:val="0006749E"/>
    <w:rsid w:val="00067A38"/>
    <w:rsid w:val="00067D1B"/>
    <w:rsid w:val="0007064C"/>
    <w:rsid w:val="00070723"/>
    <w:rsid w:val="000708F7"/>
    <w:rsid w:val="00071193"/>
    <w:rsid w:val="0007192E"/>
    <w:rsid w:val="00071986"/>
    <w:rsid w:val="00072059"/>
    <w:rsid w:val="000720AA"/>
    <w:rsid w:val="000722B3"/>
    <w:rsid w:val="00072466"/>
    <w:rsid w:val="00072648"/>
    <w:rsid w:val="000727F7"/>
    <w:rsid w:val="0007283F"/>
    <w:rsid w:val="000728CF"/>
    <w:rsid w:val="00072BB9"/>
    <w:rsid w:val="00072C48"/>
    <w:rsid w:val="000733A1"/>
    <w:rsid w:val="00073625"/>
    <w:rsid w:val="000736BE"/>
    <w:rsid w:val="0007389E"/>
    <w:rsid w:val="00073C2D"/>
    <w:rsid w:val="000740FC"/>
    <w:rsid w:val="00074729"/>
    <w:rsid w:val="0007476C"/>
    <w:rsid w:val="00074D6B"/>
    <w:rsid w:val="00074EC4"/>
    <w:rsid w:val="00075050"/>
    <w:rsid w:val="000750C8"/>
    <w:rsid w:val="0007529D"/>
    <w:rsid w:val="0007536D"/>
    <w:rsid w:val="00075C38"/>
    <w:rsid w:val="00075E37"/>
    <w:rsid w:val="000760F9"/>
    <w:rsid w:val="000765A4"/>
    <w:rsid w:val="000765EC"/>
    <w:rsid w:val="00076741"/>
    <w:rsid w:val="000767D5"/>
    <w:rsid w:val="000767EF"/>
    <w:rsid w:val="00076A9C"/>
    <w:rsid w:val="00077244"/>
    <w:rsid w:val="00077427"/>
    <w:rsid w:val="000774B8"/>
    <w:rsid w:val="000775D4"/>
    <w:rsid w:val="0007785A"/>
    <w:rsid w:val="0007796A"/>
    <w:rsid w:val="00077B48"/>
    <w:rsid w:val="00077CBB"/>
    <w:rsid w:val="000800A9"/>
    <w:rsid w:val="0008031A"/>
    <w:rsid w:val="000804F0"/>
    <w:rsid w:val="000808AA"/>
    <w:rsid w:val="0008098E"/>
    <w:rsid w:val="00080B30"/>
    <w:rsid w:val="00080EA7"/>
    <w:rsid w:val="000815E3"/>
    <w:rsid w:val="000816CA"/>
    <w:rsid w:val="000817A5"/>
    <w:rsid w:val="00081C0A"/>
    <w:rsid w:val="00081F2E"/>
    <w:rsid w:val="00081F45"/>
    <w:rsid w:val="000821D7"/>
    <w:rsid w:val="000823E0"/>
    <w:rsid w:val="00082605"/>
    <w:rsid w:val="00082E5E"/>
    <w:rsid w:val="00082F4E"/>
    <w:rsid w:val="00083189"/>
    <w:rsid w:val="000838CD"/>
    <w:rsid w:val="00083AAB"/>
    <w:rsid w:val="0008427D"/>
    <w:rsid w:val="000843C5"/>
    <w:rsid w:val="0008451A"/>
    <w:rsid w:val="0008453A"/>
    <w:rsid w:val="000849E8"/>
    <w:rsid w:val="00085112"/>
    <w:rsid w:val="00085473"/>
    <w:rsid w:val="0008554C"/>
    <w:rsid w:val="00085945"/>
    <w:rsid w:val="00085B06"/>
    <w:rsid w:val="00085C11"/>
    <w:rsid w:val="00085C62"/>
    <w:rsid w:val="00085CE9"/>
    <w:rsid w:val="00085D42"/>
    <w:rsid w:val="00085E55"/>
    <w:rsid w:val="0008644A"/>
    <w:rsid w:val="0008687F"/>
    <w:rsid w:val="000871DA"/>
    <w:rsid w:val="0008792A"/>
    <w:rsid w:val="00087CF5"/>
    <w:rsid w:val="000900DA"/>
    <w:rsid w:val="0009067D"/>
    <w:rsid w:val="00090B6B"/>
    <w:rsid w:val="00090E1F"/>
    <w:rsid w:val="00091539"/>
    <w:rsid w:val="00091ADD"/>
    <w:rsid w:val="00092214"/>
    <w:rsid w:val="0009222D"/>
    <w:rsid w:val="000926E5"/>
    <w:rsid w:val="00092CD8"/>
    <w:rsid w:val="000938EF"/>
    <w:rsid w:val="00093AFE"/>
    <w:rsid w:val="00094065"/>
    <w:rsid w:val="000940D9"/>
    <w:rsid w:val="0009444E"/>
    <w:rsid w:val="000946CD"/>
    <w:rsid w:val="00094C80"/>
    <w:rsid w:val="00094D29"/>
    <w:rsid w:val="0009524A"/>
    <w:rsid w:val="000957CE"/>
    <w:rsid w:val="00095AD1"/>
    <w:rsid w:val="00095FC8"/>
    <w:rsid w:val="0009603B"/>
    <w:rsid w:val="000961EF"/>
    <w:rsid w:val="00096A46"/>
    <w:rsid w:val="000975AE"/>
    <w:rsid w:val="000978DF"/>
    <w:rsid w:val="00097BD5"/>
    <w:rsid w:val="00097F6E"/>
    <w:rsid w:val="000A001C"/>
    <w:rsid w:val="000A02D5"/>
    <w:rsid w:val="000A08F5"/>
    <w:rsid w:val="000A0CE5"/>
    <w:rsid w:val="000A0D1C"/>
    <w:rsid w:val="000A0EEC"/>
    <w:rsid w:val="000A1FDA"/>
    <w:rsid w:val="000A2177"/>
    <w:rsid w:val="000A2278"/>
    <w:rsid w:val="000A246E"/>
    <w:rsid w:val="000A30B8"/>
    <w:rsid w:val="000A38AF"/>
    <w:rsid w:val="000A394B"/>
    <w:rsid w:val="000A3C83"/>
    <w:rsid w:val="000A3DE8"/>
    <w:rsid w:val="000A40B8"/>
    <w:rsid w:val="000A468A"/>
    <w:rsid w:val="000A477C"/>
    <w:rsid w:val="000A49FA"/>
    <w:rsid w:val="000A4A3C"/>
    <w:rsid w:val="000A4B74"/>
    <w:rsid w:val="000A4CB0"/>
    <w:rsid w:val="000A5350"/>
    <w:rsid w:val="000A565A"/>
    <w:rsid w:val="000A5688"/>
    <w:rsid w:val="000A61F7"/>
    <w:rsid w:val="000A6431"/>
    <w:rsid w:val="000A68F8"/>
    <w:rsid w:val="000A6903"/>
    <w:rsid w:val="000A6A85"/>
    <w:rsid w:val="000A7A4C"/>
    <w:rsid w:val="000A7C8C"/>
    <w:rsid w:val="000A7E46"/>
    <w:rsid w:val="000B08D8"/>
    <w:rsid w:val="000B0B1D"/>
    <w:rsid w:val="000B0B24"/>
    <w:rsid w:val="000B0E2F"/>
    <w:rsid w:val="000B1647"/>
    <w:rsid w:val="000B16CE"/>
    <w:rsid w:val="000B1981"/>
    <w:rsid w:val="000B19C9"/>
    <w:rsid w:val="000B1D86"/>
    <w:rsid w:val="000B2117"/>
    <w:rsid w:val="000B264E"/>
    <w:rsid w:val="000B2924"/>
    <w:rsid w:val="000B2A6F"/>
    <w:rsid w:val="000B2D06"/>
    <w:rsid w:val="000B2E01"/>
    <w:rsid w:val="000B300A"/>
    <w:rsid w:val="000B3235"/>
    <w:rsid w:val="000B3A28"/>
    <w:rsid w:val="000B3BFF"/>
    <w:rsid w:val="000B3C7A"/>
    <w:rsid w:val="000B3DF5"/>
    <w:rsid w:val="000B4050"/>
    <w:rsid w:val="000B4259"/>
    <w:rsid w:val="000B4A44"/>
    <w:rsid w:val="000B4A6D"/>
    <w:rsid w:val="000B4ACC"/>
    <w:rsid w:val="000B4B7A"/>
    <w:rsid w:val="000B4E06"/>
    <w:rsid w:val="000B5106"/>
    <w:rsid w:val="000B56F4"/>
    <w:rsid w:val="000B584A"/>
    <w:rsid w:val="000B5A6B"/>
    <w:rsid w:val="000B5BC4"/>
    <w:rsid w:val="000B5CDE"/>
    <w:rsid w:val="000B5D88"/>
    <w:rsid w:val="000B5DAF"/>
    <w:rsid w:val="000B5DBD"/>
    <w:rsid w:val="000B637F"/>
    <w:rsid w:val="000B6523"/>
    <w:rsid w:val="000B694D"/>
    <w:rsid w:val="000B7521"/>
    <w:rsid w:val="000B76DB"/>
    <w:rsid w:val="000C003D"/>
    <w:rsid w:val="000C00F5"/>
    <w:rsid w:val="000C03B0"/>
    <w:rsid w:val="000C064E"/>
    <w:rsid w:val="000C0AB0"/>
    <w:rsid w:val="000C0C15"/>
    <w:rsid w:val="000C1255"/>
    <w:rsid w:val="000C14DE"/>
    <w:rsid w:val="000C1AAC"/>
    <w:rsid w:val="000C1BA9"/>
    <w:rsid w:val="000C1F0D"/>
    <w:rsid w:val="000C25B9"/>
    <w:rsid w:val="000C2753"/>
    <w:rsid w:val="000C2843"/>
    <w:rsid w:val="000C2DE2"/>
    <w:rsid w:val="000C2E30"/>
    <w:rsid w:val="000C33D2"/>
    <w:rsid w:val="000C356A"/>
    <w:rsid w:val="000C3FEB"/>
    <w:rsid w:val="000C416C"/>
    <w:rsid w:val="000C445B"/>
    <w:rsid w:val="000C48A4"/>
    <w:rsid w:val="000C4D43"/>
    <w:rsid w:val="000C4E90"/>
    <w:rsid w:val="000C582E"/>
    <w:rsid w:val="000C5924"/>
    <w:rsid w:val="000C5C15"/>
    <w:rsid w:val="000C5D0D"/>
    <w:rsid w:val="000C6AEE"/>
    <w:rsid w:val="000C6F36"/>
    <w:rsid w:val="000C7017"/>
    <w:rsid w:val="000C731C"/>
    <w:rsid w:val="000C78F8"/>
    <w:rsid w:val="000D011A"/>
    <w:rsid w:val="000D03D3"/>
    <w:rsid w:val="000D0F20"/>
    <w:rsid w:val="000D126E"/>
    <w:rsid w:val="000D1379"/>
    <w:rsid w:val="000D1887"/>
    <w:rsid w:val="000D19B3"/>
    <w:rsid w:val="000D1AD7"/>
    <w:rsid w:val="000D1FB3"/>
    <w:rsid w:val="000D26A4"/>
    <w:rsid w:val="000D2D39"/>
    <w:rsid w:val="000D31FC"/>
    <w:rsid w:val="000D3287"/>
    <w:rsid w:val="000D32FC"/>
    <w:rsid w:val="000D34EF"/>
    <w:rsid w:val="000D35D0"/>
    <w:rsid w:val="000D37A0"/>
    <w:rsid w:val="000D3847"/>
    <w:rsid w:val="000D3C34"/>
    <w:rsid w:val="000D445D"/>
    <w:rsid w:val="000D4ABB"/>
    <w:rsid w:val="000D4DDC"/>
    <w:rsid w:val="000D4FB0"/>
    <w:rsid w:val="000D5001"/>
    <w:rsid w:val="000D5301"/>
    <w:rsid w:val="000D576B"/>
    <w:rsid w:val="000D5889"/>
    <w:rsid w:val="000D5913"/>
    <w:rsid w:val="000D5D2E"/>
    <w:rsid w:val="000D5F88"/>
    <w:rsid w:val="000D604B"/>
    <w:rsid w:val="000D6105"/>
    <w:rsid w:val="000D66AD"/>
    <w:rsid w:val="000D68A7"/>
    <w:rsid w:val="000D6D05"/>
    <w:rsid w:val="000D6EB3"/>
    <w:rsid w:val="000E00FA"/>
    <w:rsid w:val="000E01AA"/>
    <w:rsid w:val="000E0645"/>
    <w:rsid w:val="000E077B"/>
    <w:rsid w:val="000E0931"/>
    <w:rsid w:val="000E0B9A"/>
    <w:rsid w:val="000E0F31"/>
    <w:rsid w:val="000E0FEF"/>
    <w:rsid w:val="000E10AD"/>
    <w:rsid w:val="000E1262"/>
    <w:rsid w:val="000E167C"/>
    <w:rsid w:val="000E18CB"/>
    <w:rsid w:val="000E1F94"/>
    <w:rsid w:val="000E23A0"/>
    <w:rsid w:val="000E2444"/>
    <w:rsid w:val="000E2581"/>
    <w:rsid w:val="000E27B2"/>
    <w:rsid w:val="000E2B67"/>
    <w:rsid w:val="000E2B98"/>
    <w:rsid w:val="000E2EEE"/>
    <w:rsid w:val="000E2FA8"/>
    <w:rsid w:val="000E2FFC"/>
    <w:rsid w:val="000E33B6"/>
    <w:rsid w:val="000E3DD8"/>
    <w:rsid w:val="000E3F8D"/>
    <w:rsid w:val="000E4407"/>
    <w:rsid w:val="000E4472"/>
    <w:rsid w:val="000E49A4"/>
    <w:rsid w:val="000E49A5"/>
    <w:rsid w:val="000E4DB9"/>
    <w:rsid w:val="000E503C"/>
    <w:rsid w:val="000E5249"/>
    <w:rsid w:val="000E588B"/>
    <w:rsid w:val="000E5A3B"/>
    <w:rsid w:val="000E5CD4"/>
    <w:rsid w:val="000E64C4"/>
    <w:rsid w:val="000E691A"/>
    <w:rsid w:val="000E698B"/>
    <w:rsid w:val="000E69A9"/>
    <w:rsid w:val="000E6CDE"/>
    <w:rsid w:val="000E6CF2"/>
    <w:rsid w:val="000E6E73"/>
    <w:rsid w:val="000E6FB7"/>
    <w:rsid w:val="000E7335"/>
    <w:rsid w:val="000E7361"/>
    <w:rsid w:val="000E7472"/>
    <w:rsid w:val="000E76F2"/>
    <w:rsid w:val="000E77B7"/>
    <w:rsid w:val="000E7BF8"/>
    <w:rsid w:val="000E7DC5"/>
    <w:rsid w:val="000E7FEB"/>
    <w:rsid w:val="000F01AC"/>
    <w:rsid w:val="000F02C9"/>
    <w:rsid w:val="000F0DA6"/>
    <w:rsid w:val="000F0E14"/>
    <w:rsid w:val="000F0F18"/>
    <w:rsid w:val="000F1192"/>
    <w:rsid w:val="000F14D1"/>
    <w:rsid w:val="000F151D"/>
    <w:rsid w:val="000F1764"/>
    <w:rsid w:val="000F1DDC"/>
    <w:rsid w:val="000F1E57"/>
    <w:rsid w:val="000F2059"/>
    <w:rsid w:val="000F26B1"/>
    <w:rsid w:val="000F304D"/>
    <w:rsid w:val="000F30A6"/>
    <w:rsid w:val="000F3272"/>
    <w:rsid w:val="000F3289"/>
    <w:rsid w:val="000F3A2C"/>
    <w:rsid w:val="000F3BEE"/>
    <w:rsid w:val="000F41C7"/>
    <w:rsid w:val="000F42AA"/>
    <w:rsid w:val="000F4351"/>
    <w:rsid w:val="000F44A4"/>
    <w:rsid w:val="000F450A"/>
    <w:rsid w:val="000F47FA"/>
    <w:rsid w:val="000F49D3"/>
    <w:rsid w:val="000F4C45"/>
    <w:rsid w:val="000F4D2E"/>
    <w:rsid w:val="000F4E7F"/>
    <w:rsid w:val="000F58F3"/>
    <w:rsid w:val="000F5A5B"/>
    <w:rsid w:val="000F5F30"/>
    <w:rsid w:val="000F5FE2"/>
    <w:rsid w:val="000F6317"/>
    <w:rsid w:val="000F6531"/>
    <w:rsid w:val="000F67C3"/>
    <w:rsid w:val="000F69DF"/>
    <w:rsid w:val="000F6CC7"/>
    <w:rsid w:val="000F7204"/>
    <w:rsid w:val="000F7323"/>
    <w:rsid w:val="000F7997"/>
    <w:rsid w:val="000F7EB6"/>
    <w:rsid w:val="000F7F53"/>
    <w:rsid w:val="000F7FB0"/>
    <w:rsid w:val="000F7FC0"/>
    <w:rsid w:val="001004F3"/>
    <w:rsid w:val="001006CC"/>
    <w:rsid w:val="00100805"/>
    <w:rsid w:val="00100BC2"/>
    <w:rsid w:val="001015DB"/>
    <w:rsid w:val="0010190C"/>
    <w:rsid w:val="00101BC3"/>
    <w:rsid w:val="001020AE"/>
    <w:rsid w:val="001025EA"/>
    <w:rsid w:val="00102977"/>
    <w:rsid w:val="00102B50"/>
    <w:rsid w:val="001031FF"/>
    <w:rsid w:val="00103409"/>
    <w:rsid w:val="001034E8"/>
    <w:rsid w:val="0010434E"/>
    <w:rsid w:val="0010504E"/>
    <w:rsid w:val="0010525D"/>
    <w:rsid w:val="001055C8"/>
    <w:rsid w:val="00105719"/>
    <w:rsid w:val="00105C90"/>
    <w:rsid w:val="00105E41"/>
    <w:rsid w:val="00106125"/>
    <w:rsid w:val="0010617D"/>
    <w:rsid w:val="0010695D"/>
    <w:rsid w:val="00106BBF"/>
    <w:rsid w:val="00107421"/>
    <w:rsid w:val="00107457"/>
    <w:rsid w:val="0010754D"/>
    <w:rsid w:val="001077F1"/>
    <w:rsid w:val="00107999"/>
    <w:rsid w:val="00107E51"/>
    <w:rsid w:val="001101E8"/>
    <w:rsid w:val="00110531"/>
    <w:rsid w:val="00110D60"/>
    <w:rsid w:val="00111792"/>
    <w:rsid w:val="00112204"/>
    <w:rsid w:val="00112307"/>
    <w:rsid w:val="00112368"/>
    <w:rsid w:val="001125D9"/>
    <w:rsid w:val="0011275E"/>
    <w:rsid w:val="001127B6"/>
    <w:rsid w:val="001128F7"/>
    <w:rsid w:val="00112A79"/>
    <w:rsid w:val="00112E24"/>
    <w:rsid w:val="00112F4A"/>
    <w:rsid w:val="00112FA6"/>
    <w:rsid w:val="001133F7"/>
    <w:rsid w:val="001137D3"/>
    <w:rsid w:val="00113894"/>
    <w:rsid w:val="00113C84"/>
    <w:rsid w:val="00113E03"/>
    <w:rsid w:val="00113F96"/>
    <w:rsid w:val="001140BB"/>
    <w:rsid w:val="00114227"/>
    <w:rsid w:val="00114418"/>
    <w:rsid w:val="001144FA"/>
    <w:rsid w:val="0011472F"/>
    <w:rsid w:val="00114A7A"/>
    <w:rsid w:val="00114A7C"/>
    <w:rsid w:val="00114D26"/>
    <w:rsid w:val="00114D85"/>
    <w:rsid w:val="00114FE8"/>
    <w:rsid w:val="001151F9"/>
    <w:rsid w:val="00115CD3"/>
    <w:rsid w:val="00115CE4"/>
    <w:rsid w:val="00116802"/>
    <w:rsid w:val="00116812"/>
    <w:rsid w:val="00116B71"/>
    <w:rsid w:val="0011706D"/>
    <w:rsid w:val="00117101"/>
    <w:rsid w:val="00117226"/>
    <w:rsid w:val="00117263"/>
    <w:rsid w:val="001175EA"/>
    <w:rsid w:val="00117616"/>
    <w:rsid w:val="00117813"/>
    <w:rsid w:val="0012006A"/>
    <w:rsid w:val="0012021D"/>
    <w:rsid w:val="0012030B"/>
    <w:rsid w:val="001203C4"/>
    <w:rsid w:val="00120656"/>
    <w:rsid w:val="0012091E"/>
    <w:rsid w:val="001209D5"/>
    <w:rsid w:val="00120D71"/>
    <w:rsid w:val="0012117D"/>
    <w:rsid w:val="0012131E"/>
    <w:rsid w:val="00121609"/>
    <w:rsid w:val="001219BC"/>
    <w:rsid w:val="00121ED2"/>
    <w:rsid w:val="001224C1"/>
    <w:rsid w:val="00122A1A"/>
    <w:rsid w:val="00122C05"/>
    <w:rsid w:val="00122C24"/>
    <w:rsid w:val="00122D8E"/>
    <w:rsid w:val="00122E01"/>
    <w:rsid w:val="00123309"/>
    <w:rsid w:val="00123495"/>
    <w:rsid w:val="00123637"/>
    <w:rsid w:val="00123DDA"/>
    <w:rsid w:val="0012403B"/>
    <w:rsid w:val="00124139"/>
    <w:rsid w:val="0012421C"/>
    <w:rsid w:val="001252D7"/>
    <w:rsid w:val="00125466"/>
    <w:rsid w:val="001254C4"/>
    <w:rsid w:val="00125D80"/>
    <w:rsid w:val="00125F26"/>
    <w:rsid w:val="00125F73"/>
    <w:rsid w:val="00126323"/>
    <w:rsid w:val="0012671F"/>
    <w:rsid w:val="001267CF"/>
    <w:rsid w:val="00126C45"/>
    <w:rsid w:val="00126C8E"/>
    <w:rsid w:val="00126D09"/>
    <w:rsid w:val="00126D0F"/>
    <w:rsid w:val="00126EAE"/>
    <w:rsid w:val="001274A3"/>
    <w:rsid w:val="00130058"/>
    <w:rsid w:val="00130F31"/>
    <w:rsid w:val="001314C7"/>
    <w:rsid w:val="00131675"/>
    <w:rsid w:val="0013191D"/>
    <w:rsid w:val="00131CA6"/>
    <w:rsid w:val="00131D3A"/>
    <w:rsid w:val="001327BE"/>
    <w:rsid w:val="00132B68"/>
    <w:rsid w:val="00132D03"/>
    <w:rsid w:val="001330E9"/>
    <w:rsid w:val="00133509"/>
    <w:rsid w:val="0013354E"/>
    <w:rsid w:val="00133619"/>
    <w:rsid w:val="001336C7"/>
    <w:rsid w:val="00133817"/>
    <w:rsid w:val="00133C93"/>
    <w:rsid w:val="00133D0C"/>
    <w:rsid w:val="00134000"/>
    <w:rsid w:val="0013436A"/>
    <w:rsid w:val="00134693"/>
    <w:rsid w:val="00134D9E"/>
    <w:rsid w:val="00134EE1"/>
    <w:rsid w:val="00135D54"/>
    <w:rsid w:val="00135FF8"/>
    <w:rsid w:val="001361A6"/>
    <w:rsid w:val="00136412"/>
    <w:rsid w:val="001365C9"/>
    <w:rsid w:val="001365FD"/>
    <w:rsid w:val="00137174"/>
    <w:rsid w:val="00137406"/>
    <w:rsid w:val="00137493"/>
    <w:rsid w:val="001376B2"/>
    <w:rsid w:val="00137B69"/>
    <w:rsid w:val="00137F35"/>
    <w:rsid w:val="001400DB"/>
    <w:rsid w:val="001409E7"/>
    <w:rsid w:val="00140A5B"/>
    <w:rsid w:val="00140AB1"/>
    <w:rsid w:val="00140C32"/>
    <w:rsid w:val="001410EC"/>
    <w:rsid w:val="0014144A"/>
    <w:rsid w:val="001414FA"/>
    <w:rsid w:val="00141783"/>
    <w:rsid w:val="00141BA3"/>
    <w:rsid w:val="0014262E"/>
    <w:rsid w:val="00142697"/>
    <w:rsid w:val="00142722"/>
    <w:rsid w:val="00142969"/>
    <w:rsid w:val="00142D35"/>
    <w:rsid w:val="0014333F"/>
    <w:rsid w:val="0014361A"/>
    <w:rsid w:val="00143709"/>
    <w:rsid w:val="0014375A"/>
    <w:rsid w:val="00143A34"/>
    <w:rsid w:val="00143BD5"/>
    <w:rsid w:val="00143D58"/>
    <w:rsid w:val="00143EA8"/>
    <w:rsid w:val="0014408D"/>
    <w:rsid w:val="001441E6"/>
    <w:rsid w:val="0014433B"/>
    <w:rsid w:val="001444A3"/>
    <w:rsid w:val="00144795"/>
    <w:rsid w:val="001449F4"/>
    <w:rsid w:val="00144DDE"/>
    <w:rsid w:val="00145509"/>
    <w:rsid w:val="00145521"/>
    <w:rsid w:val="00145881"/>
    <w:rsid w:val="00145C1A"/>
    <w:rsid w:val="00145C4A"/>
    <w:rsid w:val="00145DDD"/>
    <w:rsid w:val="001460D6"/>
    <w:rsid w:val="00146A23"/>
    <w:rsid w:val="00147146"/>
    <w:rsid w:val="0014715F"/>
    <w:rsid w:val="001473DB"/>
    <w:rsid w:val="001477AB"/>
    <w:rsid w:val="00147A66"/>
    <w:rsid w:val="00147F53"/>
    <w:rsid w:val="00147F60"/>
    <w:rsid w:val="00150058"/>
    <w:rsid w:val="00150080"/>
    <w:rsid w:val="00150B0A"/>
    <w:rsid w:val="0015120E"/>
    <w:rsid w:val="001514AC"/>
    <w:rsid w:val="001516CB"/>
    <w:rsid w:val="00151A23"/>
    <w:rsid w:val="00151C11"/>
    <w:rsid w:val="00151C1C"/>
    <w:rsid w:val="00151EE2"/>
    <w:rsid w:val="00151EEC"/>
    <w:rsid w:val="00152677"/>
    <w:rsid w:val="00152710"/>
    <w:rsid w:val="001528A0"/>
    <w:rsid w:val="00152925"/>
    <w:rsid w:val="00152BBE"/>
    <w:rsid w:val="00152C85"/>
    <w:rsid w:val="00152CD5"/>
    <w:rsid w:val="00152F61"/>
    <w:rsid w:val="00153346"/>
    <w:rsid w:val="00153622"/>
    <w:rsid w:val="001538B6"/>
    <w:rsid w:val="00153E1C"/>
    <w:rsid w:val="0015447D"/>
    <w:rsid w:val="001544EC"/>
    <w:rsid w:val="00154557"/>
    <w:rsid w:val="001545C2"/>
    <w:rsid w:val="00154743"/>
    <w:rsid w:val="00154843"/>
    <w:rsid w:val="00154DD7"/>
    <w:rsid w:val="0015512D"/>
    <w:rsid w:val="001559CC"/>
    <w:rsid w:val="00155CF8"/>
    <w:rsid w:val="00155F0C"/>
    <w:rsid w:val="001565CE"/>
    <w:rsid w:val="001567BC"/>
    <w:rsid w:val="0015685B"/>
    <w:rsid w:val="00156A09"/>
    <w:rsid w:val="00156C42"/>
    <w:rsid w:val="00156F43"/>
    <w:rsid w:val="00157059"/>
    <w:rsid w:val="001571BE"/>
    <w:rsid w:val="0015774C"/>
    <w:rsid w:val="00157A6D"/>
    <w:rsid w:val="001614DD"/>
    <w:rsid w:val="00161553"/>
    <w:rsid w:val="0016156C"/>
    <w:rsid w:val="001618C5"/>
    <w:rsid w:val="00161BBD"/>
    <w:rsid w:val="00161E91"/>
    <w:rsid w:val="0016261F"/>
    <w:rsid w:val="00162874"/>
    <w:rsid w:val="00162BDB"/>
    <w:rsid w:val="00163394"/>
    <w:rsid w:val="001633CF"/>
    <w:rsid w:val="00163916"/>
    <w:rsid w:val="00163B66"/>
    <w:rsid w:val="00163BEC"/>
    <w:rsid w:val="00163FE7"/>
    <w:rsid w:val="00164160"/>
    <w:rsid w:val="00164A22"/>
    <w:rsid w:val="00164A52"/>
    <w:rsid w:val="00164CDF"/>
    <w:rsid w:val="0016509D"/>
    <w:rsid w:val="0016583C"/>
    <w:rsid w:val="00165B53"/>
    <w:rsid w:val="00165BB2"/>
    <w:rsid w:val="00165C1D"/>
    <w:rsid w:val="00166D74"/>
    <w:rsid w:val="0016729A"/>
    <w:rsid w:val="00167739"/>
    <w:rsid w:val="0016779D"/>
    <w:rsid w:val="00167B6A"/>
    <w:rsid w:val="00167B95"/>
    <w:rsid w:val="00167D5F"/>
    <w:rsid w:val="00167F30"/>
    <w:rsid w:val="00170738"/>
    <w:rsid w:val="001707A8"/>
    <w:rsid w:val="001707F7"/>
    <w:rsid w:val="001708CA"/>
    <w:rsid w:val="001709E0"/>
    <w:rsid w:val="00170F54"/>
    <w:rsid w:val="00170F9F"/>
    <w:rsid w:val="00170FFE"/>
    <w:rsid w:val="001712FB"/>
    <w:rsid w:val="0017143E"/>
    <w:rsid w:val="0017146D"/>
    <w:rsid w:val="00171569"/>
    <w:rsid w:val="00171BE3"/>
    <w:rsid w:val="00171BE5"/>
    <w:rsid w:val="00171CD1"/>
    <w:rsid w:val="00171E73"/>
    <w:rsid w:val="00171F39"/>
    <w:rsid w:val="00172493"/>
    <w:rsid w:val="0017263D"/>
    <w:rsid w:val="00172697"/>
    <w:rsid w:val="001727FE"/>
    <w:rsid w:val="001728E8"/>
    <w:rsid w:val="00172B6E"/>
    <w:rsid w:val="00174400"/>
    <w:rsid w:val="00174574"/>
    <w:rsid w:val="00174B4E"/>
    <w:rsid w:val="00174FA3"/>
    <w:rsid w:val="001750ED"/>
    <w:rsid w:val="00175BA1"/>
    <w:rsid w:val="00175CB0"/>
    <w:rsid w:val="00175E60"/>
    <w:rsid w:val="00175F48"/>
    <w:rsid w:val="0017615C"/>
    <w:rsid w:val="00176845"/>
    <w:rsid w:val="00176A05"/>
    <w:rsid w:val="00176A0F"/>
    <w:rsid w:val="0017724C"/>
    <w:rsid w:val="001772C3"/>
    <w:rsid w:val="001775B8"/>
    <w:rsid w:val="00177935"/>
    <w:rsid w:val="0017799C"/>
    <w:rsid w:val="00177B9D"/>
    <w:rsid w:val="001801B6"/>
    <w:rsid w:val="0018049E"/>
    <w:rsid w:val="0018092B"/>
    <w:rsid w:val="00181155"/>
    <w:rsid w:val="00181289"/>
    <w:rsid w:val="00181360"/>
    <w:rsid w:val="00181A7A"/>
    <w:rsid w:val="001821CB"/>
    <w:rsid w:val="00182443"/>
    <w:rsid w:val="00182675"/>
    <w:rsid w:val="0018269A"/>
    <w:rsid w:val="001829A6"/>
    <w:rsid w:val="00182B23"/>
    <w:rsid w:val="00182F2D"/>
    <w:rsid w:val="00182F42"/>
    <w:rsid w:val="001835AD"/>
    <w:rsid w:val="00183F77"/>
    <w:rsid w:val="00183FFF"/>
    <w:rsid w:val="001843D4"/>
    <w:rsid w:val="00184757"/>
    <w:rsid w:val="00184F16"/>
    <w:rsid w:val="0018635E"/>
    <w:rsid w:val="0018667F"/>
    <w:rsid w:val="001868DF"/>
    <w:rsid w:val="00186D71"/>
    <w:rsid w:val="00186D8E"/>
    <w:rsid w:val="00186E12"/>
    <w:rsid w:val="001872FD"/>
    <w:rsid w:val="001873C4"/>
    <w:rsid w:val="00187422"/>
    <w:rsid w:val="0018772C"/>
    <w:rsid w:val="00187CD6"/>
    <w:rsid w:val="001909E0"/>
    <w:rsid w:val="00190E95"/>
    <w:rsid w:val="001910D9"/>
    <w:rsid w:val="00191208"/>
    <w:rsid w:val="00191AFC"/>
    <w:rsid w:val="00191D14"/>
    <w:rsid w:val="001920AB"/>
    <w:rsid w:val="001929CB"/>
    <w:rsid w:val="00192B2F"/>
    <w:rsid w:val="00192FF4"/>
    <w:rsid w:val="001933DF"/>
    <w:rsid w:val="0019369D"/>
    <w:rsid w:val="00193872"/>
    <w:rsid w:val="00193AAA"/>
    <w:rsid w:val="00193E59"/>
    <w:rsid w:val="00193ED6"/>
    <w:rsid w:val="0019435E"/>
    <w:rsid w:val="0019457D"/>
    <w:rsid w:val="0019465F"/>
    <w:rsid w:val="00194A07"/>
    <w:rsid w:val="00194B20"/>
    <w:rsid w:val="00194F66"/>
    <w:rsid w:val="00195065"/>
    <w:rsid w:val="001951D7"/>
    <w:rsid w:val="00195429"/>
    <w:rsid w:val="00195A38"/>
    <w:rsid w:val="00196087"/>
    <w:rsid w:val="001960F1"/>
    <w:rsid w:val="001965AA"/>
    <w:rsid w:val="00196DF1"/>
    <w:rsid w:val="00196E6F"/>
    <w:rsid w:val="0019705A"/>
    <w:rsid w:val="001972D7"/>
    <w:rsid w:val="00197373"/>
    <w:rsid w:val="001976C7"/>
    <w:rsid w:val="00197734"/>
    <w:rsid w:val="00197766"/>
    <w:rsid w:val="001977D4"/>
    <w:rsid w:val="00197BAE"/>
    <w:rsid w:val="00197CA6"/>
    <w:rsid w:val="00197D78"/>
    <w:rsid w:val="00197E26"/>
    <w:rsid w:val="00197E33"/>
    <w:rsid w:val="00197E67"/>
    <w:rsid w:val="00197EF0"/>
    <w:rsid w:val="001A0B09"/>
    <w:rsid w:val="001A0EFA"/>
    <w:rsid w:val="001A10D0"/>
    <w:rsid w:val="001A173B"/>
    <w:rsid w:val="001A1886"/>
    <w:rsid w:val="001A1C38"/>
    <w:rsid w:val="001A1FDE"/>
    <w:rsid w:val="001A227F"/>
    <w:rsid w:val="001A2482"/>
    <w:rsid w:val="001A2A8E"/>
    <w:rsid w:val="001A3858"/>
    <w:rsid w:val="001A3ED5"/>
    <w:rsid w:val="001A4754"/>
    <w:rsid w:val="001A4CAF"/>
    <w:rsid w:val="001A4F31"/>
    <w:rsid w:val="001A5564"/>
    <w:rsid w:val="001A5FBC"/>
    <w:rsid w:val="001A621D"/>
    <w:rsid w:val="001A6564"/>
    <w:rsid w:val="001A659F"/>
    <w:rsid w:val="001A686E"/>
    <w:rsid w:val="001A6C28"/>
    <w:rsid w:val="001A6C52"/>
    <w:rsid w:val="001A6D94"/>
    <w:rsid w:val="001A6DB1"/>
    <w:rsid w:val="001A72BE"/>
    <w:rsid w:val="001A7452"/>
    <w:rsid w:val="001A752A"/>
    <w:rsid w:val="001A775C"/>
    <w:rsid w:val="001A7B7A"/>
    <w:rsid w:val="001A7F5B"/>
    <w:rsid w:val="001A7FCD"/>
    <w:rsid w:val="001B02A0"/>
    <w:rsid w:val="001B03C5"/>
    <w:rsid w:val="001B0559"/>
    <w:rsid w:val="001B0B18"/>
    <w:rsid w:val="001B181D"/>
    <w:rsid w:val="001B1D89"/>
    <w:rsid w:val="001B1FA3"/>
    <w:rsid w:val="001B210D"/>
    <w:rsid w:val="001B260B"/>
    <w:rsid w:val="001B2620"/>
    <w:rsid w:val="001B28A1"/>
    <w:rsid w:val="001B2EC4"/>
    <w:rsid w:val="001B30B5"/>
    <w:rsid w:val="001B31F5"/>
    <w:rsid w:val="001B3453"/>
    <w:rsid w:val="001B3764"/>
    <w:rsid w:val="001B3840"/>
    <w:rsid w:val="001B3C29"/>
    <w:rsid w:val="001B3EFC"/>
    <w:rsid w:val="001B4030"/>
    <w:rsid w:val="001B40FA"/>
    <w:rsid w:val="001B410C"/>
    <w:rsid w:val="001B4270"/>
    <w:rsid w:val="001B42EC"/>
    <w:rsid w:val="001B4525"/>
    <w:rsid w:val="001B4582"/>
    <w:rsid w:val="001B4729"/>
    <w:rsid w:val="001B4815"/>
    <w:rsid w:val="001B4B12"/>
    <w:rsid w:val="001B4C07"/>
    <w:rsid w:val="001B4C9E"/>
    <w:rsid w:val="001B4CBA"/>
    <w:rsid w:val="001B4EFC"/>
    <w:rsid w:val="001B55C3"/>
    <w:rsid w:val="001B5643"/>
    <w:rsid w:val="001B5826"/>
    <w:rsid w:val="001B59BC"/>
    <w:rsid w:val="001B5A73"/>
    <w:rsid w:val="001B5F50"/>
    <w:rsid w:val="001B634F"/>
    <w:rsid w:val="001B64D7"/>
    <w:rsid w:val="001B65D8"/>
    <w:rsid w:val="001B670C"/>
    <w:rsid w:val="001B6C69"/>
    <w:rsid w:val="001B7AD3"/>
    <w:rsid w:val="001B7DB2"/>
    <w:rsid w:val="001B7FE3"/>
    <w:rsid w:val="001C0353"/>
    <w:rsid w:val="001C0443"/>
    <w:rsid w:val="001C0519"/>
    <w:rsid w:val="001C0E35"/>
    <w:rsid w:val="001C142F"/>
    <w:rsid w:val="001C1730"/>
    <w:rsid w:val="001C1766"/>
    <w:rsid w:val="001C2744"/>
    <w:rsid w:val="001C307C"/>
    <w:rsid w:val="001C38BC"/>
    <w:rsid w:val="001C39BC"/>
    <w:rsid w:val="001C3E92"/>
    <w:rsid w:val="001C3EEA"/>
    <w:rsid w:val="001C3EFB"/>
    <w:rsid w:val="001C40D9"/>
    <w:rsid w:val="001C4573"/>
    <w:rsid w:val="001C4839"/>
    <w:rsid w:val="001C4A41"/>
    <w:rsid w:val="001C4C7C"/>
    <w:rsid w:val="001C4CFE"/>
    <w:rsid w:val="001C5092"/>
    <w:rsid w:val="001C50A0"/>
    <w:rsid w:val="001C5116"/>
    <w:rsid w:val="001C525C"/>
    <w:rsid w:val="001C553F"/>
    <w:rsid w:val="001C5C00"/>
    <w:rsid w:val="001C612F"/>
    <w:rsid w:val="001C616C"/>
    <w:rsid w:val="001C6307"/>
    <w:rsid w:val="001C6510"/>
    <w:rsid w:val="001C7774"/>
    <w:rsid w:val="001C799E"/>
    <w:rsid w:val="001C7A0B"/>
    <w:rsid w:val="001D0516"/>
    <w:rsid w:val="001D0856"/>
    <w:rsid w:val="001D089F"/>
    <w:rsid w:val="001D0AFA"/>
    <w:rsid w:val="001D0FB6"/>
    <w:rsid w:val="001D118B"/>
    <w:rsid w:val="001D1271"/>
    <w:rsid w:val="001D1301"/>
    <w:rsid w:val="001D1730"/>
    <w:rsid w:val="001D17FA"/>
    <w:rsid w:val="001D1A6A"/>
    <w:rsid w:val="001D1E17"/>
    <w:rsid w:val="001D22BC"/>
    <w:rsid w:val="001D26DC"/>
    <w:rsid w:val="001D2830"/>
    <w:rsid w:val="001D295A"/>
    <w:rsid w:val="001D2B7E"/>
    <w:rsid w:val="001D2CC0"/>
    <w:rsid w:val="001D2E38"/>
    <w:rsid w:val="001D315E"/>
    <w:rsid w:val="001D3610"/>
    <w:rsid w:val="001D3895"/>
    <w:rsid w:val="001D3BA0"/>
    <w:rsid w:val="001D3CC8"/>
    <w:rsid w:val="001D3ED8"/>
    <w:rsid w:val="001D419A"/>
    <w:rsid w:val="001D5087"/>
    <w:rsid w:val="001D5895"/>
    <w:rsid w:val="001D603B"/>
    <w:rsid w:val="001D6276"/>
    <w:rsid w:val="001D668B"/>
    <w:rsid w:val="001D6A4B"/>
    <w:rsid w:val="001D7042"/>
    <w:rsid w:val="001D74A6"/>
    <w:rsid w:val="001D79A2"/>
    <w:rsid w:val="001D7CAD"/>
    <w:rsid w:val="001E0167"/>
    <w:rsid w:val="001E13D9"/>
    <w:rsid w:val="001E1A19"/>
    <w:rsid w:val="001E1B8A"/>
    <w:rsid w:val="001E25E2"/>
    <w:rsid w:val="001E26AD"/>
    <w:rsid w:val="001E29C7"/>
    <w:rsid w:val="001E2E21"/>
    <w:rsid w:val="001E2EBE"/>
    <w:rsid w:val="001E3165"/>
    <w:rsid w:val="001E3176"/>
    <w:rsid w:val="001E34D4"/>
    <w:rsid w:val="001E39F2"/>
    <w:rsid w:val="001E3E69"/>
    <w:rsid w:val="001E42F0"/>
    <w:rsid w:val="001E4EE3"/>
    <w:rsid w:val="001E5268"/>
    <w:rsid w:val="001E545E"/>
    <w:rsid w:val="001E59AF"/>
    <w:rsid w:val="001E5F70"/>
    <w:rsid w:val="001E6C65"/>
    <w:rsid w:val="001E6CF8"/>
    <w:rsid w:val="001E6DB4"/>
    <w:rsid w:val="001E6EFA"/>
    <w:rsid w:val="001E780E"/>
    <w:rsid w:val="001E7CAB"/>
    <w:rsid w:val="001E7D50"/>
    <w:rsid w:val="001F01A5"/>
    <w:rsid w:val="001F024B"/>
    <w:rsid w:val="001F0419"/>
    <w:rsid w:val="001F0BE6"/>
    <w:rsid w:val="001F0E67"/>
    <w:rsid w:val="001F0F0D"/>
    <w:rsid w:val="001F16D0"/>
    <w:rsid w:val="001F1EB3"/>
    <w:rsid w:val="001F2924"/>
    <w:rsid w:val="001F2A40"/>
    <w:rsid w:val="001F2AC9"/>
    <w:rsid w:val="001F2AF7"/>
    <w:rsid w:val="001F2E55"/>
    <w:rsid w:val="001F31EB"/>
    <w:rsid w:val="001F321C"/>
    <w:rsid w:val="001F3334"/>
    <w:rsid w:val="001F3367"/>
    <w:rsid w:val="001F3FAD"/>
    <w:rsid w:val="001F407D"/>
    <w:rsid w:val="001F48BD"/>
    <w:rsid w:val="001F4F44"/>
    <w:rsid w:val="001F50F6"/>
    <w:rsid w:val="001F51A8"/>
    <w:rsid w:val="001F5BF0"/>
    <w:rsid w:val="001F6DD1"/>
    <w:rsid w:val="001F6EB5"/>
    <w:rsid w:val="001F7A5C"/>
    <w:rsid w:val="001F7FD0"/>
    <w:rsid w:val="0020020A"/>
    <w:rsid w:val="00200546"/>
    <w:rsid w:val="00200A08"/>
    <w:rsid w:val="00200AA1"/>
    <w:rsid w:val="00200C4B"/>
    <w:rsid w:val="002010F2"/>
    <w:rsid w:val="002011F2"/>
    <w:rsid w:val="00201257"/>
    <w:rsid w:val="00201306"/>
    <w:rsid w:val="002014B5"/>
    <w:rsid w:val="00201BB8"/>
    <w:rsid w:val="0020216B"/>
    <w:rsid w:val="00202211"/>
    <w:rsid w:val="00202677"/>
    <w:rsid w:val="00202CED"/>
    <w:rsid w:val="0020374F"/>
    <w:rsid w:val="00203E2C"/>
    <w:rsid w:val="002043B7"/>
    <w:rsid w:val="00204434"/>
    <w:rsid w:val="002044F3"/>
    <w:rsid w:val="00204D7F"/>
    <w:rsid w:val="00205042"/>
    <w:rsid w:val="00205128"/>
    <w:rsid w:val="0020573B"/>
    <w:rsid w:val="00205DB1"/>
    <w:rsid w:val="00206119"/>
    <w:rsid w:val="00206209"/>
    <w:rsid w:val="0020629F"/>
    <w:rsid w:val="00206317"/>
    <w:rsid w:val="0020654F"/>
    <w:rsid w:val="00206EAD"/>
    <w:rsid w:val="00206F5E"/>
    <w:rsid w:val="002071CF"/>
    <w:rsid w:val="002072AE"/>
    <w:rsid w:val="00207355"/>
    <w:rsid w:val="002074D6"/>
    <w:rsid w:val="00207F38"/>
    <w:rsid w:val="002101A2"/>
    <w:rsid w:val="002104F8"/>
    <w:rsid w:val="00210939"/>
    <w:rsid w:val="00210D22"/>
    <w:rsid w:val="00210E01"/>
    <w:rsid w:val="00211151"/>
    <w:rsid w:val="00211397"/>
    <w:rsid w:val="002115FC"/>
    <w:rsid w:val="0021178F"/>
    <w:rsid w:val="002117AF"/>
    <w:rsid w:val="00211A57"/>
    <w:rsid w:val="00211CED"/>
    <w:rsid w:val="00211D51"/>
    <w:rsid w:val="00211F13"/>
    <w:rsid w:val="00212595"/>
    <w:rsid w:val="00212817"/>
    <w:rsid w:val="0021281A"/>
    <w:rsid w:val="00212B7B"/>
    <w:rsid w:val="00212E5F"/>
    <w:rsid w:val="00212FD5"/>
    <w:rsid w:val="0021384F"/>
    <w:rsid w:val="00213F25"/>
    <w:rsid w:val="002142E1"/>
    <w:rsid w:val="00214313"/>
    <w:rsid w:val="002144EB"/>
    <w:rsid w:val="00214E6B"/>
    <w:rsid w:val="00215240"/>
    <w:rsid w:val="00215433"/>
    <w:rsid w:val="0021565A"/>
    <w:rsid w:val="0021588C"/>
    <w:rsid w:val="002158FF"/>
    <w:rsid w:val="00215BD3"/>
    <w:rsid w:val="00215CDB"/>
    <w:rsid w:val="00215D2B"/>
    <w:rsid w:val="00215E63"/>
    <w:rsid w:val="002161CA"/>
    <w:rsid w:val="00216294"/>
    <w:rsid w:val="002167E6"/>
    <w:rsid w:val="002169D1"/>
    <w:rsid w:val="00217360"/>
    <w:rsid w:val="002175AA"/>
    <w:rsid w:val="00217BED"/>
    <w:rsid w:val="00217C94"/>
    <w:rsid w:val="0022029F"/>
    <w:rsid w:val="0022041C"/>
    <w:rsid w:val="00220881"/>
    <w:rsid w:val="00220BD9"/>
    <w:rsid w:val="002211B4"/>
    <w:rsid w:val="002211BE"/>
    <w:rsid w:val="002212A9"/>
    <w:rsid w:val="00221936"/>
    <w:rsid w:val="00221BD1"/>
    <w:rsid w:val="00221E23"/>
    <w:rsid w:val="0022246C"/>
    <w:rsid w:val="002229FB"/>
    <w:rsid w:val="00222A6B"/>
    <w:rsid w:val="00222B03"/>
    <w:rsid w:val="00222C32"/>
    <w:rsid w:val="00222C46"/>
    <w:rsid w:val="00222E23"/>
    <w:rsid w:val="0022323B"/>
    <w:rsid w:val="00223755"/>
    <w:rsid w:val="002239A3"/>
    <w:rsid w:val="00223ED9"/>
    <w:rsid w:val="0022401B"/>
    <w:rsid w:val="002243E9"/>
    <w:rsid w:val="00224460"/>
    <w:rsid w:val="00224513"/>
    <w:rsid w:val="00224588"/>
    <w:rsid w:val="002245D4"/>
    <w:rsid w:val="00224AB9"/>
    <w:rsid w:val="00225072"/>
    <w:rsid w:val="00225077"/>
    <w:rsid w:val="0022508C"/>
    <w:rsid w:val="002252FC"/>
    <w:rsid w:val="0022593A"/>
    <w:rsid w:val="00225FE5"/>
    <w:rsid w:val="002262E6"/>
    <w:rsid w:val="002264CC"/>
    <w:rsid w:val="00226CBE"/>
    <w:rsid w:val="00226DCE"/>
    <w:rsid w:val="002270A3"/>
    <w:rsid w:val="002272CA"/>
    <w:rsid w:val="002272E8"/>
    <w:rsid w:val="00227AFF"/>
    <w:rsid w:val="00227E5F"/>
    <w:rsid w:val="00227ED1"/>
    <w:rsid w:val="00230055"/>
    <w:rsid w:val="002300D7"/>
    <w:rsid w:val="00230A4D"/>
    <w:rsid w:val="00231040"/>
    <w:rsid w:val="00231530"/>
    <w:rsid w:val="00231601"/>
    <w:rsid w:val="002316C2"/>
    <w:rsid w:val="00231928"/>
    <w:rsid w:val="002319BE"/>
    <w:rsid w:val="00231D22"/>
    <w:rsid w:val="00231E84"/>
    <w:rsid w:val="00232071"/>
    <w:rsid w:val="0023267C"/>
    <w:rsid w:val="00232B4F"/>
    <w:rsid w:val="00232CB5"/>
    <w:rsid w:val="002336C5"/>
    <w:rsid w:val="00233782"/>
    <w:rsid w:val="00234CFC"/>
    <w:rsid w:val="00234D18"/>
    <w:rsid w:val="00234D48"/>
    <w:rsid w:val="00234E8D"/>
    <w:rsid w:val="002351CC"/>
    <w:rsid w:val="0023598B"/>
    <w:rsid w:val="00235E76"/>
    <w:rsid w:val="00235EB0"/>
    <w:rsid w:val="00236372"/>
    <w:rsid w:val="00236FCB"/>
    <w:rsid w:val="002370A3"/>
    <w:rsid w:val="002370BE"/>
    <w:rsid w:val="00237883"/>
    <w:rsid w:val="00237A68"/>
    <w:rsid w:val="00237B5F"/>
    <w:rsid w:val="00237D77"/>
    <w:rsid w:val="00237DD5"/>
    <w:rsid w:val="002401DF"/>
    <w:rsid w:val="002403C8"/>
    <w:rsid w:val="00240611"/>
    <w:rsid w:val="00240B3A"/>
    <w:rsid w:val="00240E1B"/>
    <w:rsid w:val="0024192A"/>
    <w:rsid w:val="00241B1F"/>
    <w:rsid w:val="0024205B"/>
    <w:rsid w:val="0024213B"/>
    <w:rsid w:val="00242577"/>
    <w:rsid w:val="002425D1"/>
    <w:rsid w:val="00242711"/>
    <w:rsid w:val="002428AB"/>
    <w:rsid w:val="00242AE4"/>
    <w:rsid w:val="00242DDF"/>
    <w:rsid w:val="00242E28"/>
    <w:rsid w:val="0024302C"/>
    <w:rsid w:val="00243506"/>
    <w:rsid w:val="002435B6"/>
    <w:rsid w:val="002435BE"/>
    <w:rsid w:val="002437BF"/>
    <w:rsid w:val="00243CC6"/>
    <w:rsid w:val="00243F74"/>
    <w:rsid w:val="00244A7E"/>
    <w:rsid w:val="00244BB8"/>
    <w:rsid w:val="00244BBA"/>
    <w:rsid w:val="00244BE0"/>
    <w:rsid w:val="00245419"/>
    <w:rsid w:val="00245575"/>
    <w:rsid w:val="00245934"/>
    <w:rsid w:val="00245B47"/>
    <w:rsid w:val="00245D4C"/>
    <w:rsid w:val="002464EF"/>
    <w:rsid w:val="002465C8"/>
    <w:rsid w:val="00246823"/>
    <w:rsid w:val="00246883"/>
    <w:rsid w:val="00246C74"/>
    <w:rsid w:val="00246EF5"/>
    <w:rsid w:val="00246FA9"/>
    <w:rsid w:val="0024779C"/>
    <w:rsid w:val="00247CF8"/>
    <w:rsid w:val="00250202"/>
    <w:rsid w:val="002506C8"/>
    <w:rsid w:val="002506F7"/>
    <w:rsid w:val="0025077A"/>
    <w:rsid w:val="00251FF3"/>
    <w:rsid w:val="0025254F"/>
    <w:rsid w:val="00252C09"/>
    <w:rsid w:val="00252EFA"/>
    <w:rsid w:val="0025328A"/>
    <w:rsid w:val="002537FF"/>
    <w:rsid w:val="0025417B"/>
    <w:rsid w:val="002541BA"/>
    <w:rsid w:val="002541D9"/>
    <w:rsid w:val="0025424C"/>
    <w:rsid w:val="002548DB"/>
    <w:rsid w:val="00254D16"/>
    <w:rsid w:val="00255456"/>
    <w:rsid w:val="002558F5"/>
    <w:rsid w:val="00255E0C"/>
    <w:rsid w:val="00255E1F"/>
    <w:rsid w:val="00256577"/>
    <w:rsid w:val="002565F2"/>
    <w:rsid w:val="00256A8B"/>
    <w:rsid w:val="00256AF6"/>
    <w:rsid w:val="00256B80"/>
    <w:rsid w:val="00256F45"/>
    <w:rsid w:val="0025745F"/>
    <w:rsid w:val="00257792"/>
    <w:rsid w:val="00257F43"/>
    <w:rsid w:val="0026006B"/>
    <w:rsid w:val="00260196"/>
    <w:rsid w:val="002601B7"/>
    <w:rsid w:val="0026083D"/>
    <w:rsid w:val="002609C2"/>
    <w:rsid w:val="002611AE"/>
    <w:rsid w:val="00261342"/>
    <w:rsid w:val="002615E7"/>
    <w:rsid w:val="00261625"/>
    <w:rsid w:val="00261652"/>
    <w:rsid w:val="0026181B"/>
    <w:rsid w:val="00261828"/>
    <w:rsid w:val="00261BCD"/>
    <w:rsid w:val="00262187"/>
    <w:rsid w:val="00262403"/>
    <w:rsid w:val="0026243E"/>
    <w:rsid w:val="002627A8"/>
    <w:rsid w:val="00262AE4"/>
    <w:rsid w:val="00262CF0"/>
    <w:rsid w:val="00262FE4"/>
    <w:rsid w:val="0026351E"/>
    <w:rsid w:val="002637B6"/>
    <w:rsid w:val="00263A70"/>
    <w:rsid w:val="00263ADC"/>
    <w:rsid w:val="002640D4"/>
    <w:rsid w:val="0026456E"/>
    <w:rsid w:val="0026460D"/>
    <w:rsid w:val="00264E88"/>
    <w:rsid w:val="00265275"/>
    <w:rsid w:val="00265405"/>
    <w:rsid w:val="00265610"/>
    <w:rsid w:val="00265A67"/>
    <w:rsid w:val="00265B07"/>
    <w:rsid w:val="00265DC0"/>
    <w:rsid w:val="00266B03"/>
    <w:rsid w:val="00266E47"/>
    <w:rsid w:val="00266FB0"/>
    <w:rsid w:val="00266FFA"/>
    <w:rsid w:val="00267ACA"/>
    <w:rsid w:val="00267D3A"/>
    <w:rsid w:val="0027005C"/>
    <w:rsid w:val="0027008A"/>
    <w:rsid w:val="002700C7"/>
    <w:rsid w:val="00270A70"/>
    <w:rsid w:val="00270E1F"/>
    <w:rsid w:val="00270E4E"/>
    <w:rsid w:val="00270F17"/>
    <w:rsid w:val="0027109D"/>
    <w:rsid w:val="00271A86"/>
    <w:rsid w:val="00272042"/>
    <w:rsid w:val="0027205F"/>
    <w:rsid w:val="00272082"/>
    <w:rsid w:val="00272444"/>
    <w:rsid w:val="00272789"/>
    <w:rsid w:val="002727D0"/>
    <w:rsid w:val="0027285E"/>
    <w:rsid w:val="0027290B"/>
    <w:rsid w:val="00272CF4"/>
    <w:rsid w:val="002731DC"/>
    <w:rsid w:val="00273640"/>
    <w:rsid w:val="002739E9"/>
    <w:rsid w:val="00273AC0"/>
    <w:rsid w:val="00273B68"/>
    <w:rsid w:val="00273BFD"/>
    <w:rsid w:val="00274065"/>
    <w:rsid w:val="002746F5"/>
    <w:rsid w:val="00274AC8"/>
    <w:rsid w:val="00274C27"/>
    <w:rsid w:val="00275029"/>
    <w:rsid w:val="0027522A"/>
    <w:rsid w:val="002752D9"/>
    <w:rsid w:val="00275956"/>
    <w:rsid w:val="00275C25"/>
    <w:rsid w:val="00275D49"/>
    <w:rsid w:val="00275F48"/>
    <w:rsid w:val="00275FAD"/>
    <w:rsid w:val="0027628E"/>
    <w:rsid w:val="0027645F"/>
    <w:rsid w:val="002768C3"/>
    <w:rsid w:val="00276B7B"/>
    <w:rsid w:val="00276E21"/>
    <w:rsid w:val="00277425"/>
    <w:rsid w:val="0027743D"/>
    <w:rsid w:val="00277988"/>
    <w:rsid w:val="00277E34"/>
    <w:rsid w:val="00277F9C"/>
    <w:rsid w:val="002802F6"/>
    <w:rsid w:val="002804F9"/>
    <w:rsid w:val="002809A0"/>
    <w:rsid w:val="002810D0"/>
    <w:rsid w:val="0028114D"/>
    <w:rsid w:val="002816ED"/>
    <w:rsid w:val="002816F2"/>
    <w:rsid w:val="002819F3"/>
    <w:rsid w:val="00281C50"/>
    <w:rsid w:val="00281D36"/>
    <w:rsid w:val="0028229C"/>
    <w:rsid w:val="0028272B"/>
    <w:rsid w:val="00282B15"/>
    <w:rsid w:val="00282DB0"/>
    <w:rsid w:val="002831E9"/>
    <w:rsid w:val="002832A0"/>
    <w:rsid w:val="00283432"/>
    <w:rsid w:val="00283A1C"/>
    <w:rsid w:val="002840B9"/>
    <w:rsid w:val="00284367"/>
    <w:rsid w:val="00284634"/>
    <w:rsid w:val="00284910"/>
    <w:rsid w:val="00284913"/>
    <w:rsid w:val="0028493A"/>
    <w:rsid w:val="002849B7"/>
    <w:rsid w:val="00285040"/>
    <w:rsid w:val="00285340"/>
    <w:rsid w:val="00285460"/>
    <w:rsid w:val="00285526"/>
    <w:rsid w:val="0028569F"/>
    <w:rsid w:val="002856AB"/>
    <w:rsid w:val="002857C0"/>
    <w:rsid w:val="00285A49"/>
    <w:rsid w:val="00285A4F"/>
    <w:rsid w:val="00285D60"/>
    <w:rsid w:val="002862E6"/>
    <w:rsid w:val="00286421"/>
    <w:rsid w:val="002867CD"/>
    <w:rsid w:val="00286BE7"/>
    <w:rsid w:val="00286CF7"/>
    <w:rsid w:val="00286F22"/>
    <w:rsid w:val="00287304"/>
    <w:rsid w:val="00287590"/>
    <w:rsid w:val="002875FD"/>
    <w:rsid w:val="00287696"/>
    <w:rsid w:val="002879D2"/>
    <w:rsid w:val="00287CE4"/>
    <w:rsid w:val="00287D05"/>
    <w:rsid w:val="00290607"/>
    <w:rsid w:val="002907F2"/>
    <w:rsid w:val="0029098F"/>
    <w:rsid w:val="00290C8D"/>
    <w:rsid w:val="00290EBE"/>
    <w:rsid w:val="00291006"/>
    <w:rsid w:val="002914E4"/>
    <w:rsid w:val="002921B6"/>
    <w:rsid w:val="0029236C"/>
    <w:rsid w:val="002923AA"/>
    <w:rsid w:val="00292527"/>
    <w:rsid w:val="00293DA0"/>
    <w:rsid w:val="00294015"/>
    <w:rsid w:val="00294338"/>
    <w:rsid w:val="00294846"/>
    <w:rsid w:val="00294B5B"/>
    <w:rsid w:val="00294BFD"/>
    <w:rsid w:val="00294DB3"/>
    <w:rsid w:val="002950B1"/>
    <w:rsid w:val="002950DB"/>
    <w:rsid w:val="002951C4"/>
    <w:rsid w:val="00295493"/>
    <w:rsid w:val="00295881"/>
    <w:rsid w:val="00295EDB"/>
    <w:rsid w:val="00296106"/>
    <w:rsid w:val="0029612F"/>
    <w:rsid w:val="00296267"/>
    <w:rsid w:val="00296711"/>
    <w:rsid w:val="00297709"/>
    <w:rsid w:val="002A0758"/>
    <w:rsid w:val="002A09D0"/>
    <w:rsid w:val="002A0FFD"/>
    <w:rsid w:val="002A1051"/>
    <w:rsid w:val="002A110A"/>
    <w:rsid w:val="002A165E"/>
    <w:rsid w:val="002A166A"/>
    <w:rsid w:val="002A17F4"/>
    <w:rsid w:val="002A1E0E"/>
    <w:rsid w:val="002A2832"/>
    <w:rsid w:val="002A2A1F"/>
    <w:rsid w:val="002A2BF5"/>
    <w:rsid w:val="002A2C1C"/>
    <w:rsid w:val="002A2C43"/>
    <w:rsid w:val="002A30D3"/>
    <w:rsid w:val="002A37F4"/>
    <w:rsid w:val="002A3DBF"/>
    <w:rsid w:val="002A3FC7"/>
    <w:rsid w:val="002A4089"/>
    <w:rsid w:val="002A4241"/>
    <w:rsid w:val="002A4C6F"/>
    <w:rsid w:val="002A52EC"/>
    <w:rsid w:val="002A572B"/>
    <w:rsid w:val="002A5A96"/>
    <w:rsid w:val="002A5BB0"/>
    <w:rsid w:val="002A5DD2"/>
    <w:rsid w:val="002A6013"/>
    <w:rsid w:val="002A6251"/>
    <w:rsid w:val="002A66DA"/>
    <w:rsid w:val="002A6A6E"/>
    <w:rsid w:val="002A6C33"/>
    <w:rsid w:val="002A6C89"/>
    <w:rsid w:val="002A7083"/>
    <w:rsid w:val="002A7116"/>
    <w:rsid w:val="002A72E4"/>
    <w:rsid w:val="002A768A"/>
    <w:rsid w:val="002A76A4"/>
    <w:rsid w:val="002A7FBB"/>
    <w:rsid w:val="002B03F5"/>
    <w:rsid w:val="002B0B17"/>
    <w:rsid w:val="002B0CB0"/>
    <w:rsid w:val="002B0E38"/>
    <w:rsid w:val="002B10C0"/>
    <w:rsid w:val="002B155F"/>
    <w:rsid w:val="002B1771"/>
    <w:rsid w:val="002B187A"/>
    <w:rsid w:val="002B1BBD"/>
    <w:rsid w:val="002B1F36"/>
    <w:rsid w:val="002B2124"/>
    <w:rsid w:val="002B2263"/>
    <w:rsid w:val="002B2A5F"/>
    <w:rsid w:val="002B2B67"/>
    <w:rsid w:val="002B2DBF"/>
    <w:rsid w:val="002B2F01"/>
    <w:rsid w:val="002B33AC"/>
    <w:rsid w:val="002B384A"/>
    <w:rsid w:val="002B3A13"/>
    <w:rsid w:val="002B3AE5"/>
    <w:rsid w:val="002B40BF"/>
    <w:rsid w:val="002B44E1"/>
    <w:rsid w:val="002B464D"/>
    <w:rsid w:val="002B4A3D"/>
    <w:rsid w:val="002B4B70"/>
    <w:rsid w:val="002B4CD1"/>
    <w:rsid w:val="002B5073"/>
    <w:rsid w:val="002B5155"/>
    <w:rsid w:val="002B5347"/>
    <w:rsid w:val="002B5569"/>
    <w:rsid w:val="002B55A2"/>
    <w:rsid w:val="002B5A8D"/>
    <w:rsid w:val="002B63B6"/>
    <w:rsid w:val="002B694C"/>
    <w:rsid w:val="002B6CDF"/>
    <w:rsid w:val="002B6D4A"/>
    <w:rsid w:val="002B70DC"/>
    <w:rsid w:val="002B746E"/>
    <w:rsid w:val="002B758A"/>
    <w:rsid w:val="002B77EF"/>
    <w:rsid w:val="002B7FC9"/>
    <w:rsid w:val="002C0B35"/>
    <w:rsid w:val="002C140A"/>
    <w:rsid w:val="002C14D4"/>
    <w:rsid w:val="002C15FB"/>
    <w:rsid w:val="002C1ADA"/>
    <w:rsid w:val="002C1C91"/>
    <w:rsid w:val="002C2548"/>
    <w:rsid w:val="002C305A"/>
    <w:rsid w:val="002C3399"/>
    <w:rsid w:val="002C366A"/>
    <w:rsid w:val="002C3EDD"/>
    <w:rsid w:val="002C41BA"/>
    <w:rsid w:val="002C4263"/>
    <w:rsid w:val="002C4409"/>
    <w:rsid w:val="002C48AC"/>
    <w:rsid w:val="002C4CA6"/>
    <w:rsid w:val="002C5021"/>
    <w:rsid w:val="002C5554"/>
    <w:rsid w:val="002C55D8"/>
    <w:rsid w:val="002C5679"/>
    <w:rsid w:val="002C5705"/>
    <w:rsid w:val="002C6888"/>
    <w:rsid w:val="002C68F7"/>
    <w:rsid w:val="002C719E"/>
    <w:rsid w:val="002C7372"/>
    <w:rsid w:val="002C75CD"/>
    <w:rsid w:val="002C7759"/>
    <w:rsid w:val="002C7938"/>
    <w:rsid w:val="002C7CD2"/>
    <w:rsid w:val="002C7EC6"/>
    <w:rsid w:val="002C7F85"/>
    <w:rsid w:val="002D021A"/>
    <w:rsid w:val="002D0F3A"/>
    <w:rsid w:val="002D152B"/>
    <w:rsid w:val="002D181A"/>
    <w:rsid w:val="002D19C2"/>
    <w:rsid w:val="002D1C3D"/>
    <w:rsid w:val="002D1CBF"/>
    <w:rsid w:val="002D1E1D"/>
    <w:rsid w:val="002D1E68"/>
    <w:rsid w:val="002D2015"/>
    <w:rsid w:val="002D2361"/>
    <w:rsid w:val="002D25DE"/>
    <w:rsid w:val="002D27FE"/>
    <w:rsid w:val="002D2905"/>
    <w:rsid w:val="002D2C37"/>
    <w:rsid w:val="002D3872"/>
    <w:rsid w:val="002D3889"/>
    <w:rsid w:val="002D3C06"/>
    <w:rsid w:val="002D3C1C"/>
    <w:rsid w:val="002D3F2A"/>
    <w:rsid w:val="002D436F"/>
    <w:rsid w:val="002D47E4"/>
    <w:rsid w:val="002D4B65"/>
    <w:rsid w:val="002D51D1"/>
    <w:rsid w:val="002D5388"/>
    <w:rsid w:val="002D56E1"/>
    <w:rsid w:val="002D5A26"/>
    <w:rsid w:val="002D6B33"/>
    <w:rsid w:val="002D6D90"/>
    <w:rsid w:val="002D6DC0"/>
    <w:rsid w:val="002D6EAD"/>
    <w:rsid w:val="002D72F6"/>
    <w:rsid w:val="002D76BA"/>
    <w:rsid w:val="002D7C8E"/>
    <w:rsid w:val="002E02F1"/>
    <w:rsid w:val="002E11EE"/>
    <w:rsid w:val="002E1344"/>
    <w:rsid w:val="002E180C"/>
    <w:rsid w:val="002E1A57"/>
    <w:rsid w:val="002E1EDB"/>
    <w:rsid w:val="002E1EE5"/>
    <w:rsid w:val="002E1F84"/>
    <w:rsid w:val="002E20D5"/>
    <w:rsid w:val="002E21B2"/>
    <w:rsid w:val="002E2606"/>
    <w:rsid w:val="002E3265"/>
    <w:rsid w:val="002E35A8"/>
    <w:rsid w:val="002E364F"/>
    <w:rsid w:val="002E3EC1"/>
    <w:rsid w:val="002E43F2"/>
    <w:rsid w:val="002E4618"/>
    <w:rsid w:val="002E4754"/>
    <w:rsid w:val="002E511C"/>
    <w:rsid w:val="002E6AF2"/>
    <w:rsid w:val="002E6E95"/>
    <w:rsid w:val="002E7471"/>
    <w:rsid w:val="002E7857"/>
    <w:rsid w:val="002E7937"/>
    <w:rsid w:val="002F0002"/>
    <w:rsid w:val="002F015A"/>
    <w:rsid w:val="002F0246"/>
    <w:rsid w:val="002F0591"/>
    <w:rsid w:val="002F085B"/>
    <w:rsid w:val="002F0D3B"/>
    <w:rsid w:val="002F0D69"/>
    <w:rsid w:val="002F10A3"/>
    <w:rsid w:val="002F1A71"/>
    <w:rsid w:val="002F1B8F"/>
    <w:rsid w:val="002F2386"/>
    <w:rsid w:val="002F2424"/>
    <w:rsid w:val="002F25B3"/>
    <w:rsid w:val="002F25EA"/>
    <w:rsid w:val="002F2605"/>
    <w:rsid w:val="002F2A0E"/>
    <w:rsid w:val="002F3810"/>
    <w:rsid w:val="002F3CB1"/>
    <w:rsid w:val="002F3DA7"/>
    <w:rsid w:val="002F3DA8"/>
    <w:rsid w:val="002F41F0"/>
    <w:rsid w:val="002F44D4"/>
    <w:rsid w:val="002F4C2C"/>
    <w:rsid w:val="002F50C6"/>
    <w:rsid w:val="002F57C7"/>
    <w:rsid w:val="002F5B4E"/>
    <w:rsid w:val="002F5B8F"/>
    <w:rsid w:val="002F5BCC"/>
    <w:rsid w:val="002F5BEE"/>
    <w:rsid w:val="002F5C7A"/>
    <w:rsid w:val="002F5E16"/>
    <w:rsid w:val="002F5F3E"/>
    <w:rsid w:val="002F5F65"/>
    <w:rsid w:val="002F6051"/>
    <w:rsid w:val="002F6240"/>
    <w:rsid w:val="002F6D02"/>
    <w:rsid w:val="002F6E56"/>
    <w:rsid w:val="002F7BA7"/>
    <w:rsid w:val="003000CC"/>
    <w:rsid w:val="00300C6A"/>
    <w:rsid w:val="00300FF0"/>
    <w:rsid w:val="00301051"/>
    <w:rsid w:val="0030113A"/>
    <w:rsid w:val="00301262"/>
    <w:rsid w:val="00301B14"/>
    <w:rsid w:val="0030203E"/>
    <w:rsid w:val="003020F8"/>
    <w:rsid w:val="00302182"/>
    <w:rsid w:val="003022D1"/>
    <w:rsid w:val="0030267A"/>
    <w:rsid w:val="00302F6B"/>
    <w:rsid w:val="003030BF"/>
    <w:rsid w:val="00303881"/>
    <w:rsid w:val="00303B2A"/>
    <w:rsid w:val="00304029"/>
    <w:rsid w:val="003042F5"/>
    <w:rsid w:val="00304609"/>
    <w:rsid w:val="0030484D"/>
    <w:rsid w:val="003048E5"/>
    <w:rsid w:val="0030494F"/>
    <w:rsid w:val="00304B78"/>
    <w:rsid w:val="00304D92"/>
    <w:rsid w:val="0030509C"/>
    <w:rsid w:val="003052B6"/>
    <w:rsid w:val="00305467"/>
    <w:rsid w:val="003054A9"/>
    <w:rsid w:val="00305611"/>
    <w:rsid w:val="00305A1E"/>
    <w:rsid w:val="00305BC9"/>
    <w:rsid w:val="00305D20"/>
    <w:rsid w:val="00306088"/>
    <w:rsid w:val="0030619B"/>
    <w:rsid w:val="003063E5"/>
    <w:rsid w:val="003066F4"/>
    <w:rsid w:val="00306AE1"/>
    <w:rsid w:val="00306CCC"/>
    <w:rsid w:val="0030735F"/>
    <w:rsid w:val="003073AF"/>
    <w:rsid w:val="003076FA"/>
    <w:rsid w:val="00307BBB"/>
    <w:rsid w:val="00310099"/>
    <w:rsid w:val="00310127"/>
    <w:rsid w:val="00310759"/>
    <w:rsid w:val="003107E4"/>
    <w:rsid w:val="003114FF"/>
    <w:rsid w:val="003115D0"/>
    <w:rsid w:val="0031191E"/>
    <w:rsid w:val="00311A45"/>
    <w:rsid w:val="00312318"/>
    <w:rsid w:val="003123F7"/>
    <w:rsid w:val="0031291F"/>
    <w:rsid w:val="00312928"/>
    <w:rsid w:val="00313193"/>
    <w:rsid w:val="003136D2"/>
    <w:rsid w:val="00313B6A"/>
    <w:rsid w:val="00313D9B"/>
    <w:rsid w:val="00313E09"/>
    <w:rsid w:val="003144B5"/>
    <w:rsid w:val="003147BA"/>
    <w:rsid w:val="003147DE"/>
    <w:rsid w:val="003149F9"/>
    <w:rsid w:val="00314AC8"/>
    <w:rsid w:val="0031524C"/>
    <w:rsid w:val="0031576A"/>
    <w:rsid w:val="0031584C"/>
    <w:rsid w:val="00315B54"/>
    <w:rsid w:val="00315CF1"/>
    <w:rsid w:val="00315F23"/>
    <w:rsid w:val="00316363"/>
    <w:rsid w:val="00316753"/>
    <w:rsid w:val="00316CF4"/>
    <w:rsid w:val="00316EF7"/>
    <w:rsid w:val="00316F95"/>
    <w:rsid w:val="00317016"/>
    <w:rsid w:val="00317075"/>
    <w:rsid w:val="00317197"/>
    <w:rsid w:val="003175D8"/>
    <w:rsid w:val="0031768E"/>
    <w:rsid w:val="00317769"/>
    <w:rsid w:val="003178D8"/>
    <w:rsid w:val="00317CFF"/>
    <w:rsid w:val="003214C0"/>
    <w:rsid w:val="003214EC"/>
    <w:rsid w:val="00321584"/>
    <w:rsid w:val="00321761"/>
    <w:rsid w:val="00321CD1"/>
    <w:rsid w:val="0032220B"/>
    <w:rsid w:val="00322B5D"/>
    <w:rsid w:val="00322EE1"/>
    <w:rsid w:val="00322F76"/>
    <w:rsid w:val="0032313B"/>
    <w:rsid w:val="00323257"/>
    <w:rsid w:val="0032351E"/>
    <w:rsid w:val="0032362F"/>
    <w:rsid w:val="00323AB3"/>
    <w:rsid w:val="00323B16"/>
    <w:rsid w:val="00323B23"/>
    <w:rsid w:val="00323C81"/>
    <w:rsid w:val="00323CF3"/>
    <w:rsid w:val="00323D18"/>
    <w:rsid w:val="00324768"/>
    <w:rsid w:val="00324A79"/>
    <w:rsid w:val="00324CF9"/>
    <w:rsid w:val="00324D11"/>
    <w:rsid w:val="00324E94"/>
    <w:rsid w:val="003250E8"/>
    <w:rsid w:val="0032571F"/>
    <w:rsid w:val="00325ADE"/>
    <w:rsid w:val="00325DAF"/>
    <w:rsid w:val="00326932"/>
    <w:rsid w:val="00326F8F"/>
    <w:rsid w:val="00327588"/>
    <w:rsid w:val="0032786C"/>
    <w:rsid w:val="003278DC"/>
    <w:rsid w:val="00327BB1"/>
    <w:rsid w:val="00327F84"/>
    <w:rsid w:val="00330011"/>
    <w:rsid w:val="00330A03"/>
    <w:rsid w:val="00330A08"/>
    <w:rsid w:val="003310E6"/>
    <w:rsid w:val="0033139B"/>
    <w:rsid w:val="00331795"/>
    <w:rsid w:val="00331AD6"/>
    <w:rsid w:val="00331E18"/>
    <w:rsid w:val="00331E70"/>
    <w:rsid w:val="003323D5"/>
    <w:rsid w:val="00332850"/>
    <w:rsid w:val="00332B2C"/>
    <w:rsid w:val="00332C6F"/>
    <w:rsid w:val="00332D6E"/>
    <w:rsid w:val="00332F85"/>
    <w:rsid w:val="00333764"/>
    <w:rsid w:val="00334046"/>
    <w:rsid w:val="00334073"/>
    <w:rsid w:val="00334155"/>
    <w:rsid w:val="003343F1"/>
    <w:rsid w:val="00334984"/>
    <w:rsid w:val="00334BCF"/>
    <w:rsid w:val="00334D4F"/>
    <w:rsid w:val="00334FEC"/>
    <w:rsid w:val="0033584E"/>
    <w:rsid w:val="0033592B"/>
    <w:rsid w:val="00335DD1"/>
    <w:rsid w:val="00336F25"/>
    <w:rsid w:val="00336FC5"/>
    <w:rsid w:val="00337503"/>
    <w:rsid w:val="003375CF"/>
    <w:rsid w:val="003379AA"/>
    <w:rsid w:val="00337B01"/>
    <w:rsid w:val="00337BA2"/>
    <w:rsid w:val="00337ECD"/>
    <w:rsid w:val="0034061F"/>
    <w:rsid w:val="00340624"/>
    <w:rsid w:val="00340649"/>
    <w:rsid w:val="00340B7C"/>
    <w:rsid w:val="00341591"/>
    <w:rsid w:val="0034169D"/>
    <w:rsid w:val="00341A76"/>
    <w:rsid w:val="003427DE"/>
    <w:rsid w:val="003428BB"/>
    <w:rsid w:val="003432C2"/>
    <w:rsid w:val="00343564"/>
    <w:rsid w:val="003437EF"/>
    <w:rsid w:val="0034383A"/>
    <w:rsid w:val="00343D88"/>
    <w:rsid w:val="00343DF9"/>
    <w:rsid w:val="00344025"/>
    <w:rsid w:val="0034419A"/>
    <w:rsid w:val="00344863"/>
    <w:rsid w:val="00344FEF"/>
    <w:rsid w:val="00345623"/>
    <w:rsid w:val="00345752"/>
    <w:rsid w:val="00345EA1"/>
    <w:rsid w:val="0034617F"/>
    <w:rsid w:val="003461F5"/>
    <w:rsid w:val="00346424"/>
    <w:rsid w:val="00346711"/>
    <w:rsid w:val="00346716"/>
    <w:rsid w:val="0034734E"/>
    <w:rsid w:val="00347751"/>
    <w:rsid w:val="00347FA0"/>
    <w:rsid w:val="00350740"/>
    <w:rsid w:val="00350762"/>
    <w:rsid w:val="003507A2"/>
    <w:rsid w:val="0035092F"/>
    <w:rsid w:val="00350AE4"/>
    <w:rsid w:val="00350C10"/>
    <w:rsid w:val="00350F28"/>
    <w:rsid w:val="0035181F"/>
    <w:rsid w:val="00352741"/>
    <w:rsid w:val="00352BB7"/>
    <w:rsid w:val="00352DD1"/>
    <w:rsid w:val="003533F8"/>
    <w:rsid w:val="00353D1E"/>
    <w:rsid w:val="00353D90"/>
    <w:rsid w:val="00353F1F"/>
    <w:rsid w:val="00354BC1"/>
    <w:rsid w:val="00354E6F"/>
    <w:rsid w:val="0035515C"/>
    <w:rsid w:val="00355219"/>
    <w:rsid w:val="003556C9"/>
    <w:rsid w:val="00355755"/>
    <w:rsid w:val="00355A1D"/>
    <w:rsid w:val="00355BB4"/>
    <w:rsid w:val="00355BD0"/>
    <w:rsid w:val="00356359"/>
    <w:rsid w:val="003568AA"/>
    <w:rsid w:val="00356997"/>
    <w:rsid w:val="00356C6B"/>
    <w:rsid w:val="00356D04"/>
    <w:rsid w:val="00356FEC"/>
    <w:rsid w:val="0035729A"/>
    <w:rsid w:val="003579F1"/>
    <w:rsid w:val="00357BA3"/>
    <w:rsid w:val="00357DB0"/>
    <w:rsid w:val="003601E6"/>
    <w:rsid w:val="003614E9"/>
    <w:rsid w:val="003616F9"/>
    <w:rsid w:val="0036176E"/>
    <w:rsid w:val="00361A33"/>
    <w:rsid w:val="00361D69"/>
    <w:rsid w:val="00361F46"/>
    <w:rsid w:val="00362176"/>
    <w:rsid w:val="003626AF"/>
    <w:rsid w:val="0036276B"/>
    <w:rsid w:val="0036278E"/>
    <w:rsid w:val="00362891"/>
    <w:rsid w:val="00362A8D"/>
    <w:rsid w:val="00362B5D"/>
    <w:rsid w:val="00362DEB"/>
    <w:rsid w:val="003631A9"/>
    <w:rsid w:val="00363254"/>
    <w:rsid w:val="00363C2C"/>
    <w:rsid w:val="0036407E"/>
    <w:rsid w:val="00364A96"/>
    <w:rsid w:val="0036641B"/>
    <w:rsid w:val="003665B7"/>
    <w:rsid w:val="00366A48"/>
    <w:rsid w:val="00366E14"/>
    <w:rsid w:val="00367158"/>
    <w:rsid w:val="0036745C"/>
    <w:rsid w:val="00367D43"/>
    <w:rsid w:val="0037044C"/>
    <w:rsid w:val="0037056E"/>
    <w:rsid w:val="00370708"/>
    <w:rsid w:val="00370726"/>
    <w:rsid w:val="00370C3F"/>
    <w:rsid w:val="00370F34"/>
    <w:rsid w:val="00370FBD"/>
    <w:rsid w:val="00371133"/>
    <w:rsid w:val="00371165"/>
    <w:rsid w:val="0037131D"/>
    <w:rsid w:val="0037136A"/>
    <w:rsid w:val="00371675"/>
    <w:rsid w:val="0037194E"/>
    <w:rsid w:val="00371E31"/>
    <w:rsid w:val="0037206F"/>
    <w:rsid w:val="00372A97"/>
    <w:rsid w:val="00372EC6"/>
    <w:rsid w:val="00372ED9"/>
    <w:rsid w:val="00372F31"/>
    <w:rsid w:val="003730E8"/>
    <w:rsid w:val="00373A78"/>
    <w:rsid w:val="00373CDA"/>
    <w:rsid w:val="00373D12"/>
    <w:rsid w:val="003743E3"/>
    <w:rsid w:val="0037455E"/>
    <w:rsid w:val="0037460E"/>
    <w:rsid w:val="00374DA8"/>
    <w:rsid w:val="00374F7F"/>
    <w:rsid w:val="0037539A"/>
    <w:rsid w:val="003755DA"/>
    <w:rsid w:val="0037583B"/>
    <w:rsid w:val="00375D97"/>
    <w:rsid w:val="003768FD"/>
    <w:rsid w:val="00376C19"/>
    <w:rsid w:val="0037704B"/>
    <w:rsid w:val="00377181"/>
    <w:rsid w:val="00377329"/>
    <w:rsid w:val="00377C27"/>
    <w:rsid w:val="00377C56"/>
    <w:rsid w:val="00377E25"/>
    <w:rsid w:val="00377FAA"/>
    <w:rsid w:val="0038014D"/>
    <w:rsid w:val="00380959"/>
    <w:rsid w:val="00380AC6"/>
    <w:rsid w:val="00380DCB"/>
    <w:rsid w:val="00381039"/>
    <w:rsid w:val="00381443"/>
    <w:rsid w:val="003814A9"/>
    <w:rsid w:val="0038169A"/>
    <w:rsid w:val="00381B53"/>
    <w:rsid w:val="00381BA6"/>
    <w:rsid w:val="00381E31"/>
    <w:rsid w:val="00381F0A"/>
    <w:rsid w:val="00381F79"/>
    <w:rsid w:val="00382113"/>
    <w:rsid w:val="00382E97"/>
    <w:rsid w:val="0038318B"/>
    <w:rsid w:val="0038329A"/>
    <w:rsid w:val="00383523"/>
    <w:rsid w:val="00383986"/>
    <w:rsid w:val="00383DC4"/>
    <w:rsid w:val="00384582"/>
    <w:rsid w:val="0038463E"/>
    <w:rsid w:val="003849CF"/>
    <w:rsid w:val="00384A5E"/>
    <w:rsid w:val="00384B74"/>
    <w:rsid w:val="00384D70"/>
    <w:rsid w:val="00384DEC"/>
    <w:rsid w:val="003851C4"/>
    <w:rsid w:val="0038545B"/>
    <w:rsid w:val="00385570"/>
    <w:rsid w:val="00385821"/>
    <w:rsid w:val="00385883"/>
    <w:rsid w:val="003858B2"/>
    <w:rsid w:val="00385A66"/>
    <w:rsid w:val="00385F30"/>
    <w:rsid w:val="00386790"/>
    <w:rsid w:val="003869B4"/>
    <w:rsid w:val="00387327"/>
    <w:rsid w:val="003877EB"/>
    <w:rsid w:val="00387A5B"/>
    <w:rsid w:val="00387EDD"/>
    <w:rsid w:val="003901A3"/>
    <w:rsid w:val="00390374"/>
    <w:rsid w:val="00390393"/>
    <w:rsid w:val="00390576"/>
    <w:rsid w:val="0039058B"/>
    <w:rsid w:val="00390945"/>
    <w:rsid w:val="00390E32"/>
    <w:rsid w:val="00390EEB"/>
    <w:rsid w:val="00391364"/>
    <w:rsid w:val="003919E4"/>
    <w:rsid w:val="00392503"/>
    <w:rsid w:val="00392672"/>
    <w:rsid w:val="003927F4"/>
    <w:rsid w:val="00393103"/>
    <w:rsid w:val="003937A0"/>
    <w:rsid w:val="003940E8"/>
    <w:rsid w:val="00394187"/>
    <w:rsid w:val="003945A9"/>
    <w:rsid w:val="00394BAE"/>
    <w:rsid w:val="003952F1"/>
    <w:rsid w:val="00395A23"/>
    <w:rsid w:val="00395BC9"/>
    <w:rsid w:val="0039612A"/>
    <w:rsid w:val="00396595"/>
    <w:rsid w:val="00396E7F"/>
    <w:rsid w:val="00397120"/>
    <w:rsid w:val="00397418"/>
    <w:rsid w:val="00397CD4"/>
    <w:rsid w:val="00397FCC"/>
    <w:rsid w:val="003A0193"/>
    <w:rsid w:val="003A02E9"/>
    <w:rsid w:val="003A0632"/>
    <w:rsid w:val="003A0878"/>
    <w:rsid w:val="003A0905"/>
    <w:rsid w:val="003A09DF"/>
    <w:rsid w:val="003A1075"/>
    <w:rsid w:val="003A1129"/>
    <w:rsid w:val="003A1B39"/>
    <w:rsid w:val="003A1D2D"/>
    <w:rsid w:val="003A22C6"/>
    <w:rsid w:val="003A2F1B"/>
    <w:rsid w:val="003A33FB"/>
    <w:rsid w:val="003A3910"/>
    <w:rsid w:val="003A3AC1"/>
    <w:rsid w:val="003A3F3F"/>
    <w:rsid w:val="003A4321"/>
    <w:rsid w:val="003A4334"/>
    <w:rsid w:val="003A48AF"/>
    <w:rsid w:val="003A4D11"/>
    <w:rsid w:val="003A4DD9"/>
    <w:rsid w:val="003A4EB1"/>
    <w:rsid w:val="003A500C"/>
    <w:rsid w:val="003A52F2"/>
    <w:rsid w:val="003A537B"/>
    <w:rsid w:val="003A54E7"/>
    <w:rsid w:val="003A5796"/>
    <w:rsid w:val="003A5F07"/>
    <w:rsid w:val="003A5FE2"/>
    <w:rsid w:val="003A6275"/>
    <w:rsid w:val="003A666A"/>
    <w:rsid w:val="003A6BE1"/>
    <w:rsid w:val="003A6F9F"/>
    <w:rsid w:val="003A7381"/>
    <w:rsid w:val="003A745A"/>
    <w:rsid w:val="003A7A31"/>
    <w:rsid w:val="003A7A90"/>
    <w:rsid w:val="003A7B32"/>
    <w:rsid w:val="003A7B7F"/>
    <w:rsid w:val="003B0363"/>
    <w:rsid w:val="003B0BCF"/>
    <w:rsid w:val="003B0C54"/>
    <w:rsid w:val="003B1B9B"/>
    <w:rsid w:val="003B2026"/>
    <w:rsid w:val="003B23C2"/>
    <w:rsid w:val="003B2667"/>
    <w:rsid w:val="003B280F"/>
    <w:rsid w:val="003B30F4"/>
    <w:rsid w:val="003B310A"/>
    <w:rsid w:val="003B315E"/>
    <w:rsid w:val="003B3384"/>
    <w:rsid w:val="003B39D8"/>
    <w:rsid w:val="003B3B72"/>
    <w:rsid w:val="003B40D6"/>
    <w:rsid w:val="003B480F"/>
    <w:rsid w:val="003B4970"/>
    <w:rsid w:val="003B4C35"/>
    <w:rsid w:val="003B4CAF"/>
    <w:rsid w:val="003B4DF6"/>
    <w:rsid w:val="003B516F"/>
    <w:rsid w:val="003B54A1"/>
    <w:rsid w:val="003B55BF"/>
    <w:rsid w:val="003B58C0"/>
    <w:rsid w:val="003B5BEE"/>
    <w:rsid w:val="003B5E57"/>
    <w:rsid w:val="003B5E97"/>
    <w:rsid w:val="003B5EA3"/>
    <w:rsid w:val="003B6044"/>
    <w:rsid w:val="003B60EE"/>
    <w:rsid w:val="003B6139"/>
    <w:rsid w:val="003B63AF"/>
    <w:rsid w:val="003B660C"/>
    <w:rsid w:val="003B6CCE"/>
    <w:rsid w:val="003B7002"/>
    <w:rsid w:val="003B72FA"/>
    <w:rsid w:val="003B7337"/>
    <w:rsid w:val="003B7391"/>
    <w:rsid w:val="003B7573"/>
    <w:rsid w:val="003B7A5C"/>
    <w:rsid w:val="003B7AD4"/>
    <w:rsid w:val="003B7E76"/>
    <w:rsid w:val="003C0002"/>
    <w:rsid w:val="003C07C0"/>
    <w:rsid w:val="003C0F8C"/>
    <w:rsid w:val="003C0FD0"/>
    <w:rsid w:val="003C13CF"/>
    <w:rsid w:val="003C150D"/>
    <w:rsid w:val="003C1745"/>
    <w:rsid w:val="003C1831"/>
    <w:rsid w:val="003C199C"/>
    <w:rsid w:val="003C1A60"/>
    <w:rsid w:val="003C1D6D"/>
    <w:rsid w:val="003C2343"/>
    <w:rsid w:val="003C2675"/>
    <w:rsid w:val="003C2F35"/>
    <w:rsid w:val="003C2FD0"/>
    <w:rsid w:val="003C3284"/>
    <w:rsid w:val="003C3D63"/>
    <w:rsid w:val="003C3F35"/>
    <w:rsid w:val="003C41EF"/>
    <w:rsid w:val="003C431B"/>
    <w:rsid w:val="003C432D"/>
    <w:rsid w:val="003C466D"/>
    <w:rsid w:val="003C4729"/>
    <w:rsid w:val="003C48CC"/>
    <w:rsid w:val="003C4C1B"/>
    <w:rsid w:val="003C56AE"/>
    <w:rsid w:val="003C5BFC"/>
    <w:rsid w:val="003C60A6"/>
    <w:rsid w:val="003C60A7"/>
    <w:rsid w:val="003C63B4"/>
    <w:rsid w:val="003C645E"/>
    <w:rsid w:val="003C7159"/>
    <w:rsid w:val="003C7363"/>
    <w:rsid w:val="003C7B4B"/>
    <w:rsid w:val="003C7C14"/>
    <w:rsid w:val="003C7EC1"/>
    <w:rsid w:val="003D0535"/>
    <w:rsid w:val="003D089A"/>
    <w:rsid w:val="003D0BE6"/>
    <w:rsid w:val="003D10D1"/>
    <w:rsid w:val="003D17DE"/>
    <w:rsid w:val="003D1CE6"/>
    <w:rsid w:val="003D1D80"/>
    <w:rsid w:val="003D1E28"/>
    <w:rsid w:val="003D238B"/>
    <w:rsid w:val="003D24D6"/>
    <w:rsid w:val="003D2651"/>
    <w:rsid w:val="003D277C"/>
    <w:rsid w:val="003D2D32"/>
    <w:rsid w:val="003D330A"/>
    <w:rsid w:val="003D3447"/>
    <w:rsid w:val="003D3562"/>
    <w:rsid w:val="003D3B55"/>
    <w:rsid w:val="003D3F92"/>
    <w:rsid w:val="003D411A"/>
    <w:rsid w:val="003D41B1"/>
    <w:rsid w:val="003D431E"/>
    <w:rsid w:val="003D4461"/>
    <w:rsid w:val="003D451D"/>
    <w:rsid w:val="003D4773"/>
    <w:rsid w:val="003D4866"/>
    <w:rsid w:val="003D4B3B"/>
    <w:rsid w:val="003D4E4D"/>
    <w:rsid w:val="003D53A6"/>
    <w:rsid w:val="003D55B5"/>
    <w:rsid w:val="003D59DD"/>
    <w:rsid w:val="003D607B"/>
    <w:rsid w:val="003D6809"/>
    <w:rsid w:val="003D6811"/>
    <w:rsid w:val="003D6A85"/>
    <w:rsid w:val="003D7499"/>
    <w:rsid w:val="003D7A08"/>
    <w:rsid w:val="003D7BA3"/>
    <w:rsid w:val="003D7E5D"/>
    <w:rsid w:val="003E0004"/>
    <w:rsid w:val="003E0546"/>
    <w:rsid w:val="003E0E5D"/>
    <w:rsid w:val="003E167C"/>
    <w:rsid w:val="003E1733"/>
    <w:rsid w:val="003E17A6"/>
    <w:rsid w:val="003E190E"/>
    <w:rsid w:val="003E224B"/>
    <w:rsid w:val="003E23D2"/>
    <w:rsid w:val="003E247C"/>
    <w:rsid w:val="003E25B4"/>
    <w:rsid w:val="003E26B8"/>
    <w:rsid w:val="003E29A5"/>
    <w:rsid w:val="003E3488"/>
    <w:rsid w:val="003E3589"/>
    <w:rsid w:val="003E37D4"/>
    <w:rsid w:val="003E391B"/>
    <w:rsid w:val="003E3E0A"/>
    <w:rsid w:val="003E3F5B"/>
    <w:rsid w:val="003E4116"/>
    <w:rsid w:val="003E413F"/>
    <w:rsid w:val="003E48F6"/>
    <w:rsid w:val="003E4970"/>
    <w:rsid w:val="003E4A3C"/>
    <w:rsid w:val="003E4F2F"/>
    <w:rsid w:val="003E532D"/>
    <w:rsid w:val="003E5596"/>
    <w:rsid w:val="003E5874"/>
    <w:rsid w:val="003E59CD"/>
    <w:rsid w:val="003E5CEE"/>
    <w:rsid w:val="003E5F61"/>
    <w:rsid w:val="003E5FDC"/>
    <w:rsid w:val="003E5FEE"/>
    <w:rsid w:val="003E63A2"/>
    <w:rsid w:val="003E63C1"/>
    <w:rsid w:val="003E64FC"/>
    <w:rsid w:val="003E6EDB"/>
    <w:rsid w:val="003E71FF"/>
    <w:rsid w:val="003E7434"/>
    <w:rsid w:val="003E7564"/>
    <w:rsid w:val="003E75CB"/>
    <w:rsid w:val="003E7ADA"/>
    <w:rsid w:val="003E7B27"/>
    <w:rsid w:val="003E7CF1"/>
    <w:rsid w:val="003F0021"/>
    <w:rsid w:val="003F064C"/>
    <w:rsid w:val="003F124A"/>
    <w:rsid w:val="003F124C"/>
    <w:rsid w:val="003F134A"/>
    <w:rsid w:val="003F1595"/>
    <w:rsid w:val="003F1635"/>
    <w:rsid w:val="003F183A"/>
    <w:rsid w:val="003F18E9"/>
    <w:rsid w:val="003F1ADB"/>
    <w:rsid w:val="003F1CA7"/>
    <w:rsid w:val="003F2766"/>
    <w:rsid w:val="003F2FCB"/>
    <w:rsid w:val="003F35FC"/>
    <w:rsid w:val="003F3761"/>
    <w:rsid w:val="003F3854"/>
    <w:rsid w:val="003F3DFA"/>
    <w:rsid w:val="003F43A7"/>
    <w:rsid w:val="003F4680"/>
    <w:rsid w:val="003F4735"/>
    <w:rsid w:val="003F49AE"/>
    <w:rsid w:val="003F4EA6"/>
    <w:rsid w:val="003F51BE"/>
    <w:rsid w:val="003F51F1"/>
    <w:rsid w:val="003F58BC"/>
    <w:rsid w:val="003F5D73"/>
    <w:rsid w:val="003F6005"/>
    <w:rsid w:val="003F6611"/>
    <w:rsid w:val="003F70D6"/>
    <w:rsid w:val="003F7380"/>
    <w:rsid w:val="003F73B1"/>
    <w:rsid w:val="003F7441"/>
    <w:rsid w:val="003F7579"/>
    <w:rsid w:val="003F79CA"/>
    <w:rsid w:val="003F7F00"/>
    <w:rsid w:val="004000BB"/>
    <w:rsid w:val="00400313"/>
    <w:rsid w:val="004003BE"/>
    <w:rsid w:val="004004CC"/>
    <w:rsid w:val="004004F2"/>
    <w:rsid w:val="00400932"/>
    <w:rsid w:val="00400A65"/>
    <w:rsid w:val="00400E65"/>
    <w:rsid w:val="004010AB"/>
    <w:rsid w:val="0040166F"/>
    <w:rsid w:val="004019D0"/>
    <w:rsid w:val="00401F57"/>
    <w:rsid w:val="004021E3"/>
    <w:rsid w:val="004022E5"/>
    <w:rsid w:val="00402977"/>
    <w:rsid w:val="00402B7D"/>
    <w:rsid w:val="00402C0B"/>
    <w:rsid w:val="00402E81"/>
    <w:rsid w:val="00403492"/>
    <w:rsid w:val="0040356C"/>
    <w:rsid w:val="00403DD7"/>
    <w:rsid w:val="0040407C"/>
    <w:rsid w:val="004041FC"/>
    <w:rsid w:val="004043FB"/>
    <w:rsid w:val="0040479A"/>
    <w:rsid w:val="00404975"/>
    <w:rsid w:val="004049F8"/>
    <w:rsid w:val="00404C0C"/>
    <w:rsid w:val="00404E14"/>
    <w:rsid w:val="00404FB8"/>
    <w:rsid w:val="004050E7"/>
    <w:rsid w:val="004052F2"/>
    <w:rsid w:val="004059A2"/>
    <w:rsid w:val="00405A62"/>
    <w:rsid w:val="00405B1C"/>
    <w:rsid w:val="00405E30"/>
    <w:rsid w:val="004062C8"/>
    <w:rsid w:val="004065DA"/>
    <w:rsid w:val="00406965"/>
    <w:rsid w:val="00406C28"/>
    <w:rsid w:val="00407042"/>
    <w:rsid w:val="00407165"/>
    <w:rsid w:val="004073C0"/>
    <w:rsid w:val="00407733"/>
    <w:rsid w:val="00407D4E"/>
    <w:rsid w:val="00407E11"/>
    <w:rsid w:val="00407E61"/>
    <w:rsid w:val="00410063"/>
    <w:rsid w:val="004100A0"/>
    <w:rsid w:val="00410367"/>
    <w:rsid w:val="00411329"/>
    <w:rsid w:val="00411572"/>
    <w:rsid w:val="00411726"/>
    <w:rsid w:val="00411A27"/>
    <w:rsid w:val="0041216A"/>
    <w:rsid w:val="00412699"/>
    <w:rsid w:val="00412C3E"/>
    <w:rsid w:val="00412FBE"/>
    <w:rsid w:val="0041354E"/>
    <w:rsid w:val="004136FA"/>
    <w:rsid w:val="0041379C"/>
    <w:rsid w:val="004137B6"/>
    <w:rsid w:val="0041382C"/>
    <w:rsid w:val="00413CEE"/>
    <w:rsid w:val="004140B9"/>
    <w:rsid w:val="004141A1"/>
    <w:rsid w:val="004142F9"/>
    <w:rsid w:val="004143C7"/>
    <w:rsid w:val="00414B7C"/>
    <w:rsid w:val="00414E42"/>
    <w:rsid w:val="004154F3"/>
    <w:rsid w:val="004157FD"/>
    <w:rsid w:val="00415826"/>
    <w:rsid w:val="00415DD2"/>
    <w:rsid w:val="0041606A"/>
    <w:rsid w:val="00416232"/>
    <w:rsid w:val="0041642C"/>
    <w:rsid w:val="004168A8"/>
    <w:rsid w:val="00417026"/>
    <w:rsid w:val="004173F4"/>
    <w:rsid w:val="00417410"/>
    <w:rsid w:val="0041752E"/>
    <w:rsid w:val="00417561"/>
    <w:rsid w:val="004179CB"/>
    <w:rsid w:val="004179F0"/>
    <w:rsid w:val="00417A9A"/>
    <w:rsid w:val="00417E1F"/>
    <w:rsid w:val="00420541"/>
    <w:rsid w:val="004206E1"/>
    <w:rsid w:val="00420B86"/>
    <w:rsid w:val="004214D6"/>
    <w:rsid w:val="00421551"/>
    <w:rsid w:val="0042159F"/>
    <w:rsid w:val="00421774"/>
    <w:rsid w:val="00422073"/>
    <w:rsid w:val="004221D8"/>
    <w:rsid w:val="0042227A"/>
    <w:rsid w:val="00422299"/>
    <w:rsid w:val="004224C1"/>
    <w:rsid w:val="00422ED1"/>
    <w:rsid w:val="004237DD"/>
    <w:rsid w:val="004238AD"/>
    <w:rsid w:val="00423D5B"/>
    <w:rsid w:val="0042453E"/>
    <w:rsid w:val="004246F0"/>
    <w:rsid w:val="00424727"/>
    <w:rsid w:val="00424B5C"/>
    <w:rsid w:val="00425069"/>
    <w:rsid w:val="004252EE"/>
    <w:rsid w:val="00425331"/>
    <w:rsid w:val="00425659"/>
    <w:rsid w:val="00425F49"/>
    <w:rsid w:val="00425FE0"/>
    <w:rsid w:val="004261A2"/>
    <w:rsid w:val="0042633B"/>
    <w:rsid w:val="004266D9"/>
    <w:rsid w:val="00426C4C"/>
    <w:rsid w:val="00426D28"/>
    <w:rsid w:val="00426EE1"/>
    <w:rsid w:val="00427004"/>
    <w:rsid w:val="0042708A"/>
    <w:rsid w:val="004270B1"/>
    <w:rsid w:val="00427135"/>
    <w:rsid w:val="00427150"/>
    <w:rsid w:val="00427D23"/>
    <w:rsid w:val="00427F19"/>
    <w:rsid w:val="00427F38"/>
    <w:rsid w:val="004300D4"/>
    <w:rsid w:val="004303C0"/>
    <w:rsid w:val="00430CE5"/>
    <w:rsid w:val="00430DB9"/>
    <w:rsid w:val="00431A7C"/>
    <w:rsid w:val="00431D32"/>
    <w:rsid w:val="00431DD6"/>
    <w:rsid w:val="00432280"/>
    <w:rsid w:val="0043231C"/>
    <w:rsid w:val="004327EA"/>
    <w:rsid w:val="00432831"/>
    <w:rsid w:val="00432E7F"/>
    <w:rsid w:val="00432F0F"/>
    <w:rsid w:val="004332C0"/>
    <w:rsid w:val="00433395"/>
    <w:rsid w:val="004337C5"/>
    <w:rsid w:val="004337DA"/>
    <w:rsid w:val="004338B0"/>
    <w:rsid w:val="004338F3"/>
    <w:rsid w:val="00433B6F"/>
    <w:rsid w:val="00433D6F"/>
    <w:rsid w:val="00434023"/>
    <w:rsid w:val="004347AE"/>
    <w:rsid w:val="0043487C"/>
    <w:rsid w:val="0043492F"/>
    <w:rsid w:val="00434A4D"/>
    <w:rsid w:val="00434A84"/>
    <w:rsid w:val="0043550E"/>
    <w:rsid w:val="0043594B"/>
    <w:rsid w:val="00435B5F"/>
    <w:rsid w:val="00435D3D"/>
    <w:rsid w:val="00435DAC"/>
    <w:rsid w:val="00436045"/>
    <w:rsid w:val="00436694"/>
    <w:rsid w:val="00436865"/>
    <w:rsid w:val="00436E9A"/>
    <w:rsid w:val="00437197"/>
    <w:rsid w:val="00437523"/>
    <w:rsid w:val="004379AF"/>
    <w:rsid w:val="00437A30"/>
    <w:rsid w:val="00437AC8"/>
    <w:rsid w:val="00437B07"/>
    <w:rsid w:val="00437B6A"/>
    <w:rsid w:val="00437EDA"/>
    <w:rsid w:val="00437FEE"/>
    <w:rsid w:val="004412AF"/>
    <w:rsid w:val="00441ACB"/>
    <w:rsid w:val="00441B73"/>
    <w:rsid w:val="00441C4C"/>
    <w:rsid w:val="00442357"/>
    <w:rsid w:val="004423EE"/>
    <w:rsid w:val="0044248A"/>
    <w:rsid w:val="00442ADF"/>
    <w:rsid w:val="00442D44"/>
    <w:rsid w:val="004431CD"/>
    <w:rsid w:val="00443579"/>
    <w:rsid w:val="004435CD"/>
    <w:rsid w:val="004438D4"/>
    <w:rsid w:val="00443DE0"/>
    <w:rsid w:val="00443E5F"/>
    <w:rsid w:val="00443F5F"/>
    <w:rsid w:val="00444394"/>
    <w:rsid w:val="0044445D"/>
    <w:rsid w:val="00444F87"/>
    <w:rsid w:val="00445174"/>
    <w:rsid w:val="00445197"/>
    <w:rsid w:val="004454BF"/>
    <w:rsid w:val="004458A2"/>
    <w:rsid w:val="00445B5D"/>
    <w:rsid w:val="00445C76"/>
    <w:rsid w:val="0044610A"/>
    <w:rsid w:val="0044645C"/>
    <w:rsid w:val="0044680A"/>
    <w:rsid w:val="004469DC"/>
    <w:rsid w:val="0044709E"/>
    <w:rsid w:val="004471F6"/>
    <w:rsid w:val="004473B7"/>
    <w:rsid w:val="00447695"/>
    <w:rsid w:val="00447860"/>
    <w:rsid w:val="00447A7E"/>
    <w:rsid w:val="004504F9"/>
    <w:rsid w:val="00450878"/>
    <w:rsid w:val="00450965"/>
    <w:rsid w:val="0045104A"/>
    <w:rsid w:val="004510B7"/>
    <w:rsid w:val="00451140"/>
    <w:rsid w:val="00451165"/>
    <w:rsid w:val="004516DE"/>
    <w:rsid w:val="00451DB4"/>
    <w:rsid w:val="00451FC8"/>
    <w:rsid w:val="00452073"/>
    <w:rsid w:val="004522C6"/>
    <w:rsid w:val="004522F1"/>
    <w:rsid w:val="00452457"/>
    <w:rsid w:val="0045280A"/>
    <w:rsid w:val="004529BA"/>
    <w:rsid w:val="00452A4B"/>
    <w:rsid w:val="00452CFF"/>
    <w:rsid w:val="0045346E"/>
    <w:rsid w:val="00453721"/>
    <w:rsid w:val="004543C1"/>
    <w:rsid w:val="00454451"/>
    <w:rsid w:val="0045451B"/>
    <w:rsid w:val="004545C7"/>
    <w:rsid w:val="00455095"/>
    <w:rsid w:val="00455274"/>
    <w:rsid w:val="004552F8"/>
    <w:rsid w:val="004553E8"/>
    <w:rsid w:val="00455951"/>
    <w:rsid w:val="0045656D"/>
    <w:rsid w:val="0045670F"/>
    <w:rsid w:val="00456AC0"/>
    <w:rsid w:val="00456C2C"/>
    <w:rsid w:val="00456F29"/>
    <w:rsid w:val="0045760D"/>
    <w:rsid w:val="00457825"/>
    <w:rsid w:val="00457851"/>
    <w:rsid w:val="00457F3A"/>
    <w:rsid w:val="00457F7B"/>
    <w:rsid w:val="00460090"/>
    <w:rsid w:val="00460347"/>
    <w:rsid w:val="00460677"/>
    <w:rsid w:val="0046080F"/>
    <w:rsid w:val="00460CBF"/>
    <w:rsid w:val="00461579"/>
    <w:rsid w:val="004618E2"/>
    <w:rsid w:val="0046192F"/>
    <w:rsid w:val="00461DAD"/>
    <w:rsid w:val="004620D5"/>
    <w:rsid w:val="00462812"/>
    <w:rsid w:val="00462C75"/>
    <w:rsid w:val="00462E6A"/>
    <w:rsid w:val="0046314B"/>
    <w:rsid w:val="004631B0"/>
    <w:rsid w:val="00463376"/>
    <w:rsid w:val="00463564"/>
    <w:rsid w:val="00463AC9"/>
    <w:rsid w:val="00463F20"/>
    <w:rsid w:val="00464861"/>
    <w:rsid w:val="004649CF"/>
    <w:rsid w:val="00465012"/>
    <w:rsid w:val="004653F2"/>
    <w:rsid w:val="004658A9"/>
    <w:rsid w:val="00465C62"/>
    <w:rsid w:val="00465D31"/>
    <w:rsid w:val="00465DAA"/>
    <w:rsid w:val="0046647B"/>
    <w:rsid w:val="004668C7"/>
    <w:rsid w:val="00466AED"/>
    <w:rsid w:val="00466BED"/>
    <w:rsid w:val="00466D5E"/>
    <w:rsid w:val="0046715C"/>
    <w:rsid w:val="00467295"/>
    <w:rsid w:val="00467E78"/>
    <w:rsid w:val="004702C9"/>
    <w:rsid w:val="0047032C"/>
    <w:rsid w:val="00470557"/>
    <w:rsid w:val="0047079E"/>
    <w:rsid w:val="004709B2"/>
    <w:rsid w:val="0047133C"/>
    <w:rsid w:val="004714CC"/>
    <w:rsid w:val="004717E0"/>
    <w:rsid w:val="00471841"/>
    <w:rsid w:val="004718E9"/>
    <w:rsid w:val="00471A81"/>
    <w:rsid w:val="00471D03"/>
    <w:rsid w:val="00472267"/>
    <w:rsid w:val="0047256D"/>
    <w:rsid w:val="004728D1"/>
    <w:rsid w:val="00472C0E"/>
    <w:rsid w:val="00472C1E"/>
    <w:rsid w:val="00472CC2"/>
    <w:rsid w:val="00473492"/>
    <w:rsid w:val="00473726"/>
    <w:rsid w:val="00473E83"/>
    <w:rsid w:val="00474C93"/>
    <w:rsid w:val="00474EA2"/>
    <w:rsid w:val="00474F14"/>
    <w:rsid w:val="004752B7"/>
    <w:rsid w:val="004754B6"/>
    <w:rsid w:val="00475621"/>
    <w:rsid w:val="004759FD"/>
    <w:rsid w:val="00475F31"/>
    <w:rsid w:val="0047601B"/>
    <w:rsid w:val="0047602D"/>
    <w:rsid w:val="004760C1"/>
    <w:rsid w:val="004760F0"/>
    <w:rsid w:val="00476389"/>
    <w:rsid w:val="00476674"/>
    <w:rsid w:val="004772C6"/>
    <w:rsid w:val="004773D7"/>
    <w:rsid w:val="0047759E"/>
    <w:rsid w:val="00477745"/>
    <w:rsid w:val="00477E94"/>
    <w:rsid w:val="00480258"/>
    <w:rsid w:val="004802CD"/>
    <w:rsid w:val="00481254"/>
    <w:rsid w:val="004813D5"/>
    <w:rsid w:val="00481416"/>
    <w:rsid w:val="004819FA"/>
    <w:rsid w:val="004821AE"/>
    <w:rsid w:val="004821B0"/>
    <w:rsid w:val="0048239E"/>
    <w:rsid w:val="00482823"/>
    <w:rsid w:val="00482ACA"/>
    <w:rsid w:val="0048308F"/>
    <w:rsid w:val="00483462"/>
    <w:rsid w:val="00483D47"/>
    <w:rsid w:val="00483FA6"/>
    <w:rsid w:val="00484FEA"/>
    <w:rsid w:val="004860D2"/>
    <w:rsid w:val="004860E4"/>
    <w:rsid w:val="00486210"/>
    <w:rsid w:val="00486969"/>
    <w:rsid w:val="00486A65"/>
    <w:rsid w:val="00486CC4"/>
    <w:rsid w:val="00487171"/>
    <w:rsid w:val="00487782"/>
    <w:rsid w:val="00487784"/>
    <w:rsid w:val="00487E30"/>
    <w:rsid w:val="00490E96"/>
    <w:rsid w:val="00490F70"/>
    <w:rsid w:val="00490F82"/>
    <w:rsid w:val="0049114D"/>
    <w:rsid w:val="0049122E"/>
    <w:rsid w:val="0049136D"/>
    <w:rsid w:val="00491411"/>
    <w:rsid w:val="00491456"/>
    <w:rsid w:val="004921A3"/>
    <w:rsid w:val="0049270D"/>
    <w:rsid w:val="0049324A"/>
    <w:rsid w:val="00493929"/>
    <w:rsid w:val="004939DD"/>
    <w:rsid w:val="00493D29"/>
    <w:rsid w:val="00493DD9"/>
    <w:rsid w:val="004943EC"/>
    <w:rsid w:val="0049447A"/>
    <w:rsid w:val="00494740"/>
    <w:rsid w:val="00494C18"/>
    <w:rsid w:val="004955AC"/>
    <w:rsid w:val="00495CC3"/>
    <w:rsid w:val="00495D2B"/>
    <w:rsid w:val="00495DAE"/>
    <w:rsid w:val="00495F48"/>
    <w:rsid w:val="00496402"/>
    <w:rsid w:val="00496A47"/>
    <w:rsid w:val="00496D1D"/>
    <w:rsid w:val="00496D3D"/>
    <w:rsid w:val="00496DAC"/>
    <w:rsid w:val="00496EA3"/>
    <w:rsid w:val="00496FB0"/>
    <w:rsid w:val="004973E0"/>
    <w:rsid w:val="004A041C"/>
    <w:rsid w:val="004A06BB"/>
    <w:rsid w:val="004A0AC5"/>
    <w:rsid w:val="004A0D2E"/>
    <w:rsid w:val="004A0DD7"/>
    <w:rsid w:val="004A1427"/>
    <w:rsid w:val="004A1A93"/>
    <w:rsid w:val="004A1E6F"/>
    <w:rsid w:val="004A1F31"/>
    <w:rsid w:val="004A201C"/>
    <w:rsid w:val="004A24EB"/>
    <w:rsid w:val="004A2681"/>
    <w:rsid w:val="004A291F"/>
    <w:rsid w:val="004A29B6"/>
    <w:rsid w:val="004A2CAC"/>
    <w:rsid w:val="004A317C"/>
    <w:rsid w:val="004A32B3"/>
    <w:rsid w:val="004A3497"/>
    <w:rsid w:val="004A35FC"/>
    <w:rsid w:val="004A36ED"/>
    <w:rsid w:val="004A37B7"/>
    <w:rsid w:val="004A3BB5"/>
    <w:rsid w:val="004A3BDD"/>
    <w:rsid w:val="004A3DED"/>
    <w:rsid w:val="004A411B"/>
    <w:rsid w:val="004A4369"/>
    <w:rsid w:val="004A4685"/>
    <w:rsid w:val="004A4B35"/>
    <w:rsid w:val="004A4EF2"/>
    <w:rsid w:val="004A57AD"/>
    <w:rsid w:val="004A5C59"/>
    <w:rsid w:val="004A62E5"/>
    <w:rsid w:val="004A6325"/>
    <w:rsid w:val="004A6503"/>
    <w:rsid w:val="004A7442"/>
    <w:rsid w:val="004A7A57"/>
    <w:rsid w:val="004A7D95"/>
    <w:rsid w:val="004B02A3"/>
    <w:rsid w:val="004B040A"/>
    <w:rsid w:val="004B0FD1"/>
    <w:rsid w:val="004B14C7"/>
    <w:rsid w:val="004B17AA"/>
    <w:rsid w:val="004B24FB"/>
    <w:rsid w:val="004B26EC"/>
    <w:rsid w:val="004B2911"/>
    <w:rsid w:val="004B2CCB"/>
    <w:rsid w:val="004B2F5D"/>
    <w:rsid w:val="004B2FF3"/>
    <w:rsid w:val="004B307B"/>
    <w:rsid w:val="004B3109"/>
    <w:rsid w:val="004B32E7"/>
    <w:rsid w:val="004B4499"/>
    <w:rsid w:val="004B4705"/>
    <w:rsid w:val="004B478D"/>
    <w:rsid w:val="004B47D6"/>
    <w:rsid w:val="004B4BB5"/>
    <w:rsid w:val="004B4E6D"/>
    <w:rsid w:val="004B4E6F"/>
    <w:rsid w:val="004B4F44"/>
    <w:rsid w:val="004B52DC"/>
    <w:rsid w:val="004B567C"/>
    <w:rsid w:val="004B5B9B"/>
    <w:rsid w:val="004B5F18"/>
    <w:rsid w:val="004B6064"/>
    <w:rsid w:val="004B6743"/>
    <w:rsid w:val="004B6A83"/>
    <w:rsid w:val="004B70D7"/>
    <w:rsid w:val="004B75F2"/>
    <w:rsid w:val="004B78F7"/>
    <w:rsid w:val="004B7D77"/>
    <w:rsid w:val="004C0288"/>
    <w:rsid w:val="004C044E"/>
    <w:rsid w:val="004C05B1"/>
    <w:rsid w:val="004C0C5F"/>
    <w:rsid w:val="004C0EF0"/>
    <w:rsid w:val="004C0F18"/>
    <w:rsid w:val="004C1216"/>
    <w:rsid w:val="004C156E"/>
    <w:rsid w:val="004C1A6E"/>
    <w:rsid w:val="004C2031"/>
    <w:rsid w:val="004C2055"/>
    <w:rsid w:val="004C2478"/>
    <w:rsid w:val="004C29AB"/>
    <w:rsid w:val="004C2B3C"/>
    <w:rsid w:val="004C2C64"/>
    <w:rsid w:val="004C3159"/>
    <w:rsid w:val="004C3382"/>
    <w:rsid w:val="004C3384"/>
    <w:rsid w:val="004C352F"/>
    <w:rsid w:val="004C3D20"/>
    <w:rsid w:val="004C3DB2"/>
    <w:rsid w:val="004C440E"/>
    <w:rsid w:val="004C4832"/>
    <w:rsid w:val="004C4AFB"/>
    <w:rsid w:val="004C4C31"/>
    <w:rsid w:val="004C5B63"/>
    <w:rsid w:val="004C5C84"/>
    <w:rsid w:val="004C5EA0"/>
    <w:rsid w:val="004C63B0"/>
    <w:rsid w:val="004C63DE"/>
    <w:rsid w:val="004C6D0E"/>
    <w:rsid w:val="004C6EFC"/>
    <w:rsid w:val="004C75A0"/>
    <w:rsid w:val="004C75C2"/>
    <w:rsid w:val="004C7B88"/>
    <w:rsid w:val="004C7D86"/>
    <w:rsid w:val="004C7DBC"/>
    <w:rsid w:val="004C7EA6"/>
    <w:rsid w:val="004C7EFD"/>
    <w:rsid w:val="004D0151"/>
    <w:rsid w:val="004D0CE6"/>
    <w:rsid w:val="004D1206"/>
    <w:rsid w:val="004D1259"/>
    <w:rsid w:val="004D2042"/>
    <w:rsid w:val="004D20B2"/>
    <w:rsid w:val="004D2511"/>
    <w:rsid w:val="004D2E61"/>
    <w:rsid w:val="004D3660"/>
    <w:rsid w:val="004D3757"/>
    <w:rsid w:val="004D3893"/>
    <w:rsid w:val="004D3B66"/>
    <w:rsid w:val="004D3FB1"/>
    <w:rsid w:val="004D40B1"/>
    <w:rsid w:val="004D463F"/>
    <w:rsid w:val="004D4866"/>
    <w:rsid w:val="004D4B19"/>
    <w:rsid w:val="004D5048"/>
    <w:rsid w:val="004D5344"/>
    <w:rsid w:val="004D5523"/>
    <w:rsid w:val="004D6039"/>
    <w:rsid w:val="004D6387"/>
    <w:rsid w:val="004D6680"/>
    <w:rsid w:val="004D67A5"/>
    <w:rsid w:val="004D6ACD"/>
    <w:rsid w:val="004D6D4E"/>
    <w:rsid w:val="004D71D4"/>
    <w:rsid w:val="004D767E"/>
    <w:rsid w:val="004D78DC"/>
    <w:rsid w:val="004D7FEF"/>
    <w:rsid w:val="004E0667"/>
    <w:rsid w:val="004E073D"/>
    <w:rsid w:val="004E0928"/>
    <w:rsid w:val="004E0B74"/>
    <w:rsid w:val="004E0D69"/>
    <w:rsid w:val="004E0E95"/>
    <w:rsid w:val="004E0F69"/>
    <w:rsid w:val="004E0FCC"/>
    <w:rsid w:val="004E11DB"/>
    <w:rsid w:val="004E1673"/>
    <w:rsid w:val="004E19EE"/>
    <w:rsid w:val="004E1C79"/>
    <w:rsid w:val="004E1FCB"/>
    <w:rsid w:val="004E24F6"/>
    <w:rsid w:val="004E2A41"/>
    <w:rsid w:val="004E2B81"/>
    <w:rsid w:val="004E2DDF"/>
    <w:rsid w:val="004E3024"/>
    <w:rsid w:val="004E31A6"/>
    <w:rsid w:val="004E3450"/>
    <w:rsid w:val="004E37D2"/>
    <w:rsid w:val="004E3A45"/>
    <w:rsid w:val="004E3E9F"/>
    <w:rsid w:val="004E3FEB"/>
    <w:rsid w:val="004E425A"/>
    <w:rsid w:val="004E45D6"/>
    <w:rsid w:val="004E49D2"/>
    <w:rsid w:val="004E4B89"/>
    <w:rsid w:val="004E4BA2"/>
    <w:rsid w:val="004E4EAE"/>
    <w:rsid w:val="004E53D7"/>
    <w:rsid w:val="004E558F"/>
    <w:rsid w:val="004E591A"/>
    <w:rsid w:val="004E594C"/>
    <w:rsid w:val="004E59FD"/>
    <w:rsid w:val="004E5CEF"/>
    <w:rsid w:val="004E5E90"/>
    <w:rsid w:val="004E5EBB"/>
    <w:rsid w:val="004E620C"/>
    <w:rsid w:val="004E6F98"/>
    <w:rsid w:val="004F022C"/>
    <w:rsid w:val="004F0C86"/>
    <w:rsid w:val="004F0DD2"/>
    <w:rsid w:val="004F1074"/>
    <w:rsid w:val="004F141A"/>
    <w:rsid w:val="004F2062"/>
    <w:rsid w:val="004F20FE"/>
    <w:rsid w:val="004F2126"/>
    <w:rsid w:val="004F2616"/>
    <w:rsid w:val="004F2907"/>
    <w:rsid w:val="004F29F0"/>
    <w:rsid w:val="004F2B51"/>
    <w:rsid w:val="004F34A5"/>
    <w:rsid w:val="004F34C9"/>
    <w:rsid w:val="004F34F8"/>
    <w:rsid w:val="004F35D7"/>
    <w:rsid w:val="004F3945"/>
    <w:rsid w:val="004F3F69"/>
    <w:rsid w:val="004F4076"/>
    <w:rsid w:val="004F4434"/>
    <w:rsid w:val="004F44CA"/>
    <w:rsid w:val="004F4AA7"/>
    <w:rsid w:val="004F4AC0"/>
    <w:rsid w:val="004F4C1E"/>
    <w:rsid w:val="004F565F"/>
    <w:rsid w:val="004F5675"/>
    <w:rsid w:val="004F571D"/>
    <w:rsid w:val="004F5A2A"/>
    <w:rsid w:val="004F5A48"/>
    <w:rsid w:val="004F5B4C"/>
    <w:rsid w:val="004F5D49"/>
    <w:rsid w:val="004F5D5F"/>
    <w:rsid w:val="004F5E4C"/>
    <w:rsid w:val="004F6017"/>
    <w:rsid w:val="004F6FD9"/>
    <w:rsid w:val="004F72E2"/>
    <w:rsid w:val="004F78D5"/>
    <w:rsid w:val="004F7985"/>
    <w:rsid w:val="004F7D41"/>
    <w:rsid w:val="004F7F32"/>
    <w:rsid w:val="00500200"/>
    <w:rsid w:val="00500268"/>
    <w:rsid w:val="005006F0"/>
    <w:rsid w:val="0050080A"/>
    <w:rsid w:val="00500900"/>
    <w:rsid w:val="0050090A"/>
    <w:rsid w:val="00500CBD"/>
    <w:rsid w:val="00501065"/>
    <w:rsid w:val="00501657"/>
    <w:rsid w:val="005016DB"/>
    <w:rsid w:val="00501789"/>
    <w:rsid w:val="00501AE7"/>
    <w:rsid w:val="00501B2C"/>
    <w:rsid w:val="00501E1C"/>
    <w:rsid w:val="005028B1"/>
    <w:rsid w:val="005029FB"/>
    <w:rsid w:val="00502DDD"/>
    <w:rsid w:val="005031E2"/>
    <w:rsid w:val="00503464"/>
    <w:rsid w:val="00503A86"/>
    <w:rsid w:val="00503D25"/>
    <w:rsid w:val="00503D77"/>
    <w:rsid w:val="0050475C"/>
    <w:rsid w:val="0050527F"/>
    <w:rsid w:val="00505459"/>
    <w:rsid w:val="00505B78"/>
    <w:rsid w:val="00505C08"/>
    <w:rsid w:val="00505F83"/>
    <w:rsid w:val="005061F5"/>
    <w:rsid w:val="005064A7"/>
    <w:rsid w:val="00506622"/>
    <w:rsid w:val="00506C2D"/>
    <w:rsid w:val="00506D3F"/>
    <w:rsid w:val="00506EA4"/>
    <w:rsid w:val="0050722E"/>
    <w:rsid w:val="00507236"/>
    <w:rsid w:val="0050723F"/>
    <w:rsid w:val="00507A11"/>
    <w:rsid w:val="00507D51"/>
    <w:rsid w:val="005100AA"/>
    <w:rsid w:val="00510AE8"/>
    <w:rsid w:val="00510CC5"/>
    <w:rsid w:val="0051126B"/>
    <w:rsid w:val="00511286"/>
    <w:rsid w:val="005114E9"/>
    <w:rsid w:val="005115C2"/>
    <w:rsid w:val="00511667"/>
    <w:rsid w:val="0051195F"/>
    <w:rsid w:val="00511B0C"/>
    <w:rsid w:val="00511D6B"/>
    <w:rsid w:val="00511E8D"/>
    <w:rsid w:val="00511FF3"/>
    <w:rsid w:val="0051209E"/>
    <w:rsid w:val="005121D4"/>
    <w:rsid w:val="00512436"/>
    <w:rsid w:val="005125C0"/>
    <w:rsid w:val="00512605"/>
    <w:rsid w:val="00513654"/>
    <w:rsid w:val="005136B3"/>
    <w:rsid w:val="00513C59"/>
    <w:rsid w:val="00513F60"/>
    <w:rsid w:val="0051419E"/>
    <w:rsid w:val="005147DA"/>
    <w:rsid w:val="005147E6"/>
    <w:rsid w:val="005148BE"/>
    <w:rsid w:val="00514CDC"/>
    <w:rsid w:val="00514D8B"/>
    <w:rsid w:val="0051556D"/>
    <w:rsid w:val="00515948"/>
    <w:rsid w:val="005159A4"/>
    <w:rsid w:val="00515C1E"/>
    <w:rsid w:val="00516676"/>
    <w:rsid w:val="00516A7F"/>
    <w:rsid w:val="00516E6C"/>
    <w:rsid w:val="00516F26"/>
    <w:rsid w:val="005173F3"/>
    <w:rsid w:val="00517894"/>
    <w:rsid w:val="00517A77"/>
    <w:rsid w:val="00517ABF"/>
    <w:rsid w:val="00517B69"/>
    <w:rsid w:val="00517DA6"/>
    <w:rsid w:val="00517E55"/>
    <w:rsid w:val="00517EF4"/>
    <w:rsid w:val="00520A17"/>
    <w:rsid w:val="00520E4B"/>
    <w:rsid w:val="005211BA"/>
    <w:rsid w:val="00521297"/>
    <w:rsid w:val="005213FB"/>
    <w:rsid w:val="00521658"/>
    <w:rsid w:val="00521960"/>
    <w:rsid w:val="005219C8"/>
    <w:rsid w:val="00521FB4"/>
    <w:rsid w:val="00522AE6"/>
    <w:rsid w:val="00522EB7"/>
    <w:rsid w:val="0052324E"/>
    <w:rsid w:val="00523467"/>
    <w:rsid w:val="005237E3"/>
    <w:rsid w:val="005237FE"/>
    <w:rsid w:val="00523C7E"/>
    <w:rsid w:val="00523D1B"/>
    <w:rsid w:val="005243D4"/>
    <w:rsid w:val="0052467D"/>
    <w:rsid w:val="00524E83"/>
    <w:rsid w:val="00525420"/>
    <w:rsid w:val="00525831"/>
    <w:rsid w:val="005259C7"/>
    <w:rsid w:val="005259DE"/>
    <w:rsid w:val="00525EB7"/>
    <w:rsid w:val="00526253"/>
    <w:rsid w:val="005264FD"/>
    <w:rsid w:val="00526915"/>
    <w:rsid w:val="00527021"/>
    <w:rsid w:val="0052724A"/>
    <w:rsid w:val="005272B0"/>
    <w:rsid w:val="00527560"/>
    <w:rsid w:val="0052767B"/>
    <w:rsid w:val="0053029E"/>
    <w:rsid w:val="005302D5"/>
    <w:rsid w:val="00530471"/>
    <w:rsid w:val="005306DE"/>
    <w:rsid w:val="00530760"/>
    <w:rsid w:val="005308F6"/>
    <w:rsid w:val="005309D2"/>
    <w:rsid w:val="00530A4C"/>
    <w:rsid w:val="00530D64"/>
    <w:rsid w:val="00531135"/>
    <w:rsid w:val="005315AC"/>
    <w:rsid w:val="0053160E"/>
    <w:rsid w:val="00531E60"/>
    <w:rsid w:val="00531FC8"/>
    <w:rsid w:val="0053245A"/>
    <w:rsid w:val="005330B0"/>
    <w:rsid w:val="005333C9"/>
    <w:rsid w:val="0053349D"/>
    <w:rsid w:val="0053351B"/>
    <w:rsid w:val="005335F8"/>
    <w:rsid w:val="00533A77"/>
    <w:rsid w:val="00533CBA"/>
    <w:rsid w:val="0053448A"/>
    <w:rsid w:val="00534BE7"/>
    <w:rsid w:val="00534DFD"/>
    <w:rsid w:val="0053519C"/>
    <w:rsid w:val="005353C5"/>
    <w:rsid w:val="005356C0"/>
    <w:rsid w:val="005359A0"/>
    <w:rsid w:val="00535A2E"/>
    <w:rsid w:val="00535A8F"/>
    <w:rsid w:val="00535D3D"/>
    <w:rsid w:val="005361F9"/>
    <w:rsid w:val="0053625C"/>
    <w:rsid w:val="0053646A"/>
    <w:rsid w:val="005364C4"/>
    <w:rsid w:val="00536603"/>
    <w:rsid w:val="00536709"/>
    <w:rsid w:val="0053693B"/>
    <w:rsid w:val="005369D6"/>
    <w:rsid w:val="00536A79"/>
    <w:rsid w:val="00536D2C"/>
    <w:rsid w:val="00537056"/>
    <w:rsid w:val="0053737A"/>
    <w:rsid w:val="0053770D"/>
    <w:rsid w:val="005379B3"/>
    <w:rsid w:val="0054000C"/>
    <w:rsid w:val="00540212"/>
    <w:rsid w:val="00540D72"/>
    <w:rsid w:val="0054116E"/>
    <w:rsid w:val="0054153D"/>
    <w:rsid w:val="00541BBD"/>
    <w:rsid w:val="00541E54"/>
    <w:rsid w:val="00542074"/>
    <w:rsid w:val="005424CF"/>
    <w:rsid w:val="005428DA"/>
    <w:rsid w:val="00542CC8"/>
    <w:rsid w:val="00543387"/>
    <w:rsid w:val="00543E87"/>
    <w:rsid w:val="00544255"/>
    <w:rsid w:val="005449AD"/>
    <w:rsid w:val="00544ACB"/>
    <w:rsid w:val="00544C45"/>
    <w:rsid w:val="005450D2"/>
    <w:rsid w:val="00545140"/>
    <w:rsid w:val="005458D9"/>
    <w:rsid w:val="00545AFA"/>
    <w:rsid w:val="00545B2F"/>
    <w:rsid w:val="00545CCC"/>
    <w:rsid w:val="00545F57"/>
    <w:rsid w:val="005462F3"/>
    <w:rsid w:val="00546382"/>
    <w:rsid w:val="0054672C"/>
    <w:rsid w:val="005468C5"/>
    <w:rsid w:val="0054691A"/>
    <w:rsid w:val="00546AC3"/>
    <w:rsid w:val="00546C81"/>
    <w:rsid w:val="00546F37"/>
    <w:rsid w:val="0054731C"/>
    <w:rsid w:val="005479E0"/>
    <w:rsid w:val="005501EA"/>
    <w:rsid w:val="005508A0"/>
    <w:rsid w:val="005508F2"/>
    <w:rsid w:val="005509FD"/>
    <w:rsid w:val="00550B01"/>
    <w:rsid w:val="00550D96"/>
    <w:rsid w:val="00550E79"/>
    <w:rsid w:val="00550E93"/>
    <w:rsid w:val="005511C6"/>
    <w:rsid w:val="00551262"/>
    <w:rsid w:val="005516DB"/>
    <w:rsid w:val="00551E31"/>
    <w:rsid w:val="00551F81"/>
    <w:rsid w:val="005528D6"/>
    <w:rsid w:val="005534EE"/>
    <w:rsid w:val="00553795"/>
    <w:rsid w:val="00553915"/>
    <w:rsid w:val="00553A1A"/>
    <w:rsid w:val="005541B4"/>
    <w:rsid w:val="00555164"/>
    <w:rsid w:val="00555773"/>
    <w:rsid w:val="005557CF"/>
    <w:rsid w:val="005557FC"/>
    <w:rsid w:val="00555918"/>
    <w:rsid w:val="00555A20"/>
    <w:rsid w:val="00555AD9"/>
    <w:rsid w:val="005568FD"/>
    <w:rsid w:val="005569DE"/>
    <w:rsid w:val="00556B4D"/>
    <w:rsid w:val="0055701A"/>
    <w:rsid w:val="00557312"/>
    <w:rsid w:val="0055745A"/>
    <w:rsid w:val="00557AC5"/>
    <w:rsid w:val="00560215"/>
    <w:rsid w:val="00560998"/>
    <w:rsid w:val="00560AC8"/>
    <w:rsid w:val="00560E56"/>
    <w:rsid w:val="00561018"/>
    <w:rsid w:val="0056104E"/>
    <w:rsid w:val="005610BD"/>
    <w:rsid w:val="00561255"/>
    <w:rsid w:val="0056187D"/>
    <w:rsid w:val="00561B5B"/>
    <w:rsid w:val="00561E88"/>
    <w:rsid w:val="00561FCA"/>
    <w:rsid w:val="0056246E"/>
    <w:rsid w:val="00562687"/>
    <w:rsid w:val="00563207"/>
    <w:rsid w:val="0056342B"/>
    <w:rsid w:val="00563489"/>
    <w:rsid w:val="00563B9F"/>
    <w:rsid w:val="00563BDA"/>
    <w:rsid w:val="00564077"/>
    <w:rsid w:val="00564443"/>
    <w:rsid w:val="00564556"/>
    <w:rsid w:val="00564652"/>
    <w:rsid w:val="005648A9"/>
    <w:rsid w:val="005649CE"/>
    <w:rsid w:val="00564B5B"/>
    <w:rsid w:val="00564C56"/>
    <w:rsid w:val="00564D2D"/>
    <w:rsid w:val="00564D68"/>
    <w:rsid w:val="00564EDC"/>
    <w:rsid w:val="00564F88"/>
    <w:rsid w:val="005651A7"/>
    <w:rsid w:val="0056524B"/>
    <w:rsid w:val="005652D1"/>
    <w:rsid w:val="005653AD"/>
    <w:rsid w:val="00565455"/>
    <w:rsid w:val="00565AC5"/>
    <w:rsid w:val="00565BFE"/>
    <w:rsid w:val="00565D66"/>
    <w:rsid w:val="005661FD"/>
    <w:rsid w:val="0056638E"/>
    <w:rsid w:val="00566591"/>
    <w:rsid w:val="005668EC"/>
    <w:rsid w:val="00566AFC"/>
    <w:rsid w:val="00566E6C"/>
    <w:rsid w:val="00566FC9"/>
    <w:rsid w:val="00567101"/>
    <w:rsid w:val="005674CC"/>
    <w:rsid w:val="005675A7"/>
    <w:rsid w:val="005675CC"/>
    <w:rsid w:val="00567A53"/>
    <w:rsid w:val="00567B89"/>
    <w:rsid w:val="005700BC"/>
    <w:rsid w:val="00570256"/>
    <w:rsid w:val="005705F2"/>
    <w:rsid w:val="005707E5"/>
    <w:rsid w:val="005708B6"/>
    <w:rsid w:val="00570B42"/>
    <w:rsid w:val="00570BBC"/>
    <w:rsid w:val="005710F5"/>
    <w:rsid w:val="0057129D"/>
    <w:rsid w:val="005716D0"/>
    <w:rsid w:val="005718EA"/>
    <w:rsid w:val="005719C0"/>
    <w:rsid w:val="005719C2"/>
    <w:rsid w:val="00571A43"/>
    <w:rsid w:val="00571FD9"/>
    <w:rsid w:val="00572067"/>
    <w:rsid w:val="005725EB"/>
    <w:rsid w:val="00572AD2"/>
    <w:rsid w:val="00572BD9"/>
    <w:rsid w:val="00572DDC"/>
    <w:rsid w:val="0057314F"/>
    <w:rsid w:val="0057319F"/>
    <w:rsid w:val="005731CF"/>
    <w:rsid w:val="00573326"/>
    <w:rsid w:val="00573409"/>
    <w:rsid w:val="0057350A"/>
    <w:rsid w:val="005735D1"/>
    <w:rsid w:val="00573F35"/>
    <w:rsid w:val="0057414F"/>
    <w:rsid w:val="005743E7"/>
    <w:rsid w:val="00574466"/>
    <w:rsid w:val="0057476C"/>
    <w:rsid w:val="005749CC"/>
    <w:rsid w:val="0057574F"/>
    <w:rsid w:val="00575CBF"/>
    <w:rsid w:val="005762C9"/>
    <w:rsid w:val="0057656B"/>
    <w:rsid w:val="00576726"/>
    <w:rsid w:val="0057686D"/>
    <w:rsid w:val="00576D14"/>
    <w:rsid w:val="00576E9B"/>
    <w:rsid w:val="0057728C"/>
    <w:rsid w:val="00577460"/>
    <w:rsid w:val="00577481"/>
    <w:rsid w:val="0057766F"/>
    <w:rsid w:val="00577809"/>
    <w:rsid w:val="00577A74"/>
    <w:rsid w:val="00577C42"/>
    <w:rsid w:val="00577FD2"/>
    <w:rsid w:val="0058068A"/>
    <w:rsid w:val="005806C4"/>
    <w:rsid w:val="0058104B"/>
    <w:rsid w:val="005817BE"/>
    <w:rsid w:val="00581B6D"/>
    <w:rsid w:val="00581C2F"/>
    <w:rsid w:val="00581D6B"/>
    <w:rsid w:val="00581D7D"/>
    <w:rsid w:val="00581F7D"/>
    <w:rsid w:val="00581F9D"/>
    <w:rsid w:val="00582100"/>
    <w:rsid w:val="00582268"/>
    <w:rsid w:val="0058247D"/>
    <w:rsid w:val="005828B9"/>
    <w:rsid w:val="00582C4C"/>
    <w:rsid w:val="0058312D"/>
    <w:rsid w:val="00583349"/>
    <w:rsid w:val="00583376"/>
    <w:rsid w:val="0058348B"/>
    <w:rsid w:val="00583A5D"/>
    <w:rsid w:val="00583C2A"/>
    <w:rsid w:val="00583CEF"/>
    <w:rsid w:val="00583E60"/>
    <w:rsid w:val="00583EFD"/>
    <w:rsid w:val="00583F0F"/>
    <w:rsid w:val="00584232"/>
    <w:rsid w:val="005844F5"/>
    <w:rsid w:val="00584A0F"/>
    <w:rsid w:val="005850F5"/>
    <w:rsid w:val="005852AE"/>
    <w:rsid w:val="005853B9"/>
    <w:rsid w:val="005857C5"/>
    <w:rsid w:val="0058580B"/>
    <w:rsid w:val="00585AEB"/>
    <w:rsid w:val="00585E53"/>
    <w:rsid w:val="00585F3F"/>
    <w:rsid w:val="00585F67"/>
    <w:rsid w:val="0058683F"/>
    <w:rsid w:val="00586A28"/>
    <w:rsid w:val="00586C1F"/>
    <w:rsid w:val="00586C96"/>
    <w:rsid w:val="00586F79"/>
    <w:rsid w:val="00587547"/>
    <w:rsid w:val="00587625"/>
    <w:rsid w:val="00587686"/>
    <w:rsid w:val="0058790F"/>
    <w:rsid w:val="00587A30"/>
    <w:rsid w:val="00587E97"/>
    <w:rsid w:val="00590362"/>
    <w:rsid w:val="00590526"/>
    <w:rsid w:val="00590645"/>
    <w:rsid w:val="005909B1"/>
    <w:rsid w:val="00590B5F"/>
    <w:rsid w:val="00590E63"/>
    <w:rsid w:val="00590EBC"/>
    <w:rsid w:val="00591101"/>
    <w:rsid w:val="00591111"/>
    <w:rsid w:val="00591661"/>
    <w:rsid w:val="005916F1"/>
    <w:rsid w:val="0059182C"/>
    <w:rsid w:val="005918D8"/>
    <w:rsid w:val="00591A8B"/>
    <w:rsid w:val="00591FF3"/>
    <w:rsid w:val="00592206"/>
    <w:rsid w:val="0059220A"/>
    <w:rsid w:val="005922D2"/>
    <w:rsid w:val="005923E6"/>
    <w:rsid w:val="00592D63"/>
    <w:rsid w:val="00592D88"/>
    <w:rsid w:val="00592EE6"/>
    <w:rsid w:val="00593250"/>
    <w:rsid w:val="00593555"/>
    <w:rsid w:val="00593A2C"/>
    <w:rsid w:val="00593CD3"/>
    <w:rsid w:val="00593D68"/>
    <w:rsid w:val="00593D69"/>
    <w:rsid w:val="00594104"/>
    <w:rsid w:val="00594683"/>
    <w:rsid w:val="0059478B"/>
    <w:rsid w:val="0059498C"/>
    <w:rsid w:val="00594A2B"/>
    <w:rsid w:val="00594BD5"/>
    <w:rsid w:val="0059519C"/>
    <w:rsid w:val="00595311"/>
    <w:rsid w:val="00595BE4"/>
    <w:rsid w:val="00595C0B"/>
    <w:rsid w:val="00595E9C"/>
    <w:rsid w:val="0059616B"/>
    <w:rsid w:val="0059631A"/>
    <w:rsid w:val="00596BD5"/>
    <w:rsid w:val="00597B31"/>
    <w:rsid w:val="005A0BC5"/>
    <w:rsid w:val="005A0BEB"/>
    <w:rsid w:val="005A0CC9"/>
    <w:rsid w:val="005A0FD0"/>
    <w:rsid w:val="005A1230"/>
    <w:rsid w:val="005A147A"/>
    <w:rsid w:val="005A1660"/>
    <w:rsid w:val="005A1E75"/>
    <w:rsid w:val="005A2621"/>
    <w:rsid w:val="005A2BAE"/>
    <w:rsid w:val="005A3023"/>
    <w:rsid w:val="005A307A"/>
    <w:rsid w:val="005A324A"/>
    <w:rsid w:val="005A37E1"/>
    <w:rsid w:val="005A3B25"/>
    <w:rsid w:val="005A3C8C"/>
    <w:rsid w:val="005A453D"/>
    <w:rsid w:val="005A45F8"/>
    <w:rsid w:val="005A46B1"/>
    <w:rsid w:val="005A4CDD"/>
    <w:rsid w:val="005A5B22"/>
    <w:rsid w:val="005A5C86"/>
    <w:rsid w:val="005A5DC3"/>
    <w:rsid w:val="005A5E61"/>
    <w:rsid w:val="005A5FE3"/>
    <w:rsid w:val="005A6755"/>
    <w:rsid w:val="005A67C4"/>
    <w:rsid w:val="005A6B53"/>
    <w:rsid w:val="005A6BD3"/>
    <w:rsid w:val="005A6DFA"/>
    <w:rsid w:val="005A6F0C"/>
    <w:rsid w:val="005A7383"/>
    <w:rsid w:val="005A743B"/>
    <w:rsid w:val="005A74A0"/>
    <w:rsid w:val="005A751D"/>
    <w:rsid w:val="005A755A"/>
    <w:rsid w:val="005A7817"/>
    <w:rsid w:val="005A7830"/>
    <w:rsid w:val="005A7A00"/>
    <w:rsid w:val="005B003B"/>
    <w:rsid w:val="005B00A9"/>
    <w:rsid w:val="005B0114"/>
    <w:rsid w:val="005B0283"/>
    <w:rsid w:val="005B0896"/>
    <w:rsid w:val="005B0A3D"/>
    <w:rsid w:val="005B0C92"/>
    <w:rsid w:val="005B12B4"/>
    <w:rsid w:val="005B143F"/>
    <w:rsid w:val="005B192D"/>
    <w:rsid w:val="005B1AB0"/>
    <w:rsid w:val="005B1AD5"/>
    <w:rsid w:val="005B1B5E"/>
    <w:rsid w:val="005B1BAE"/>
    <w:rsid w:val="005B2008"/>
    <w:rsid w:val="005B25EB"/>
    <w:rsid w:val="005B2677"/>
    <w:rsid w:val="005B27C0"/>
    <w:rsid w:val="005B2A76"/>
    <w:rsid w:val="005B31F2"/>
    <w:rsid w:val="005B3647"/>
    <w:rsid w:val="005B3CE9"/>
    <w:rsid w:val="005B3D5D"/>
    <w:rsid w:val="005B4203"/>
    <w:rsid w:val="005B4385"/>
    <w:rsid w:val="005B4426"/>
    <w:rsid w:val="005B488C"/>
    <w:rsid w:val="005B48AD"/>
    <w:rsid w:val="005B4B15"/>
    <w:rsid w:val="005B5569"/>
    <w:rsid w:val="005B59C8"/>
    <w:rsid w:val="005B5B5B"/>
    <w:rsid w:val="005B5BE0"/>
    <w:rsid w:val="005B5E96"/>
    <w:rsid w:val="005B6614"/>
    <w:rsid w:val="005B68BD"/>
    <w:rsid w:val="005B6ADC"/>
    <w:rsid w:val="005B70F2"/>
    <w:rsid w:val="005B72CD"/>
    <w:rsid w:val="005B7480"/>
    <w:rsid w:val="005B74BE"/>
    <w:rsid w:val="005B75C3"/>
    <w:rsid w:val="005B7878"/>
    <w:rsid w:val="005B7BBB"/>
    <w:rsid w:val="005B7EB7"/>
    <w:rsid w:val="005B7F0D"/>
    <w:rsid w:val="005C008E"/>
    <w:rsid w:val="005C07E8"/>
    <w:rsid w:val="005C0966"/>
    <w:rsid w:val="005C0BFE"/>
    <w:rsid w:val="005C1438"/>
    <w:rsid w:val="005C14EC"/>
    <w:rsid w:val="005C15CB"/>
    <w:rsid w:val="005C18BF"/>
    <w:rsid w:val="005C1B29"/>
    <w:rsid w:val="005C1BEB"/>
    <w:rsid w:val="005C1DE3"/>
    <w:rsid w:val="005C27A5"/>
    <w:rsid w:val="005C2C35"/>
    <w:rsid w:val="005C3174"/>
    <w:rsid w:val="005C3177"/>
    <w:rsid w:val="005C33E9"/>
    <w:rsid w:val="005C3FF2"/>
    <w:rsid w:val="005C4661"/>
    <w:rsid w:val="005C4E16"/>
    <w:rsid w:val="005C4F81"/>
    <w:rsid w:val="005C5193"/>
    <w:rsid w:val="005C558F"/>
    <w:rsid w:val="005C5B3D"/>
    <w:rsid w:val="005C62F5"/>
    <w:rsid w:val="005C6DBD"/>
    <w:rsid w:val="005C6E42"/>
    <w:rsid w:val="005C70F1"/>
    <w:rsid w:val="005C767B"/>
    <w:rsid w:val="005C7714"/>
    <w:rsid w:val="005C779F"/>
    <w:rsid w:val="005D020B"/>
    <w:rsid w:val="005D033F"/>
    <w:rsid w:val="005D078F"/>
    <w:rsid w:val="005D0897"/>
    <w:rsid w:val="005D0F94"/>
    <w:rsid w:val="005D12FB"/>
    <w:rsid w:val="005D13DD"/>
    <w:rsid w:val="005D1966"/>
    <w:rsid w:val="005D1A1E"/>
    <w:rsid w:val="005D1DF6"/>
    <w:rsid w:val="005D2542"/>
    <w:rsid w:val="005D2F64"/>
    <w:rsid w:val="005D2F79"/>
    <w:rsid w:val="005D3B35"/>
    <w:rsid w:val="005D4239"/>
    <w:rsid w:val="005D5132"/>
    <w:rsid w:val="005D5228"/>
    <w:rsid w:val="005D5488"/>
    <w:rsid w:val="005D59E2"/>
    <w:rsid w:val="005D5A5D"/>
    <w:rsid w:val="005D5BFC"/>
    <w:rsid w:val="005D5EA8"/>
    <w:rsid w:val="005D617F"/>
    <w:rsid w:val="005D61CB"/>
    <w:rsid w:val="005D62FB"/>
    <w:rsid w:val="005D6E51"/>
    <w:rsid w:val="005D713E"/>
    <w:rsid w:val="005D739B"/>
    <w:rsid w:val="005D74A4"/>
    <w:rsid w:val="005D78DC"/>
    <w:rsid w:val="005E0574"/>
    <w:rsid w:val="005E06F3"/>
    <w:rsid w:val="005E0A36"/>
    <w:rsid w:val="005E0B5D"/>
    <w:rsid w:val="005E11A1"/>
    <w:rsid w:val="005E130D"/>
    <w:rsid w:val="005E1C2F"/>
    <w:rsid w:val="005E1DFB"/>
    <w:rsid w:val="005E2C86"/>
    <w:rsid w:val="005E2F1B"/>
    <w:rsid w:val="005E2F6E"/>
    <w:rsid w:val="005E37EC"/>
    <w:rsid w:val="005E3827"/>
    <w:rsid w:val="005E3A98"/>
    <w:rsid w:val="005E3E19"/>
    <w:rsid w:val="005E41E8"/>
    <w:rsid w:val="005E427D"/>
    <w:rsid w:val="005E4B5F"/>
    <w:rsid w:val="005E4CC1"/>
    <w:rsid w:val="005E4D17"/>
    <w:rsid w:val="005E5703"/>
    <w:rsid w:val="005E5A3F"/>
    <w:rsid w:val="005E5A7B"/>
    <w:rsid w:val="005E5D56"/>
    <w:rsid w:val="005E5EA0"/>
    <w:rsid w:val="005E6238"/>
    <w:rsid w:val="005E63DD"/>
    <w:rsid w:val="005E65EC"/>
    <w:rsid w:val="005E662B"/>
    <w:rsid w:val="005E6886"/>
    <w:rsid w:val="005E6991"/>
    <w:rsid w:val="005E6A3C"/>
    <w:rsid w:val="005E6EE4"/>
    <w:rsid w:val="005E72FD"/>
    <w:rsid w:val="005E7A55"/>
    <w:rsid w:val="005F021C"/>
    <w:rsid w:val="005F0664"/>
    <w:rsid w:val="005F06A8"/>
    <w:rsid w:val="005F092F"/>
    <w:rsid w:val="005F0938"/>
    <w:rsid w:val="005F0A63"/>
    <w:rsid w:val="005F0DF9"/>
    <w:rsid w:val="005F14C8"/>
    <w:rsid w:val="005F1570"/>
    <w:rsid w:val="005F166A"/>
    <w:rsid w:val="005F1FF8"/>
    <w:rsid w:val="005F2B24"/>
    <w:rsid w:val="005F2DEA"/>
    <w:rsid w:val="005F2ED2"/>
    <w:rsid w:val="005F2FF2"/>
    <w:rsid w:val="005F30C1"/>
    <w:rsid w:val="005F342B"/>
    <w:rsid w:val="005F3450"/>
    <w:rsid w:val="005F34F3"/>
    <w:rsid w:val="005F43DA"/>
    <w:rsid w:val="005F4418"/>
    <w:rsid w:val="005F47AB"/>
    <w:rsid w:val="005F4EC0"/>
    <w:rsid w:val="005F56C4"/>
    <w:rsid w:val="005F6578"/>
    <w:rsid w:val="005F65A6"/>
    <w:rsid w:val="005F66C3"/>
    <w:rsid w:val="005F67A4"/>
    <w:rsid w:val="005F6949"/>
    <w:rsid w:val="005F6AA3"/>
    <w:rsid w:val="005F6B4E"/>
    <w:rsid w:val="005F6FFD"/>
    <w:rsid w:val="005F765A"/>
    <w:rsid w:val="005F789F"/>
    <w:rsid w:val="0060000F"/>
    <w:rsid w:val="006003B7"/>
    <w:rsid w:val="006004D8"/>
    <w:rsid w:val="00600C35"/>
    <w:rsid w:val="00600E4F"/>
    <w:rsid w:val="00600FCC"/>
    <w:rsid w:val="00601408"/>
    <w:rsid w:val="0060164A"/>
    <w:rsid w:val="006016A7"/>
    <w:rsid w:val="00601848"/>
    <w:rsid w:val="0060192D"/>
    <w:rsid w:val="00601B34"/>
    <w:rsid w:val="006020A8"/>
    <w:rsid w:val="00602390"/>
    <w:rsid w:val="00602535"/>
    <w:rsid w:val="006028E8"/>
    <w:rsid w:val="00603E59"/>
    <w:rsid w:val="00604017"/>
    <w:rsid w:val="006048E1"/>
    <w:rsid w:val="00604902"/>
    <w:rsid w:val="0060497F"/>
    <w:rsid w:val="00604C59"/>
    <w:rsid w:val="00604F3C"/>
    <w:rsid w:val="00605571"/>
    <w:rsid w:val="00605C52"/>
    <w:rsid w:val="00605C9B"/>
    <w:rsid w:val="00605FCB"/>
    <w:rsid w:val="00605FCC"/>
    <w:rsid w:val="006066A0"/>
    <w:rsid w:val="00607991"/>
    <w:rsid w:val="00610219"/>
    <w:rsid w:val="0061080F"/>
    <w:rsid w:val="006109A6"/>
    <w:rsid w:val="00610C8A"/>
    <w:rsid w:val="006112E3"/>
    <w:rsid w:val="0061159A"/>
    <w:rsid w:val="00612539"/>
    <w:rsid w:val="00612C62"/>
    <w:rsid w:val="006136B2"/>
    <w:rsid w:val="00613C2F"/>
    <w:rsid w:val="00614D12"/>
    <w:rsid w:val="00614FFF"/>
    <w:rsid w:val="006152BD"/>
    <w:rsid w:val="006152DB"/>
    <w:rsid w:val="006158A0"/>
    <w:rsid w:val="00615F1B"/>
    <w:rsid w:val="006164B5"/>
    <w:rsid w:val="006167E1"/>
    <w:rsid w:val="006169BD"/>
    <w:rsid w:val="00616ED0"/>
    <w:rsid w:val="0061709A"/>
    <w:rsid w:val="00617133"/>
    <w:rsid w:val="006172DE"/>
    <w:rsid w:val="006179FC"/>
    <w:rsid w:val="00617D51"/>
    <w:rsid w:val="00620586"/>
    <w:rsid w:val="0062081B"/>
    <w:rsid w:val="006211FB"/>
    <w:rsid w:val="00621615"/>
    <w:rsid w:val="006217C1"/>
    <w:rsid w:val="0062183A"/>
    <w:rsid w:val="00621D46"/>
    <w:rsid w:val="00622553"/>
    <w:rsid w:val="00622831"/>
    <w:rsid w:val="00622BC8"/>
    <w:rsid w:val="00622D9C"/>
    <w:rsid w:val="00622E7B"/>
    <w:rsid w:val="00623313"/>
    <w:rsid w:val="0062333A"/>
    <w:rsid w:val="00623EE0"/>
    <w:rsid w:val="0062456E"/>
    <w:rsid w:val="00624BA8"/>
    <w:rsid w:val="00624FF1"/>
    <w:rsid w:val="006252FB"/>
    <w:rsid w:val="0062567A"/>
    <w:rsid w:val="00625A07"/>
    <w:rsid w:val="00625A46"/>
    <w:rsid w:val="00625BE8"/>
    <w:rsid w:val="00625E4A"/>
    <w:rsid w:val="006268F6"/>
    <w:rsid w:val="00626B87"/>
    <w:rsid w:val="00626D62"/>
    <w:rsid w:val="00626DE8"/>
    <w:rsid w:val="006270C8"/>
    <w:rsid w:val="00627492"/>
    <w:rsid w:val="006277AB"/>
    <w:rsid w:val="00627915"/>
    <w:rsid w:val="00627D1B"/>
    <w:rsid w:val="00627F48"/>
    <w:rsid w:val="00627FEA"/>
    <w:rsid w:val="006300B8"/>
    <w:rsid w:val="0063010B"/>
    <w:rsid w:val="0063038D"/>
    <w:rsid w:val="006303D2"/>
    <w:rsid w:val="0063051E"/>
    <w:rsid w:val="00630713"/>
    <w:rsid w:val="00630796"/>
    <w:rsid w:val="006308C5"/>
    <w:rsid w:val="00630A5C"/>
    <w:rsid w:val="00631405"/>
    <w:rsid w:val="0063144A"/>
    <w:rsid w:val="006316F6"/>
    <w:rsid w:val="00631A5F"/>
    <w:rsid w:val="00631B9E"/>
    <w:rsid w:val="00631E84"/>
    <w:rsid w:val="006322CA"/>
    <w:rsid w:val="006324D1"/>
    <w:rsid w:val="00632E20"/>
    <w:rsid w:val="00632E59"/>
    <w:rsid w:val="00632EF4"/>
    <w:rsid w:val="006331F2"/>
    <w:rsid w:val="00633335"/>
    <w:rsid w:val="00633B47"/>
    <w:rsid w:val="00633DE2"/>
    <w:rsid w:val="00634373"/>
    <w:rsid w:val="0063484E"/>
    <w:rsid w:val="00634895"/>
    <w:rsid w:val="006348C8"/>
    <w:rsid w:val="00634EAF"/>
    <w:rsid w:val="006351CB"/>
    <w:rsid w:val="0063524B"/>
    <w:rsid w:val="00635345"/>
    <w:rsid w:val="0063535A"/>
    <w:rsid w:val="00635672"/>
    <w:rsid w:val="006357AD"/>
    <w:rsid w:val="006357B6"/>
    <w:rsid w:val="00635934"/>
    <w:rsid w:val="00635D8F"/>
    <w:rsid w:val="006363CE"/>
    <w:rsid w:val="006367D6"/>
    <w:rsid w:val="00636957"/>
    <w:rsid w:val="00637111"/>
    <w:rsid w:val="006371E5"/>
    <w:rsid w:val="00637423"/>
    <w:rsid w:val="00637464"/>
    <w:rsid w:val="00637474"/>
    <w:rsid w:val="006378B4"/>
    <w:rsid w:val="00637F79"/>
    <w:rsid w:val="00640014"/>
    <w:rsid w:val="006401C3"/>
    <w:rsid w:val="00640352"/>
    <w:rsid w:val="0064048E"/>
    <w:rsid w:val="00640685"/>
    <w:rsid w:val="00640774"/>
    <w:rsid w:val="006408E6"/>
    <w:rsid w:val="00640BA6"/>
    <w:rsid w:val="006412AA"/>
    <w:rsid w:val="00641BF8"/>
    <w:rsid w:val="00641C24"/>
    <w:rsid w:val="006420E0"/>
    <w:rsid w:val="006421A4"/>
    <w:rsid w:val="00642A0E"/>
    <w:rsid w:val="00642F74"/>
    <w:rsid w:val="00643444"/>
    <w:rsid w:val="00643797"/>
    <w:rsid w:val="006442B1"/>
    <w:rsid w:val="00644908"/>
    <w:rsid w:val="006449B8"/>
    <w:rsid w:val="00644BA1"/>
    <w:rsid w:val="00644BEB"/>
    <w:rsid w:val="00644C3D"/>
    <w:rsid w:val="00645237"/>
    <w:rsid w:val="006453DD"/>
    <w:rsid w:val="00645D3B"/>
    <w:rsid w:val="00645EF0"/>
    <w:rsid w:val="00645FF5"/>
    <w:rsid w:val="006461BE"/>
    <w:rsid w:val="006463EF"/>
    <w:rsid w:val="00646585"/>
    <w:rsid w:val="00646700"/>
    <w:rsid w:val="00646816"/>
    <w:rsid w:val="00646861"/>
    <w:rsid w:val="0064687C"/>
    <w:rsid w:val="00646939"/>
    <w:rsid w:val="006469B9"/>
    <w:rsid w:val="00646A59"/>
    <w:rsid w:val="00646BB9"/>
    <w:rsid w:val="00646BEE"/>
    <w:rsid w:val="00646C0B"/>
    <w:rsid w:val="00646ED9"/>
    <w:rsid w:val="006477AC"/>
    <w:rsid w:val="006477ED"/>
    <w:rsid w:val="00647A82"/>
    <w:rsid w:val="00647AA5"/>
    <w:rsid w:val="00647ACC"/>
    <w:rsid w:val="006506B8"/>
    <w:rsid w:val="0065073D"/>
    <w:rsid w:val="00650F55"/>
    <w:rsid w:val="00650FF3"/>
    <w:rsid w:val="00651117"/>
    <w:rsid w:val="006511C0"/>
    <w:rsid w:val="006513E9"/>
    <w:rsid w:val="00651615"/>
    <w:rsid w:val="00651A1C"/>
    <w:rsid w:val="00651C0D"/>
    <w:rsid w:val="006522AE"/>
    <w:rsid w:val="00652967"/>
    <w:rsid w:val="00652988"/>
    <w:rsid w:val="006529C4"/>
    <w:rsid w:val="0065312E"/>
    <w:rsid w:val="006533D3"/>
    <w:rsid w:val="0065381D"/>
    <w:rsid w:val="006538C6"/>
    <w:rsid w:val="00653BE7"/>
    <w:rsid w:val="00653C50"/>
    <w:rsid w:val="00653D1D"/>
    <w:rsid w:val="006542B2"/>
    <w:rsid w:val="006544AF"/>
    <w:rsid w:val="00654967"/>
    <w:rsid w:val="00654A28"/>
    <w:rsid w:val="00654B97"/>
    <w:rsid w:val="0065541A"/>
    <w:rsid w:val="006559E5"/>
    <w:rsid w:val="00655CD9"/>
    <w:rsid w:val="00655E01"/>
    <w:rsid w:val="00655F9A"/>
    <w:rsid w:val="006561F0"/>
    <w:rsid w:val="00656BD6"/>
    <w:rsid w:val="006575B9"/>
    <w:rsid w:val="00657AE0"/>
    <w:rsid w:val="00657BDC"/>
    <w:rsid w:val="00657F3E"/>
    <w:rsid w:val="006600BE"/>
    <w:rsid w:val="00660228"/>
    <w:rsid w:val="00660422"/>
    <w:rsid w:val="006608AD"/>
    <w:rsid w:val="006608FB"/>
    <w:rsid w:val="00660A8E"/>
    <w:rsid w:val="00660B5B"/>
    <w:rsid w:val="00660D87"/>
    <w:rsid w:val="00660FC0"/>
    <w:rsid w:val="0066109A"/>
    <w:rsid w:val="006610B5"/>
    <w:rsid w:val="006613B5"/>
    <w:rsid w:val="00661420"/>
    <w:rsid w:val="006615A3"/>
    <w:rsid w:val="00661743"/>
    <w:rsid w:val="00661C5E"/>
    <w:rsid w:val="00662042"/>
    <w:rsid w:val="00662263"/>
    <w:rsid w:val="0066226A"/>
    <w:rsid w:val="0066259D"/>
    <w:rsid w:val="006629FF"/>
    <w:rsid w:val="00662B4F"/>
    <w:rsid w:val="00662DB9"/>
    <w:rsid w:val="00662DDC"/>
    <w:rsid w:val="00662F2B"/>
    <w:rsid w:val="00662FE7"/>
    <w:rsid w:val="00663087"/>
    <w:rsid w:val="006635B1"/>
    <w:rsid w:val="00663A8F"/>
    <w:rsid w:val="006641A8"/>
    <w:rsid w:val="00664661"/>
    <w:rsid w:val="006649D5"/>
    <w:rsid w:val="00664C00"/>
    <w:rsid w:val="00665664"/>
    <w:rsid w:val="006657C0"/>
    <w:rsid w:val="00665824"/>
    <w:rsid w:val="00666150"/>
    <w:rsid w:val="00666219"/>
    <w:rsid w:val="00666300"/>
    <w:rsid w:val="00666805"/>
    <w:rsid w:val="00666EA1"/>
    <w:rsid w:val="00666ECE"/>
    <w:rsid w:val="00666F58"/>
    <w:rsid w:val="00667128"/>
    <w:rsid w:val="006673DC"/>
    <w:rsid w:val="00667481"/>
    <w:rsid w:val="006674AA"/>
    <w:rsid w:val="0067024A"/>
    <w:rsid w:val="00670D3D"/>
    <w:rsid w:val="00671767"/>
    <w:rsid w:val="0067180B"/>
    <w:rsid w:val="00671DBC"/>
    <w:rsid w:val="00672102"/>
    <w:rsid w:val="006725EF"/>
    <w:rsid w:val="00672647"/>
    <w:rsid w:val="0067266B"/>
    <w:rsid w:val="00672679"/>
    <w:rsid w:val="006728BE"/>
    <w:rsid w:val="0067303F"/>
    <w:rsid w:val="00673994"/>
    <w:rsid w:val="00674593"/>
    <w:rsid w:val="006746B6"/>
    <w:rsid w:val="006747C0"/>
    <w:rsid w:val="0067535C"/>
    <w:rsid w:val="006758C1"/>
    <w:rsid w:val="0067597B"/>
    <w:rsid w:val="00675E28"/>
    <w:rsid w:val="00676097"/>
    <w:rsid w:val="00676471"/>
    <w:rsid w:val="0067651C"/>
    <w:rsid w:val="006766B3"/>
    <w:rsid w:val="00676C13"/>
    <w:rsid w:val="0067746F"/>
    <w:rsid w:val="0067783C"/>
    <w:rsid w:val="00677BBA"/>
    <w:rsid w:val="00677D8C"/>
    <w:rsid w:val="0068004A"/>
    <w:rsid w:val="006800E6"/>
    <w:rsid w:val="006801EE"/>
    <w:rsid w:val="006802A7"/>
    <w:rsid w:val="00680509"/>
    <w:rsid w:val="00680605"/>
    <w:rsid w:val="00680E2D"/>
    <w:rsid w:val="00681020"/>
    <w:rsid w:val="00681C91"/>
    <w:rsid w:val="00681DE5"/>
    <w:rsid w:val="00682155"/>
    <w:rsid w:val="006822E2"/>
    <w:rsid w:val="006824B4"/>
    <w:rsid w:val="00682829"/>
    <w:rsid w:val="00682A0F"/>
    <w:rsid w:val="00682EE5"/>
    <w:rsid w:val="00683483"/>
    <w:rsid w:val="00683C73"/>
    <w:rsid w:val="00683F27"/>
    <w:rsid w:val="00684194"/>
    <w:rsid w:val="006844BC"/>
    <w:rsid w:val="006848D6"/>
    <w:rsid w:val="00684B72"/>
    <w:rsid w:val="00684D1F"/>
    <w:rsid w:val="00685142"/>
    <w:rsid w:val="00685271"/>
    <w:rsid w:val="00685F1D"/>
    <w:rsid w:val="00686239"/>
    <w:rsid w:val="0068631F"/>
    <w:rsid w:val="00686B41"/>
    <w:rsid w:val="00686EA2"/>
    <w:rsid w:val="0068779B"/>
    <w:rsid w:val="006879BC"/>
    <w:rsid w:val="00687ADD"/>
    <w:rsid w:val="00687D7C"/>
    <w:rsid w:val="006903E0"/>
    <w:rsid w:val="00690617"/>
    <w:rsid w:val="0069065D"/>
    <w:rsid w:val="00690F97"/>
    <w:rsid w:val="0069136A"/>
    <w:rsid w:val="00691380"/>
    <w:rsid w:val="006915E7"/>
    <w:rsid w:val="00691673"/>
    <w:rsid w:val="006916DA"/>
    <w:rsid w:val="006916F6"/>
    <w:rsid w:val="00691A5D"/>
    <w:rsid w:val="006929E8"/>
    <w:rsid w:val="00692BA8"/>
    <w:rsid w:val="00693200"/>
    <w:rsid w:val="0069464D"/>
    <w:rsid w:val="006947D6"/>
    <w:rsid w:val="00694915"/>
    <w:rsid w:val="00694A2E"/>
    <w:rsid w:val="00694B49"/>
    <w:rsid w:val="00694D6A"/>
    <w:rsid w:val="00694DB6"/>
    <w:rsid w:val="00694DC3"/>
    <w:rsid w:val="006954A5"/>
    <w:rsid w:val="006956BA"/>
    <w:rsid w:val="006957EA"/>
    <w:rsid w:val="00695979"/>
    <w:rsid w:val="00695A2C"/>
    <w:rsid w:val="0069607E"/>
    <w:rsid w:val="006960BA"/>
    <w:rsid w:val="00696324"/>
    <w:rsid w:val="00696B0D"/>
    <w:rsid w:val="00696CED"/>
    <w:rsid w:val="006971BF"/>
    <w:rsid w:val="00697252"/>
    <w:rsid w:val="00697989"/>
    <w:rsid w:val="006979C2"/>
    <w:rsid w:val="00697A3E"/>
    <w:rsid w:val="00697D5A"/>
    <w:rsid w:val="00697FE5"/>
    <w:rsid w:val="006A0010"/>
    <w:rsid w:val="006A0017"/>
    <w:rsid w:val="006A0180"/>
    <w:rsid w:val="006A062A"/>
    <w:rsid w:val="006A0869"/>
    <w:rsid w:val="006A0CD2"/>
    <w:rsid w:val="006A1044"/>
    <w:rsid w:val="006A1049"/>
    <w:rsid w:val="006A1381"/>
    <w:rsid w:val="006A15A3"/>
    <w:rsid w:val="006A179D"/>
    <w:rsid w:val="006A1DD8"/>
    <w:rsid w:val="006A204D"/>
    <w:rsid w:val="006A2488"/>
    <w:rsid w:val="006A24A1"/>
    <w:rsid w:val="006A2912"/>
    <w:rsid w:val="006A2A6B"/>
    <w:rsid w:val="006A2B67"/>
    <w:rsid w:val="006A2ECB"/>
    <w:rsid w:val="006A315B"/>
    <w:rsid w:val="006A31C1"/>
    <w:rsid w:val="006A3465"/>
    <w:rsid w:val="006A36EB"/>
    <w:rsid w:val="006A3995"/>
    <w:rsid w:val="006A39AE"/>
    <w:rsid w:val="006A3BD5"/>
    <w:rsid w:val="006A3BDF"/>
    <w:rsid w:val="006A3BF8"/>
    <w:rsid w:val="006A3CDF"/>
    <w:rsid w:val="006A3DA8"/>
    <w:rsid w:val="006A41D5"/>
    <w:rsid w:val="006A43FF"/>
    <w:rsid w:val="006A55DC"/>
    <w:rsid w:val="006A57C5"/>
    <w:rsid w:val="006A58B1"/>
    <w:rsid w:val="006A5BDE"/>
    <w:rsid w:val="006A5CFD"/>
    <w:rsid w:val="006A60B3"/>
    <w:rsid w:val="006A619B"/>
    <w:rsid w:val="006A61E1"/>
    <w:rsid w:val="006A657B"/>
    <w:rsid w:val="006A6893"/>
    <w:rsid w:val="006A6AB8"/>
    <w:rsid w:val="006A6BC0"/>
    <w:rsid w:val="006A702A"/>
    <w:rsid w:val="006A7073"/>
    <w:rsid w:val="006A7139"/>
    <w:rsid w:val="006A73A0"/>
    <w:rsid w:val="006A756E"/>
    <w:rsid w:val="006A76A0"/>
    <w:rsid w:val="006A7737"/>
    <w:rsid w:val="006A7D1D"/>
    <w:rsid w:val="006A7D84"/>
    <w:rsid w:val="006A7FC8"/>
    <w:rsid w:val="006B00A3"/>
    <w:rsid w:val="006B058E"/>
    <w:rsid w:val="006B09B6"/>
    <w:rsid w:val="006B13D1"/>
    <w:rsid w:val="006B1555"/>
    <w:rsid w:val="006B1C07"/>
    <w:rsid w:val="006B206B"/>
    <w:rsid w:val="006B2309"/>
    <w:rsid w:val="006B27B0"/>
    <w:rsid w:val="006B337B"/>
    <w:rsid w:val="006B3516"/>
    <w:rsid w:val="006B387D"/>
    <w:rsid w:val="006B3E29"/>
    <w:rsid w:val="006B41B4"/>
    <w:rsid w:val="006B474F"/>
    <w:rsid w:val="006B4808"/>
    <w:rsid w:val="006B485F"/>
    <w:rsid w:val="006B4A76"/>
    <w:rsid w:val="006B4B03"/>
    <w:rsid w:val="006B4BBF"/>
    <w:rsid w:val="006B50F2"/>
    <w:rsid w:val="006B5AC6"/>
    <w:rsid w:val="006B5EDA"/>
    <w:rsid w:val="006B6166"/>
    <w:rsid w:val="006B65ED"/>
    <w:rsid w:val="006B6CD5"/>
    <w:rsid w:val="006B6E4A"/>
    <w:rsid w:val="006B7638"/>
    <w:rsid w:val="006B7677"/>
    <w:rsid w:val="006B78C1"/>
    <w:rsid w:val="006B7CD7"/>
    <w:rsid w:val="006B7DA1"/>
    <w:rsid w:val="006C02FA"/>
    <w:rsid w:val="006C03F3"/>
    <w:rsid w:val="006C06EA"/>
    <w:rsid w:val="006C0796"/>
    <w:rsid w:val="006C08E1"/>
    <w:rsid w:val="006C09B7"/>
    <w:rsid w:val="006C1415"/>
    <w:rsid w:val="006C1444"/>
    <w:rsid w:val="006C1452"/>
    <w:rsid w:val="006C15DE"/>
    <w:rsid w:val="006C1618"/>
    <w:rsid w:val="006C1896"/>
    <w:rsid w:val="006C1E70"/>
    <w:rsid w:val="006C1F69"/>
    <w:rsid w:val="006C1F6A"/>
    <w:rsid w:val="006C210C"/>
    <w:rsid w:val="006C2115"/>
    <w:rsid w:val="006C2404"/>
    <w:rsid w:val="006C27E4"/>
    <w:rsid w:val="006C2B04"/>
    <w:rsid w:val="006C340C"/>
    <w:rsid w:val="006C3690"/>
    <w:rsid w:val="006C36D4"/>
    <w:rsid w:val="006C40C2"/>
    <w:rsid w:val="006C40D4"/>
    <w:rsid w:val="006C413A"/>
    <w:rsid w:val="006C49B9"/>
    <w:rsid w:val="006C49FD"/>
    <w:rsid w:val="006C520B"/>
    <w:rsid w:val="006C57B0"/>
    <w:rsid w:val="006C5A54"/>
    <w:rsid w:val="006C5DFC"/>
    <w:rsid w:val="006C5E6A"/>
    <w:rsid w:val="006C6075"/>
    <w:rsid w:val="006C60CB"/>
    <w:rsid w:val="006C64DF"/>
    <w:rsid w:val="006C6876"/>
    <w:rsid w:val="006C6A13"/>
    <w:rsid w:val="006C6C73"/>
    <w:rsid w:val="006C6ED5"/>
    <w:rsid w:val="006C7121"/>
    <w:rsid w:val="006C774E"/>
    <w:rsid w:val="006C7887"/>
    <w:rsid w:val="006C79BA"/>
    <w:rsid w:val="006C7B09"/>
    <w:rsid w:val="006D090D"/>
    <w:rsid w:val="006D11B4"/>
    <w:rsid w:val="006D1822"/>
    <w:rsid w:val="006D1AED"/>
    <w:rsid w:val="006D1CC4"/>
    <w:rsid w:val="006D1F40"/>
    <w:rsid w:val="006D2925"/>
    <w:rsid w:val="006D2B16"/>
    <w:rsid w:val="006D2CB8"/>
    <w:rsid w:val="006D2F38"/>
    <w:rsid w:val="006D321C"/>
    <w:rsid w:val="006D3C81"/>
    <w:rsid w:val="006D3EF8"/>
    <w:rsid w:val="006D4424"/>
    <w:rsid w:val="006D4941"/>
    <w:rsid w:val="006D4CCA"/>
    <w:rsid w:val="006D5074"/>
    <w:rsid w:val="006D52B7"/>
    <w:rsid w:val="006D52FB"/>
    <w:rsid w:val="006D5513"/>
    <w:rsid w:val="006D5525"/>
    <w:rsid w:val="006D55A2"/>
    <w:rsid w:val="006D56F8"/>
    <w:rsid w:val="006D58D8"/>
    <w:rsid w:val="006D592A"/>
    <w:rsid w:val="006D66B9"/>
    <w:rsid w:val="006D67A0"/>
    <w:rsid w:val="006D6ABA"/>
    <w:rsid w:val="006D6BCB"/>
    <w:rsid w:val="006D72C0"/>
    <w:rsid w:val="006D75B7"/>
    <w:rsid w:val="006D7800"/>
    <w:rsid w:val="006D7F34"/>
    <w:rsid w:val="006E0157"/>
    <w:rsid w:val="006E11C2"/>
    <w:rsid w:val="006E1724"/>
    <w:rsid w:val="006E1D29"/>
    <w:rsid w:val="006E1FEA"/>
    <w:rsid w:val="006E221B"/>
    <w:rsid w:val="006E24BA"/>
    <w:rsid w:val="006E27A6"/>
    <w:rsid w:val="006E2C51"/>
    <w:rsid w:val="006E2CBC"/>
    <w:rsid w:val="006E33F3"/>
    <w:rsid w:val="006E346B"/>
    <w:rsid w:val="006E34AC"/>
    <w:rsid w:val="006E386B"/>
    <w:rsid w:val="006E3CDF"/>
    <w:rsid w:val="006E3E88"/>
    <w:rsid w:val="006E3ED3"/>
    <w:rsid w:val="006E4488"/>
    <w:rsid w:val="006E4617"/>
    <w:rsid w:val="006E4683"/>
    <w:rsid w:val="006E4809"/>
    <w:rsid w:val="006E48F0"/>
    <w:rsid w:val="006E49B2"/>
    <w:rsid w:val="006E4C64"/>
    <w:rsid w:val="006E4E95"/>
    <w:rsid w:val="006E52C6"/>
    <w:rsid w:val="006E5CB4"/>
    <w:rsid w:val="006E5EEF"/>
    <w:rsid w:val="006E6140"/>
    <w:rsid w:val="006E6177"/>
    <w:rsid w:val="006E684F"/>
    <w:rsid w:val="006E6991"/>
    <w:rsid w:val="006E6FDF"/>
    <w:rsid w:val="006E71ED"/>
    <w:rsid w:val="006E7AD5"/>
    <w:rsid w:val="006F0032"/>
    <w:rsid w:val="006F04E0"/>
    <w:rsid w:val="006F07B4"/>
    <w:rsid w:val="006F0D5A"/>
    <w:rsid w:val="006F0ED8"/>
    <w:rsid w:val="006F0F90"/>
    <w:rsid w:val="006F10A2"/>
    <w:rsid w:val="006F12D0"/>
    <w:rsid w:val="006F1338"/>
    <w:rsid w:val="006F1967"/>
    <w:rsid w:val="006F1EB5"/>
    <w:rsid w:val="006F20EB"/>
    <w:rsid w:val="006F220A"/>
    <w:rsid w:val="006F25C0"/>
    <w:rsid w:val="006F33FF"/>
    <w:rsid w:val="006F3435"/>
    <w:rsid w:val="006F380D"/>
    <w:rsid w:val="006F3983"/>
    <w:rsid w:val="006F3FAA"/>
    <w:rsid w:val="006F406D"/>
    <w:rsid w:val="006F4697"/>
    <w:rsid w:val="006F4717"/>
    <w:rsid w:val="006F4A99"/>
    <w:rsid w:val="006F4B89"/>
    <w:rsid w:val="006F5522"/>
    <w:rsid w:val="006F5ADC"/>
    <w:rsid w:val="006F5BB7"/>
    <w:rsid w:val="006F5EBF"/>
    <w:rsid w:val="006F655B"/>
    <w:rsid w:val="006F679E"/>
    <w:rsid w:val="006F6E50"/>
    <w:rsid w:val="006F6FD2"/>
    <w:rsid w:val="006F7089"/>
    <w:rsid w:val="006F70F4"/>
    <w:rsid w:val="006F72CB"/>
    <w:rsid w:val="006F764A"/>
    <w:rsid w:val="006F76D9"/>
    <w:rsid w:val="006F7776"/>
    <w:rsid w:val="006F78BA"/>
    <w:rsid w:val="006F7C41"/>
    <w:rsid w:val="007000D6"/>
    <w:rsid w:val="00700429"/>
    <w:rsid w:val="007005E2"/>
    <w:rsid w:val="00701048"/>
    <w:rsid w:val="00701179"/>
    <w:rsid w:val="007011F1"/>
    <w:rsid w:val="00701AD7"/>
    <w:rsid w:val="00701E22"/>
    <w:rsid w:val="00702C30"/>
    <w:rsid w:val="00702D22"/>
    <w:rsid w:val="00702DFF"/>
    <w:rsid w:val="00702F41"/>
    <w:rsid w:val="0070333A"/>
    <w:rsid w:val="0070340B"/>
    <w:rsid w:val="007036A9"/>
    <w:rsid w:val="00703C21"/>
    <w:rsid w:val="00703DA3"/>
    <w:rsid w:val="00704237"/>
    <w:rsid w:val="0070446E"/>
    <w:rsid w:val="007059FE"/>
    <w:rsid w:val="00705A56"/>
    <w:rsid w:val="00705C9B"/>
    <w:rsid w:val="00705D62"/>
    <w:rsid w:val="00705E11"/>
    <w:rsid w:val="00706026"/>
    <w:rsid w:val="007062B1"/>
    <w:rsid w:val="007062B2"/>
    <w:rsid w:val="00706547"/>
    <w:rsid w:val="007065CC"/>
    <w:rsid w:val="00706728"/>
    <w:rsid w:val="00706CF0"/>
    <w:rsid w:val="00706E69"/>
    <w:rsid w:val="00707020"/>
    <w:rsid w:val="0070726B"/>
    <w:rsid w:val="007072E4"/>
    <w:rsid w:val="00707C93"/>
    <w:rsid w:val="00707D72"/>
    <w:rsid w:val="00707F88"/>
    <w:rsid w:val="0071002A"/>
    <w:rsid w:val="007102C0"/>
    <w:rsid w:val="007109CE"/>
    <w:rsid w:val="00710A87"/>
    <w:rsid w:val="00710FB2"/>
    <w:rsid w:val="00711041"/>
    <w:rsid w:val="007114DB"/>
    <w:rsid w:val="007117EF"/>
    <w:rsid w:val="00711FC2"/>
    <w:rsid w:val="007120B5"/>
    <w:rsid w:val="007125A1"/>
    <w:rsid w:val="00712739"/>
    <w:rsid w:val="00712C14"/>
    <w:rsid w:val="007131C3"/>
    <w:rsid w:val="007131D1"/>
    <w:rsid w:val="007138A9"/>
    <w:rsid w:val="00713C88"/>
    <w:rsid w:val="00713E13"/>
    <w:rsid w:val="00713E98"/>
    <w:rsid w:val="0071408C"/>
    <w:rsid w:val="007148C1"/>
    <w:rsid w:val="0071491B"/>
    <w:rsid w:val="00714CE7"/>
    <w:rsid w:val="00714DE5"/>
    <w:rsid w:val="00714E57"/>
    <w:rsid w:val="00714EDC"/>
    <w:rsid w:val="007150BE"/>
    <w:rsid w:val="0071530E"/>
    <w:rsid w:val="00715997"/>
    <w:rsid w:val="00715DAC"/>
    <w:rsid w:val="00715EB8"/>
    <w:rsid w:val="00715FBF"/>
    <w:rsid w:val="00716227"/>
    <w:rsid w:val="00716351"/>
    <w:rsid w:val="007168D4"/>
    <w:rsid w:val="00716BEA"/>
    <w:rsid w:val="00716D25"/>
    <w:rsid w:val="00716E99"/>
    <w:rsid w:val="007170D8"/>
    <w:rsid w:val="00717436"/>
    <w:rsid w:val="00717457"/>
    <w:rsid w:val="007203F2"/>
    <w:rsid w:val="007205C9"/>
    <w:rsid w:val="00720941"/>
    <w:rsid w:val="0072097E"/>
    <w:rsid w:val="00720B0B"/>
    <w:rsid w:val="00721043"/>
    <w:rsid w:val="00721130"/>
    <w:rsid w:val="007215D0"/>
    <w:rsid w:val="00722B6D"/>
    <w:rsid w:val="00722B81"/>
    <w:rsid w:val="00722C59"/>
    <w:rsid w:val="00722D3F"/>
    <w:rsid w:val="00722D68"/>
    <w:rsid w:val="007239E3"/>
    <w:rsid w:val="0072407E"/>
    <w:rsid w:val="007242B2"/>
    <w:rsid w:val="0072515D"/>
    <w:rsid w:val="0072570C"/>
    <w:rsid w:val="00725A6F"/>
    <w:rsid w:val="00725D75"/>
    <w:rsid w:val="00725FB8"/>
    <w:rsid w:val="007261D6"/>
    <w:rsid w:val="00726493"/>
    <w:rsid w:val="007265F6"/>
    <w:rsid w:val="007266C8"/>
    <w:rsid w:val="00726744"/>
    <w:rsid w:val="00726B19"/>
    <w:rsid w:val="0072711D"/>
    <w:rsid w:val="00727497"/>
    <w:rsid w:val="007274AB"/>
    <w:rsid w:val="0072753F"/>
    <w:rsid w:val="00727B5A"/>
    <w:rsid w:val="007304DE"/>
    <w:rsid w:val="00730AF0"/>
    <w:rsid w:val="00730C2B"/>
    <w:rsid w:val="00730F28"/>
    <w:rsid w:val="007316FD"/>
    <w:rsid w:val="00731902"/>
    <w:rsid w:val="00731D91"/>
    <w:rsid w:val="00731DF6"/>
    <w:rsid w:val="00731F7A"/>
    <w:rsid w:val="00731F80"/>
    <w:rsid w:val="00731FF4"/>
    <w:rsid w:val="00732755"/>
    <w:rsid w:val="00732D7A"/>
    <w:rsid w:val="00732F7C"/>
    <w:rsid w:val="007330FC"/>
    <w:rsid w:val="0073315B"/>
    <w:rsid w:val="00733325"/>
    <w:rsid w:val="00733703"/>
    <w:rsid w:val="00733724"/>
    <w:rsid w:val="0073388F"/>
    <w:rsid w:val="00733BE5"/>
    <w:rsid w:val="0073404A"/>
    <w:rsid w:val="007340C5"/>
    <w:rsid w:val="007342D1"/>
    <w:rsid w:val="00734659"/>
    <w:rsid w:val="007347D8"/>
    <w:rsid w:val="00734C49"/>
    <w:rsid w:val="00734E19"/>
    <w:rsid w:val="007353B1"/>
    <w:rsid w:val="007358C3"/>
    <w:rsid w:val="007358E5"/>
    <w:rsid w:val="00735E02"/>
    <w:rsid w:val="00735FE3"/>
    <w:rsid w:val="0073631D"/>
    <w:rsid w:val="007366AB"/>
    <w:rsid w:val="007368BD"/>
    <w:rsid w:val="00737024"/>
    <w:rsid w:val="0073754A"/>
    <w:rsid w:val="007375FA"/>
    <w:rsid w:val="00737718"/>
    <w:rsid w:val="007378AA"/>
    <w:rsid w:val="00737A3A"/>
    <w:rsid w:val="00737F51"/>
    <w:rsid w:val="00740274"/>
    <w:rsid w:val="007403B6"/>
    <w:rsid w:val="007404B1"/>
    <w:rsid w:val="007404EA"/>
    <w:rsid w:val="00740863"/>
    <w:rsid w:val="00741182"/>
    <w:rsid w:val="00741400"/>
    <w:rsid w:val="00741639"/>
    <w:rsid w:val="007419F8"/>
    <w:rsid w:val="00741A0D"/>
    <w:rsid w:val="00742060"/>
    <w:rsid w:val="00742551"/>
    <w:rsid w:val="007425B3"/>
    <w:rsid w:val="0074266F"/>
    <w:rsid w:val="007427EE"/>
    <w:rsid w:val="00742FA2"/>
    <w:rsid w:val="00743177"/>
    <w:rsid w:val="0074358B"/>
    <w:rsid w:val="007439C4"/>
    <w:rsid w:val="007439F5"/>
    <w:rsid w:val="00744057"/>
    <w:rsid w:val="00744310"/>
    <w:rsid w:val="007444FD"/>
    <w:rsid w:val="007445C5"/>
    <w:rsid w:val="00744F58"/>
    <w:rsid w:val="00745601"/>
    <w:rsid w:val="007458A4"/>
    <w:rsid w:val="00745970"/>
    <w:rsid w:val="00745A30"/>
    <w:rsid w:val="00745F8A"/>
    <w:rsid w:val="00746048"/>
    <w:rsid w:val="007461F4"/>
    <w:rsid w:val="00746543"/>
    <w:rsid w:val="007466AC"/>
    <w:rsid w:val="00746D24"/>
    <w:rsid w:val="00746D6C"/>
    <w:rsid w:val="007471AC"/>
    <w:rsid w:val="007473E8"/>
    <w:rsid w:val="00747A48"/>
    <w:rsid w:val="00750E17"/>
    <w:rsid w:val="007511AF"/>
    <w:rsid w:val="00751569"/>
    <w:rsid w:val="00751631"/>
    <w:rsid w:val="007518A9"/>
    <w:rsid w:val="007518DA"/>
    <w:rsid w:val="00751D17"/>
    <w:rsid w:val="00751D5A"/>
    <w:rsid w:val="00751FA4"/>
    <w:rsid w:val="00752233"/>
    <w:rsid w:val="00752329"/>
    <w:rsid w:val="007523CD"/>
    <w:rsid w:val="007525D1"/>
    <w:rsid w:val="0075291E"/>
    <w:rsid w:val="00752B69"/>
    <w:rsid w:val="00752BA1"/>
    <w:rsid w:val="00753022"/>
    <w:rsid w:val="007530BC"/>
    <w:rsid w:val="00753348"/>
    <w:rsid w:val="00753AAF"/>
    <w:rsid w:val="00753CBF"/>
    <w:rsid w:val="00753CDF"/>
    <w:rsid w:val="00753D70"/>
    <w:rsid w:val="007542D4"/>
    <w:rsid w:val="00754309"/>
    <w:rsid w:val="007547E5"/>
    <w:rsid w:val="0075485E"/>
    <w:rsid w:val="0075496A"/>
    <w:rsid w:val="0075523E"/>
    <w:rsid w:val="007553FF"/>
    <w:rsid w:val="00755451"/>
    <w:rsid w:val="00755A77"/>
    <w:rsid w:val="00755C4F"/>
    <w:rsid w:val="007560C4"/>
    <w:rsid w:val="00756379"/>
    <w:rsid w:val="007563DA"/>
    <w:rsid w:val="0075677B"/>
    <w:rsid w:val="007568E0"/>
    <w:rsid w:val="00756912"/>
    <w:rsid w:val="00756A8D"/>
    <w:rsid w:val="00756B5B"/>
    <w:rsid w:val="00757141"/>
    <w:rsid w:val="00757310"/>
    <w:rsid w:val="007577A9"/>
    <w:rsid w:val="00757BE7"/>
    <w:rsid w:val="0076040E"/>
    <w:rsid w:val="0076082D"/>
    <w:rsid w:val="007608F9"/>
    <w:rsid w:val="007610CB"/>
    <w:rsid w:val="007610F0"/>
    <w:rsid w:val="007612F9"/>
    <w:rsid w:val="007619C1"/>
    <w:rsid w:val="00761A65"/>
    <w:rsid w:val="00761EA6"/>
    <w:rsid w:val="00761F30"/>
    <w:rsid w:val="00762029"/>
    <w:rsid w:val="00762239"/>
    <w:rsid w:val="00762623"/>
    <w:rsid w:val="00762688"/>
    <w:rsid w:val="00762D1D"/>
    <w:rsid w:val="00762D3C"/>
    <w:rsid w:val="00762E6B"/>
    <w:rsid w:val="007630B7"/>
    <w:rsid w:val="007638A5"/>
    <w:rsid w:val="0076489A"/>
    <w:rsid w:val="00764AB5"/>
    <w:rsid w:val="00764C8F"/>
    <w:rsid w:val="007656E3"/>
    <w:rsid w:val="00765875"/>
    <w:rsid w:val="00765D34"/>
    <w:rsid w:val="00766426"/>
    <w:rsid w:val="00766627"/>
    <w:rsid w:val="00766970"/>
    <w:rsid w:val="00766A63"/>
    <w:rsid w:val="00767028"/>
    <w:rsid w:val="00767B84"/>
    <w:rsid w:val="00767E0F"/>
    <w:rsid w:val="0077026B"/>
    <w:rsid w:val="00770C90"/>
    <w:rsid w:val="00770DBD"/>
    <w:rsid w:val="0077164C"/>
    <w:rsid w:val="0077196B"/>
    <w:rsid w:val="00771F34"/>
    <w:rsid w:val="007721DE"/>
    <w:rsid w:val="007725AC"/>
    <w:rsid w:val="007726AE"/>
    <w:rsid w:val="0077287D"/>
    <w:rsid w:val="00772B9E"/>
    <w:rsid w:val="00772F5B"/>
    <w:rsid w:val="00772FD6"/>
    <w:rsid w:val="007735A8"/>
    <w:rsid w:val="0077372B"/>
    <w:rsid w:val="00773A3A"/>
    <w:rsid w:val="00773A59"/>
    <w:rsid w:val="00773B78"/>
    <w:rsid w:val="007743B4"/>
    <w:rsid w:val="00774512"/>
    <w:rsid w:val="00774824"/>
    <w:rsid w:val="0077490C"/>
    <w:rsid w:val="00774CD1"/>
    <w:rsid w:val="00775285"/>
    <w:rsid w:val="0077536B"/>
    <w:rsid w:val="00775502"/>
    <w:rsid w:val="007758A4"/>
    <w:rsid w:val="00775ECE"/>
    <w:rsid w:val="00775F6C"/>
    <w:rsid w:val="00776677"/>
    <w:rsid w:val="007766CE"/>
    <w:rsid w:val="0077670F"/>
    <w:rsid w:val="00776725"/>
    <w:rsid w:val="00776A82"/>
    <w:rsid w:val="00776AA7"/>
    <w:rsid w:val="00776B4D"/>
    <w:rsid w:val="00776CD0"/>
    <w:rsid w:val="00776E0D"/>
    <w:rsid w:val="00776EE1"/>
    <w:rsid w:val="007776B4"/>
    <w:rsid w:val="00777C58"/>
    <w:rsid w:val="00777F61"/>
    <w:rsid w:val="007800C7"/>
    <w:rsid w:val="007801CD"/>
    <w:rsid w:val="0078038A"/>
    <w:rsid w:val="0078064F"/>
    <w:rsid w:val="007806F6"/>
    <w:rsid w:val="00780E6F"/>
    <w:rsid w:val="007811D8"/>
    <w:rsid w:val="007812D5"/>
    <w:rsid w:val="0078130B"/>
    <w:rsid w:val="007814D2"/>
    <w:rsid w:val="00781574"/>
    <w:rsid w:val="0078169F"/>
    <w:rsid w:val="00781DFF"/>
    <w:rsid w:val="00781E2E"/>
    <w:rsid w:val="00782411"/>
    <w:rsid w:val="00782486"/>
    <w:rsid w:val="0078273A"/>
    <w:rsid w:val="00782797"/>
    <w:rsid w:val="007832E8"/>
    <w:rsid w:val="00783422"/>
    <w:rsid w:val="00783474"/>
    <w:rsid w:val="00783577"/>
    <w:rsid w:val="0078398E"/>
    <w:rsid w:val="007842FA"/>
    <w:rsid w:val="007843F5"/>
    <w:rsid w:val="00784DE3"/>
    <w:rsid w:val="00784E22"/>
    <w:rsid w:val="007850AF"/>
    <w:rsid w:val="00785666"/>
    <w:rsid w:val="0078576A"/>
    <w:rsid w:val="00785CC5"/>
    <w:rsid w:val="00785DE9"/>
    <w:rsid w:val="00785EF0"/>
    <w:rsid w:val="00786079"/>
    <w:rsid w:val="00786084"/>
    <w:rsid w:val="00786DAB"/>
    <w:rsid w:val="00787073"/>
    <w:rsid w:val="0078710C"/>
    <w:rsid w:val="007871F6"/>
    <w:rsid w:val="0078760B"/>
    <w:rsid w:val="0078794A"/>
    <w:rsid w:val="00787DCD"/>
    <w:rsid w:val="00787DDA"/>
    <w:rsid w:val="00787EED"/>
    <w:rsid w:val="00787F53"/>
    <w:rsid w:val="007903AD"/>
    <w:rsid w:val="00790A18"/>
    <w:rsid w:val="00790BA1"/>
    <w:rsid w:val="00790BC0"/>
    <w:rsid w:val="00790C10"/>
    <w:rsid w:val="007912AA"/>
    <w:rsid w:val="00791DC2"/>
    <w:rsid w:val="0079228E"/>
    <w:rsid w:val="00792546"/>
    <w:rsid w:val="00792854"/>
    <w:rsid w:val="00792D73"/>
    <w:rsid w:val="00793237"/>
    <w:rsid w:val="007934A0"/>
    <w:rsid w:val="0079396F"/>
    <w:rsid w:val="00793A6F"/>
    <w:rsid w:val="00793AE9"/>
    <w:rsid w:val="00793BAD"/>
    <w:rsid w:val="00794012"/>
    <w:rsid w:val="00794233"/>
    <w:rsid w:val="0079455E"/>
    <w:rsid w:val="0079524F"/>
    <w:rsid w:val="00795636"/>
    <w:rsid w:val="0079587D"/>
    <w:rsid w:val="00795EA2"/>
    <w:rsid w:val="0079602E"/>
    <w:rsid w:val="0079609D"/>
    <w:rsid w:val="00796121"/>
    <w:rsid w:val="00796320"/>
    <w:rsid w:val="00796A08"/>
    <w:rsid w:val="00796C3B"/>
    <w:rsid w:val="00796F82"/>
    <w:rsid w:val="0079704C"/>
    <w:rsid w:val="00797087"/>
    <w:rsid w:val="0079758A"/>
    <w:rsid w:val="00797B06"/>
    <w:rsid w:val="00797D32"/>
    <w:rsid w:val="00797D49"/>
    <w:rsid w:val="007A0028"/>
    <w:rsid w:val="007A0544"/>
    <w:rsid w:val="007A0825"/>
    <w:rsid w:val="007A0C45"/>
    <w:rsid w:val="007A1159"/>
    <w:rsid w:val="007A177E"/>
    <w:rsid w:val="007A1DBD"/>
    <w:rsid w:val="007A1DD2"/>
    <w:rsid w:val="007A1FEB"/>
    <w:rsid w:val="007A20C3"/>
    <w:rsid w:val="007A20C8"/>
    <w:rsid w:val="007A2441"/>
    <w:rsid w:val="007A258A"/>
    <w:rsid w:val="007A29D5"/>
    <w:rsid w:val="007A2AD5"/>
    <w:rsid w:val="007A2AE0"/>
    <w:rsid w:val="007A2C35"/>
    <w:rsid w:val="007A2DCF"/>
    <w:rsid w:val="007A3020"/>
    <w:rsid w:val="007A32A3"/>
    <w:rsid w:val="007A35DE"/>
    <w:rsid w:val="007A360B"/>
    <w:rsid w:val="007A3774"/>
    <w:rsid w:val="007A4009"/>
    <w:rsid w:val="007A4316"/>
    <w:rsid w:val="007A4579"/>
    <w:rsid w:val="007A48D9"/>
    <w:rsid w:val="007A499C"/>
    <w:rsid w:val="007A4D19"/>
    <w:rsid w:val="007A4EA7"/>
    <w:rsid w:val="007A4F5D"/>
    <w:rsid w:val="007A5071"/>
    <w:rsid w:val="007A52C1"/>
    <w:rsid w:val="007A55E3"/>
    <w:rsid w:val="007A5826"/>
    <w:rsid w:val="007A5AB0"/>
    <w:rsid w:val="007A62CB"/>
    <w:rsid w:val="007A647E"/>
    <w:rsid w:val="007A65C8"/>
    <w:rsid w:val="007A664B"/>
    <w:rsid w:val="007A67D3"/>
    <w:rsid w:val="007A6BE6"/>
    <w:rsid w:val="007A6EBA"/>
    <w:rsid w:val="007A718A"/>
    <w:rsid w:val="007A7640"/>
    <w:rsid w:val="007A7A21"/>
    <w:rsid w:val="007A7A36"/>
    <w:rsid w:val="007A7B02"/>
    <w:rsid w:val="007A7CA6"/>
    <w:rsid w:val="007A7CD3"/>
    <w:rsid w:val="007B0195"/>
    <w:rsid w:val="007B02B1"/>
    <w:rsid w:val="007B0313"/>
    <w:rsid w:val="007B07B1"/>
    <w:rsid w:val="007B09D7"/>
    <w:rsid w:val="007B0F36"/>
    <w:rsid w:val="007B179A"/>
    <w:rsid w:val="007B1A96"/>
    <w:rsid w:val="007B1D19"/>
    <w:rsid w:val="007B200F"/>
    <w:rsid w:val="007B2469"/>
    <w:rsid w:val="007B27C3"/>
    <w:rsid w:val="007B2F28"/>
    <w:rsid w:val="007B3138"/>
    <w:rsid w:val="007B33A8"/>
    <w:rsid w:val="007B356E"/>
    <w:rsid w:val="007B3D32"/>
    <w:rsid w:val="007B3EA7"/>
    <w:rsid w:val="007B43D9"/>
    <w:rsid w:val="007B4603"/>
    <w:rsid w:val="007B4729"/>
    <w:rsid w:val="007B4BE9"/>
    <w:rsid w:val="007B5028"/>
    <w:rsid w:val="007B51D4"/>
    <w:rsid w:val="007B533D"/>
    <w:rsid w:val="007B54A9"/>
    <w:rsid w:val="007B5811"/>
    <w:rsid w:val="007B587C"/>
    <w:rsid w:val="007B59B6"/>
    <w:rsid w:val="007B5A3D"/>
    <w:rsid w:val="007B5FC8"/>
    <w:rsid w:val="007B6456"/>
    <w:rsid w:val="007B6581"/>
    <w:rsid w:val="007B66F8"/>
    <w:rsid w:val="007B67C5"/>
    <w:rsid w:val="007B75DB"/>
    <w:rsid w:val="007B78EE"/>
    <w:rsid w:val="007C05A4"/>
    <w:rsid w:val="007C065B"/>
    <w:rsid w:val="007C0871"/>
    <w:rsid w:val="007C091B"/>
    <w:rsid w:val="007C11C6"/>
    <w:rsid w:val="007C11C9"/>
    <w:rsid w:val="007C1563"/>
    <w:rsid w:val="007C15A2"/>
    <w:rsid w:val="007C187E"/>
    <w:rsid w:val="007C1E04"/>
    <w:rsid w:val="007C2424"/>
    <w:rsid w:val="007C2482"/>
    <w:rsid w:val="007C2837"/>
    <w:rsid w:val="007C2A6B"/>
    <w:rsid w:val="007C2C3B"/>
    <w:rsid w:val="007C2C7C"/>
    <w:rsid w:val="007C2E2B"/>
    <w:rsid w:val="007C3104"/>
    <w:rsid w:val="007C34DC"/>
    <w:rsid w:val="007C36C1"/>
    <w:rsid w:val="007C3728"/>
    <w:rsid w:val="007C37CD"/>
    <w:rsid w:val="007C4947"/>
    <w:rsid w:val="007C4F04"/>
    <w:rsid w:val="007C5082"/>
    <w:rsid w:val="007C5186"/>
    <w:rsid w:val="007C5569"/>
    <w:rsid w:val="007C55E2"/>
    <w:rsid w:val="007C5624"/>
    <w:rsid w:val="007C63AF"/>
    <w:rsid w:val="007C66DA"/>
    <w:rsid w:val="007C6775"/>
    <w:rsid w:val="007C6DA4"/>
    <w:rsid w:val="007C70B6"/>
    <w:rsid w:val="007C7810"/>
    <w:rsid w:val="007C78B6"/>
    <w:rsid w:val="007C7EE9"/>
    <w:rsid w:val="007D015F"/>
    <w:rsid w:val="007D1719"/>
    <w:rsid w:val="007D1B55"/>
    <w:rsid w:val="007D1DC1"/>
    <w:rsid w:val="007D1FC5"/>
    <w:rsid w:val="007D20C8"/>
    <w:rsid w:val="007D25CE"/>
    <w:rsid w:val="007D2612"/>
    <w:rsid w:val="007D28C2"/>
    <w:rsid w:val="007D2BCE"/>
    <w:rsid w:val="007D3173"/>
    <w:rsid w:val="007D32FB"/>
    <w:rsid w:val="007D35F4"/>
    <w:rsid w:val="007D39B0"/>
    <w:rsid w:val="007D3C15"/>
    <w:rsid w:val="007D3D0C"/>
    <w:rsid w:val="007D3D81"/>
    <w:rsid w:val="007D3F4E"/>
    <w:rsid w:val="007D42E1"/>
    <w:rsid w:val="007D4550"/>
    <w:rsid w:val="007D49EF"/>
    <w:rsid w:val="007D4B1A"/>
    <w:rsid w:val="007D5043"/>
    <w:rsid w:val="007D50B5"/>
    <w:rsid w:val="007D50C7"/>
    <w:rsid w:val="007D533D"/>
    <w:rsid w:val="007D560E"/>
    <w:rsid w:val="007D5791"/>
    <w:rsid w:val="007D6281"/>
    <w:rsid w:val="007D63E4"/>
    <w:rsid w:val="007D65A1"/>
    <w:rsid w:val="007D66B4"/>
    <w:rsid w:val="007D6B1D"/>
    <w:rsid w:val="007D6DB2"/>
    <w:rsid w:val="007D6FB6"/>
    <w:rsid w:val="007D75F9"/>
    <w:rsid w:val="007D7610"/>
    <w:rsid w:val="007D797B"/>
    <w:rsid w:val="007D7B92"/>
    <w:rsid w:val="007D7EC6"/>
    <w:rsid w:val="007E0047"/>
    <w:rsid w:val="007E007A"/>
    <w:rsid w:val="007E04B7"/>
    <w:rsid w:val="007E05F4"/>
    <w:rsid w:val="007E0783"/>
    <w:rsid w:val="007E07E0"/>
    <w:rsid w:val="007E0EC6"/>
    <w:rsid w:val="007E102C"/>
    <w:rsid w:val="007E1471"/>
    <w:rsid w:val="007E16A3"/>
    <w:rsid w:val="007E1A7B"/>
    <w:rsid w:val="007E2203"/>
    <w:rsid w:val="007E22CC"/>
    <w:rsid w:val="007E26B8"/>
    <w:rsid w:val="007E2B46"/>
    <w:rsid w:val="007E2CAF"/>
    <w:rsid w:val="007E316E"/>
    <w:rsid w:val="007E3393"/>
    <w:rsid w:val="007E3649"/>
    <w:rsid w:val="007E469E"/>
    <w:rsid w:val="007E4742"/>
    <w:rsid w:val="007E49E1"/>
    <w:rsid w:val="007E4B8F"/>
    <w:rsid w:val="007E4F47"/>
    <w:rsid w:val="007E5255"/>
    <w:rsid w:val="007E55A5"/>
    <w:rsid w:val="007E5A64"/>
    <w:rsid w:val="007E5EA1"/>
    <w:rsid w:val="007E61C2"/>
    <w:rsid w:val="007E6416"/>
    <w:rsid w:val="007E6C1A"/>
    <w:rsid w:val="007E70AD"/>
    <w:rsid w:val="007E74AD"/>
    <w:rsid w:val="007E752F"/>
    <w:rsid w:val="007E7B53"/>
    <w:rsid w:val="007F07AE"/>
    <w:rsid w:val="007F0928"/>
    <w:rsid w:val="007F09E8"/>
    <w:rsid w:val="007F0B32"/>
    <w:rsid w:val="007F0BF3"/>
    <w:rsid w:val="007F0C46"/>
    <w:rsid w:val="007F1BB3"/>
    <w:rsid w:val="007F1E1F"/>
    <w:rsid w:val="007F22C3"/>
    <w:rsid w:val="007F265B"/>
    <w:rsid w:val="007F2F3B"/>
    <w:rsid w:val="007F309C"/>
    <w:rsid w:val="007F321A"/>
    <w:rsid w:val="007F3296"/>
    <w:rsid w:val="007F3344"/>
    <w:rsid w:val="007F38DE"/>
    <w:rsid w:val="007F3B07"/>
    <w:rsid w:val="007F3DA2"/>
    <w:rsid w:val="007F3F24"/>
    <w:rsid w:val="007F3F5F"/>
    <w:rsid w:val="007F42E7"/>
    <w:rsid w:val="007F4954"/>
    <w:rsid w:val="007F5233"/>
    <w:rsid w:val="007F5B0C"/>
    <w:rsid w:val="007F5BDC"/>
    <w:rsid w:val="007F5C76"/>
    <w:rsid w:val="007F5F60"/>
    <w:rsid w:val="007F621D"/>
    <w:rsid w:val="007F648F"/>
    <w:rsid w:val="007F7113"/>
    <w:rsid w:val="007F735B"/>
    <w:rsid w:val="007F785F"/>
    <w:rsid w:val="007F7E30"/>
    <w:rsid w:val="008009DA"/>
    <w:rsid w:val="00800B0A"/>
    <w:rsid w:val="00800B9A"/>
    <w:rsid w:val="00800F61"/>
    <w:rsid w:val="0080108D"/>
    <w:rsid w:val="0080118B"/>
    <w:rsid w:val="00801986"/>
    <w:rsid w:val="00801F7C"/>
    <w:rsid w:val="0080208F"/>
    <w:rsid w:val="0080230A"/>
    <w:rsid w:val="00802882"/>
    <w:rsid w:val="00802E4F"/>
    <w:rsid w:val="00802E71"/>
    <w:rsid w:val="00802F83"/>
    <w:rsid w:val="00803334"/>
    <w:rsid w:val="008033D8"/>
    <w:rsid w:val="008036B1"/>
    <w:rsid w:val="008036EB"/>
    <w:rsid w:val="008045AE"/>
    <w:rsid w:val="00804634"/>
    <w:rsid w:val="008048BB"/>
    <w:rsid w:val="00805132"/>
    <w:rsid w:val="00805292"/>
    <w:rsid w:val="0080542E"/>
    <w:rsid w:val="00805460"/>
    <w:rsid w:val="0080554E"/>
    <w:rsid w:val="00805678"/>
    <w:rsid w:val="0080581F"/>
    <w:rsid w:val="00805838"/>
    <w:rsid w:val="008060FC"/>
    <w:rsid w:val="00806270"/>
    <w:rsid w:val="00806AA4"/>
    <w:rsid w:val="00806C34"/>
    <w:rsid w:val="008070A6"/>
    <w:rsid w:val="0080762B"/>
    <w:rsid w:val="008076FE"/>
    <w:rsid w:val="00807A9F"/>
    <w:rsid w:val="00810546"/>
    <w:rsid w:val="00810633"/>
    <w:rsid w:val="00810B11"/>
    <w:rsid w:val="00810E51"/>
    <w:rsid w:val="00810F4A"/>
    <w:rsid w:val="00811882"/>
    <w:rsid w:val="00811B72"/>
    <w:rsid w:val="00811BBD"/>
    <w:rsid w:val="00811D07"/>
    <w:rsid w:val="008120FE"/>
    <w:rsid w:val="008123F4"/>
    <w:rsid w:val="00812677"/>
    <w:rsid w:val="008127D6"/>
    <w:rsid w:val="00813C24"/>
    <w:rsid w:val="008141B5"/>
    <w:rsid w:val="008141CB"/>
    <w:rsid w:val="00814578"/>
    <w:rsid w:val="00814A20"/>
    <w:rsid w:val="00814B1D"/>
    <w:rsid w:val="00814C21"/>
    <w:rsid w:val="00814C39"/>
    <w:rsid w:val="00814D1F"/>
    <w:rsid w:val="00814E15"/>
    <w:rsid w:val="008152BD"/>
    <w:rsid w:val="008152E0"/>
    <w:rsid w:val="00815B0A"/>
    <w:rsid w:val="008164AE"/>
    <w:rsid w:val="00816CE0"/>
    <w:rsid w:val="008173C6"/>
    <w:rsid w:val="008201D4"/>
    <w:rsid w:val="00820D25"/>
    <w:rsid w:val="00821120"/>
    <w:rsid w:val="008213A7"/>
    <w:rsid w:val="00821B44"/>
    <w:rsid w:val="00821FF7"/>
    <w:rsid w:val="00822435"/>
    <w:rsid w:val="008225D9"/>
    <w:rsid w:val="00822726"/>
    <w:rsid w:val="008227D0"/>
    <w:rsid w:val="00822BDE"/>
    <w:rsid w:val="00822E84"/>
    <w:rsid w:val="00823094"/>
    <w:rsid w:val="00823489"/>
    <w:rsid w:val="008237FA"/>
    <w:rsid w:val="00823A34"/>
    <w:rsid w:val="00823C55"/>
    <w:rsid w:val="0082402D"/>
    <w:rsid w:val="008240B0"/>
    <w:rsid w:val="0082415F"/>
    <w:rsid w:val="0082456A"/>
    <w:rsid w:val="008246DE"/>
    <w:rsid w:val="00824C40"/>
    <w:rsid w:val="00824E49"/>
    <w:rsid w:val="00824F26"/>
    <w:rsid w:val="0082521F"/>
    <w:rsid w:val="008254E5"/>
    <w:rsid w:val="00826005"/>
    <w:rsid w:val="0082602B"/>
    <w:rsid w:val="00826759"/>
    <w:rsid w:val="0082691C"/>
    <w:rsid w:val="00826AD9"/>
    <w:rsid w:val="00826F6D"/>
    <w:rsid w:val="0082704E"/>
    <w:rsid w:val="0082771F"/>
    <w:rsid w:val="00827928"/>
    <w:rsid w:val="00827AD3"/>
    <w:rsid w:val="00827C32"/>
    <w:rsid w:val="00827EB4"/>
    <w:rsid w:val="0083015B"/>
    <w:rsid w:val="0083025B"/>
    <w:rsid w:val="00830355"/>
    <w:rsid w:val="008304F2"/>
    <w:rsid w:val="00830A8B"/>
    <w:rsid w:val="00830B1C"/>
    <w:rsid w:val="00830B37"/>
    <w:rsid w:val="00830B6E"/>
    <w:rsid w:val="00830CA8"/>
    <w:rsid w:val="0083128D"/>
    <w:rsid w:val="0083136D"/>
    <w:rsid w:val="00831540"/>
    <w:rsid w:val="00831827"/>
    <w:rsid w:val="00831908"/>
    <w:rsid w:val="00831A75"/>
    <w:rsid w:val="008322D7"/>
    <w:rsid w:val="008324F2"/>
    <w:rsid w:val="00832C75"/>
    <w:rsid w:val="00832DE4"/>
    <w:rsid w:val="00833336"/>
    <w:rsid w:val="008338C7"/>
    <w:rsid w:val="00833DC8"/>
    <w:rsid w:val="00833E85"/>
    <w:rsid w:val="00833EB8"/>
    <w:rsid w:val="00833FF4"/>
    <w:rsid w:val="0083403E"/>
    <w:rsid w:val="008342AC"/>
    <w:rsid w:val="0083480B"/>
    <w:rsid w:val="00834D0D"/>
    <w:rsid w:val="008353BB"/>
    <w:rsid w:val="008355B0"/>
    <w:rsid w:val="00835696"/>
    <w:rsid w:val="00835D4D"/>
    <w:rsid w:val="0083676C"/>
    <w:rsid w:val="008368AB"/>
    <w:rsid w:val="00836BDA"/>
    <w:rsid w:val="0083706C"/>
    <w:rsid w:val="00837173"/>
    <w:rsid w:val="008371D1"/>
    <w:rsid w:val="008375E9"/>
    <w:rsid w:val="008376FD"/>
    <w:rsid w:val="00837F13"/>
    <w:rsid w:val="0084012B"/>
    <w:rsid w:val="00840389"/>
    <w:rsid w:val="00840BB4"/>
    <w:rsid w:val="00840D39"/>
    <w:rsid w:val="0084170E"/>
    <w:rsid w:val="0084176C"/>
    <w:rsid w:val="00841A90"/>
    <w:rsid w:val="00841AA2"/>
    <w:rsid w:val="00841E4A"/>
    <w:rsid w:val="00841F40"/>
    <w:rsid w:val="00841FF3"/>
    <w:rsid w:val="0084206A"/>
    <w:rsid w:val="00842132"/>
    <w:rsid w:val="0084234A"/>
    <w:rsid w:val="00842A5D"/>
    <w:rsid w:val="00842DD3"/>
    <w:rsid w:val="00843064"/>
    <w:rsid w:val="0084334E"/>
    <w:rsid w:val="008434C4"/>
    <w:rsid w:val="0084353A"/>
    <w:rsid w:val="00843735"/>
    <w:rsid w:val="00843BB9"/>
    <w:rsid w:val="00843C08"/>
    <w:rsid w:val="008441C1"/>
    <w:rsid w:val="00844278"/>
    <w:rsid w:val="0084436C"/>
    <w:rsid w:val="008445D4"/>
    <w:rsid w:val="008447E7"/>
    <w:rsid w:val="00844B92"/>
    <w:rsid w:val="00844DA1"/>
    <w:rsid w:val="00845360"/>
    <w:rsid w:val="00845689"/>
    <w:rsid w:val="008463F1"/>
    <w:rsid w:val="008465BB"/>
    <w:rsid w:val="00846A00"/>
    <w:rsid w:val="00846AB3"/>
    <w:rsid w:val="00846DDE"/>
    <w:rsid w:val="0084722C"/>
    <w:rsid w:val="008473D4"/>
    <w:rsid w:val="008477DA"/>
    <w:rsid w:val="00847884"/>
    <w:rsid w:val="00847A39"/>
    <w:rsid w:val="00847EC0"/>
    <w:rsid w:val="00847FB0"/>
    <w:rsid w:val="0085016F"/>
    <w:rsid w:val="008501FC"/>
    <w:rsid w:val="008503F1"/>
    <w:rsid w:val="0085063C"/>
    <w:rsid w:val="0085071F"/>
    <w:rsid w:val="00850967"/>
    <w:rsid w:val="00850F68"/>
    <w:rsid w:val="00851347"/>
    <w:rsid w:val="00851593"/>
    <w:rsid w:val="008520DE"/>
    <w:rsid w:val="008523F0"/>
    <w:rsid w:val="0085252D"/>
    <w:rsid w:val="0085276E"/>
    <w:rsid w:val="0085279C"/>
    <w:rsid w:val="00852D7A"/>
    <w:rsid w:val="008532CB"/>
    <w:rsid w:val="00853392"/>
    <w:rsid w:val="00853510"/>
    <w:rsid w:val="008536B5"/>
    <w:rsid w:val="008537C7"/>
    <w:rsid w:val="0085395F"/>
    <w:rsid w:val="008539B2"/>
    <w:rsid w:val="008539C7"/>
    <w:rsid w:val="00853F62"/>
    <w:rsid w:val="0085434C"/>
    <w:rsid w:val="00854E77"/>
    <w:rsid w:val="00854ED8"/>
    <w:rsid w:val="00854F60"/>
    <w:rsid w:val="00855281"/>
    <w:rsid w:val="008552D7"/>
    <w:rsid w:val="008558CB"/>
    <w:rsid w:val="00855905"/>
    <w:rsid w:val="00855E7F"/>
    <w:rsid w:val="0085650E"/>
    <w:rsid w:val="00856D13"/>
    <w:rsid w:val="00856E59"/>
    <w:rsid w:val="00857081"/>
    <w:rsid w:val="008570B3"/>
    <w:rsid w:val="008575C9"/>
    <w:rsid w:val="008577F7"/>
    <w:rsid w:val="00857860"/>
    <w:rsid w:val="008579F3"/>
    <w:rsid w:val="0086007B"/>
    <w:rsid w:val="0086014F"/>
    <w:rsid w:val="00860444"/>
    <w:rsid w:val="00860C4A"/>
    <w:rsid w:val="00860EBC"/>
    <w:rsid w:val="00860ECF"/>
    <w:rsid w:val="00861D5E"/>
    <w:rsid w:val="008621FC"/>
    <w:rsid w:val="00862CA2"/>
    <w:rsid w:val="008638D5"/>
    <w:rsid w:val="00863C27"/>
    <w:rsid w:val="00864005"/>
    <w:rsid w:val="008646E2"/>
    <w:rsid w:val="00864A9C"/>
    <w:rsid w:val="00864B66"/>
    <w:rsid w:val="00864C0A"/>
    <w:rsid w:val="00864C42"/>
    <w:rsid w:val="00864CC1"/>
    <w:rsid w:val="008651AD"/>
    <w:rsid w:val="00865366"/>
    <w:rsid w:val="00865552"/>
    <w:rsid w:val="00866305"/>
    <w:rsid w:val="00866F11"/>
    <w:rsid w:val="00867660"/>
    <w:rsid w:val="00867B39"/>
    <w:rsid w:val="00867D98"/>
    <w:rsid w:val="0087018A"/>
    <w:rsid w:val="00870BC9"/>
    <w:rsid w:val="00870CA2"/>
    <w:rsid w:val="0087137B"/>
    <w:rsid w:val="008713CE"/>
    <w:rsid w:val="00871487"/>
    <w:rsid w:val="0087172F"/>
    <w:rsid w:val="0087198F"/>
    <w:rsid w:val="00871E6E"/>
    <w:rsid w:val="00871FE4"/>
    <w:rsid w:val="00872240"/>
    <w:rsid w:val="0087252C"/>
    <w:rsid w:val="008725D6"/>
    <w:rsid w:val="008728B1"/>
    <w:rsid w:val="00872F51"/>
    <w:rsid w:val="00873EE6"/>
    <w:rsid w:val="00874343"/>
    <w:rsid w:val="0087455B"/>
    <w:rsid w:val="0087465F"/>
    <w:rsid w:val="0087481E"/>
    <w:rsid w:val="00874DB5"/>
    <w:rsid w:val="00874E17"/>
    <w:rsid w:val="00875131"/>
    <w:rsid w:val="00875322"/>
    <w:rsid w:val="008754DD"/>
    <w:rsid w:val="00875883"/>
    <w:rsid w:val="00875AFF"/>
    <w:rsid w:val="00875C0A"/>
    <w:rsid w:val="00875E2D"/>
    <w:rsid w:val="00875E51"/>
    <w:rsid w:val="00876520"/>
    <w:rsid w:val="00876711"/>
    <w:rsid w:val="00876853"/>
    <w:rsid w:val="008768ED"/>
    <w:rsid w:val="00876A7A"/>
    <w:rsid w:val="00876A88"/>
    <w:rsid w:val="00876D1C"/>
    <w:rsid w:val="008770B2"/>
    <w:rsid w:val="008771C8"/>
    <w:rsid w:val="008771FB"/>
    <w:rsid w:val="008778D1"/>
    <w:rsid w:val="00877E29"/>
    <w:rsid w:val="00877F5D"/>
    <w:rsid w:val="00880359"/>
    <w:rsid w:val="00880CBB"/>
    <w:rsid w:val="00881A02"/>
    <w:rsid w:val="00881BC2"/>
    <w:rsid w:val="00881C7C"/>
    <w:rsid w:val="00882157"/>
    <w:rsid w:val="00882356"/>
    <w:rsid w:val="0088241C"/>
    <w:rsid w:val="00882BD0"/>
    <w:rsid w:val="00882F6C"/>
    <w:rsid w:val="0088315D"/>
    <w:rsid w:val="0088332B"/>
    <w:rsid w:val="0088398C"/>
    <w:rsid w:val="00883AC4"/>
    <w:rsid w:val="00883BC4"/>
    <w:rsid w:val="0088426A"/>
    <w:rsid w:val="008847D6"/>
    <w:rsid w:val="008849FE"/>
    <w:rsid w:val="00884B77"/>
    <w:rsid w:val="00884EA8"/>
    <w:rsid w:val="00885227"/>
    <w:rsid w:val="00885383"/>
    <w:rsid w:val="0088571C"/>
    <w:rsid w:val="00885B6D"/>
    <w:rsid w:val="00885CD6"/>
    <w:rsid w:val="0088624E"/>
    <w:rsid w:val="00886291"/>
    <w:rsid w:val="008863E5"/>
    <w:rsid w:val="008863F6"/>
    <w:rsid w:val="00886484"/>
    <w:rsid w:val="0088669E"/>
    <w:rsid w:val="00886877"/>
    <w:rsid w:val="0088695F"/>
    <w:rsid w:val="00886A08"/>
    <w:rsid w:val="00886A90"/>
    <w:rsid w:val="00887177"/>
    <w:rsid w:val="0088729A"/>
    <w:rsid w:val="00887479"/>
    <w:rsid w:val="008876C7"/>
    <w:rsid w:val="00887CA1"/>
    <w:rsid w:val="00887DD1"/>
    <w:rsid w:val="008903B6"/>
    <w:rsid w:val="00890632"/>
    <w:rsid w:val="008906A2"/>
    <w:rsid w:val="00890884"/>
    <w:rsid w:val="0089152F"/>
    <w:rsid w:val="00891D11"/>
    <w:rsid w:val="00891E4C"/>
    <w:rsid w:val="00891EBA"/>
    <w:rsid w:val="00891EE3"/>
    <w:rsid w:val="0089239F"/>
    <w:rsid w:val="008927C8"/>
    <w:rsid w:val="00892B0B"/>
    <w:rsid w:val="00892E21"/>
    <w:rsid w:val="00892FEC"/>
    <w:rsid w:val="00893117"/>
    <w:rsid w:val="00893293"/>
    <w:rsid w:val="008933A1"/>
    <w:rsid w:val="0089372D"/>
    <w:rsid w:val="00893DAE"/>
    <w:rsid w:val="00893E74"/>
    <w:rsid w:val="00893F49"/>
    <w:rsid w:val="008942F2"/>
    <w:rsid w:val="00894581"/>
    <w:rsid w:val="00894921"/>
    <w:rsid w:val="008949D8"/>
    <w:rsid w:val="00894E22"/>
    <w:rsid w:val="00895289"/>
    <w:rsid w:val="008953E1"/>
    <w:rsid w:val="008958E4"/>
    <w:rsid w:val="0089599C"/>
    <w:rsid w:val="00895C49"/>
    <w:rsid w:val="00895FFA"/>
    <w:rsid w:val="0089683B"/>
    <w:rsid w:val="00896C99"/>
    <w:rsid w:val="00896D49"/>
    <w:rsid w:val="00896F41"/>
    <w:rsid w:val="008973FD"/>
    <w:rsid w:val="00897B87"/>
    <w:rsid w:val="00897C22"/>
    <w:rsid w:val="00897D1F"/>
    <w:rsid w:val="008A10A3"/>
    <w:rsid w:val="008A14C3"/>
    <w:rsid w:val="008A15B0"/>
    <w:rsid w:val="008A1991"/>
    <w:rsid w:val="008A1AF8"/>
    <w:rsid w:val="008A1BE5"/>
    <w:rsid w:val="008A1CE3"/>
    <w:rsid w:val="008A1EDC"/>
    <w:rsid w:val="008A2148"/>
    <w:rsid w:val="008A22CF"/>
    <w:rsid w:val="008A2457"/>
    <w:rsid w:val="008A2644"/>
    <w:rsid w:val="008A3160"/>
    <w:rsid w:val="008A360E"/>
    <w:rsid w:val="008A380F"/>
    <w:rsid w:val="008A3D92"/>
    <w:rsid w:val="008A40A4"/>
    <w:rsid w:val="008A470B"/>
    <w:rsid w:val="008A4EC5"/>
    <w:rsid w:val="008A53AF"/>
    <w:rsid w:val="008A54B2"/>
    <w:rsid w:val="008A560C"/>
    <w:rsid w:val="008A5FB4"/>
    <w:rsid w:val="008A62D4"/>
    <w:rsid w:val="008A653A"/>
    <w:rsid w:val="008A65CF"/>
    <w:rsid w:val="008A66DF"/>
    <w:rsid w:val="008A6A0D"/>
    <w:rsid w:val="008A6D0B"/>
    <w:rsid w:val="008A6E3A"/>
    <w:rsid w:val="008A7B04"/>
    <w:rsid w:val="008A7BB5"/>
    <w:rsid w:val="008B027E"/>
    <w:rsid w:val="008B0378"/>
    <w:rsid w:val="008B06F4"/>
    <w:rsid w:val="008B07C5"/>
    <w:rsid w:val="008B0AD5"/>
    <w:rsid w:val="008B0B48"/>
    <w:rsid w:val="008B0D35"/>
    <w:rsid w:val="008B0E2E"/>
    <w:rsid w:val="008B0EB1"/>
    <w:rsid w:val="008B0FBB"/>
    <w:rsid w:val="008B1031"/>
    <w:rsid w:val="008B123B"/>
    <w:rsid w:val="008B1413"/>
    <w:rsid w:val="008B1E95"/>
    <w:rsid w:val="008B2452"/>
    <w:rsid w:val="008B2DCA"/>
    <w:rsid w:val="008B2EC4"/>
    <w:rsid w:val="008B2ED3"/>
    <w:rsid w:val="008B315C"/>
    <w:rsid w:val="008B33BD"/>
    <w:rsid w:val="008B3420"/>
    <w:rsid w:val="008B40B4"/>
    <w:rsid w:val="008B474E"/>
    <w:rsid w:val="008B501E"/>
    <w:rsid w:val="008B5084"/>
    <w:rsid w:val="008B52E0"/>
    <w:rsid w:val="008B575E"/>
    <w:rsid w:val="008B5D9F"/>
    <w:rsid w:val="008B5F6D"/>
    <w:rsid w:val="008B61E3"/>
    <w:rsid w:val="008B6234"/>
    <w:rsid w:val="008B635D"/>
    <w:rsid w:val="008B65ED"/>
    <w:rsid w:val="008B6AD4"/>
    <w:rsid w:val="008B71D5"/>
    <w:rsid w:val="008B76FD"/>
    <w:rsid w:val="008B7B73"/>
    <w:rsid w:val="008B7B9A"/>
    <w:rsid w:val="008B7E8D"/>
    <w:rsid w:val="008C048C"/>
    <w:rsid w:val="008C07FB"/>
    <w:rsid w:val="008C0C4F"/>
    <w:rsid w:val="008C0DC0"/>
    <w:rsid w:val="008C1581"/>
    <w:rsid w:val="008C1E34"/>
    <w:rsid w:val="008C20D1"/>
    <w:rsid w:val="008C21C9"/>
    <w:rsid w:val="008C2310"/>
    <w:rsid w:val="008C2436"/>
    <w:rsid w:val="008C2503"/>
    <w:rsid w:val="008C2EA3"/>
    <w:rsid w:val="008C2F0F"/>
    <w:rsid w:val="008C33B0"/>
    <w:rsid w:val="008C3568"/>
    <w:rsid w:val="008C3C6D"/>
    <w:rsid w:val="008C43AC"/>
    <w:rsid w:val="008C4C3F"/>
    <w:rsid w:val="008C4D25"/>
    <w:rsid w:val="008C4ED2"/>
    <w:rsid w:val="008C57EE"/>
    <w:rsid w:val="008C58AA"/>
    <w:rsid w:val="008C5949"/>
    <w:rsid w:val="008C5BA4"/>
    <w:rsid w:val="008C5C4E"/>
    <w:rsid w:val="008C5C83"/>
    <w:rsid w:val="008C6374"/>
    <w:rsid w:val="008C6BA7"/>
    <w:rsid w:val="008C70DB"/>
    <w:rsid w:val="008C736C"/>
    <w:rsid w:val="008C73E3"/>
    <w:rsid w:val="008C7BCF"/>
    <w:rsid w:val="008D00B8"/>
    <w:rsid w:val="008D014F"/>
    <w:rsid w:val="008D03C4"/>
    <w:rsid w:val="008D0909"/>
    <w:rsid w:val="008D0FA5"/>
    <w:rsid w:val="008D1104"/>
    <w:rsid w:val="008D12F0"/>
    <w:rsid w:val="008D1453"/>
    <w:rsid w:val="008D1A99"/>
    <w:rsid w:val="008D1D13"/>
    <w:rsid w:val="008D2263"/>
    <w:rsid w:val="008D22F9"/>
    <w:rsid w:val="008D2597"/>
    <w:rsid w:val="008D2882"/>
    <w:rsid w:val="008D295E"/>
    <w:rsid w:val="008D2EBC"/>
    <w:rsid w:val="008D3002"/>
    <w:rsid w:val="008D31A9"/>
    <w:rsid w:val="008D32CE"/>
    <w:rsid w:val="008D3588"/>
    <w:rsid w:val="008D3A29"/>
    <w:rsid w:val="008D3B94"/>
    <w:rsid w:val="008D3E97"/>
    <w:rsid w:val="008D401F"/>
    <w:rsid w:val="008D4580"/>
    <w:rsid w:val="008D49C3"/>
    <w:rsid w:val="008D53BC"/>
    <w:rsid w:val="008D58E3"/>
    <w:rsid w:val="008D5CB4"/>
    <w:rsid w:val="008D615E"/>
    <w:rsid w:val="008D6241"/>
    <w:rsid w:val="008D628A"/>
    <w:rsid w:val="008D6A01"/>
    <w:rsid w:val="008D6EBC"/>
    <w:rsid w:val="008D71EF"/>
    <w:rsid w:val="008D78AE"/>
    <w:rsid w:val="008D7F13"/>
    <w:rsid w:val="008E0152"/>
    <w:rsid w:val="008E02F7"/>
    <w:rsid w:val="008E05EA"/>
    <w:rsid w:val="008E08F0"/>
    <w:rsid w:val="008E0B1B"/>
    <w:rsid w:val="008E0B85"/>
    <w:rsid w:val="008E0CFD"/>
    <w:rsid w:val="008E168D"/>
    <w:rsid w:val="008E1AD8"/>
    <w:rsid w:val="008E1D00"/>
    <w:rsid w:val="008E1DE5"/>
    <w:rsid w:val="008E2B9D"/>
    <w:rsid w:val="008E2D9F"/>
    <w:rsid w:val="008E3035"/>
    <w:rsid w:val="008E3261"/>
    <w:rsid w:val="008E335F"/>
    <w:rsid w:val="008E35DA"/>
    <w:rsid w:val="008E380C"/>
    <w:rsid w:val="008E382A"/>
    <w:rsid w:val="008E3EE5"/>
    <w:rsid w:val="008E440E"/>
    <w:rsid w:val="008E4512"/>
    <w:rsid w:val="008E46EA"/>
    <w:rsid w:val="008E4880"/>
    <w:rsid w:val="008E4915"/>
    <w:rsid w:val="008E4A1F"/>
    <w:rsid w:val="008E4A2C"/>
    <w:rsid w:val="008E5315"/>
    <w:rsid w:val="008E592B"/>
    <w:rsid w:val="008E5B4E"/>
    <w:rsid w:val="008E5C8D"/>
    <w:rsid w:val="008E5D21"/>
    <w:rsid w:val="008E5D8D"/>
    <w:rsid w:val="008E64C2"/>
    <w:rsid w:val="008E6519"/>
    <w:rsid w:val="008E6530"/>
    <w:rsid w:val="008E70A3"/>
    <w:rsid w:val="008E71A6"/>
    <w:rsid w:val="008E7416"/>
    <w:rsid w:val="008E7C2E"/>
    <w:rsid w:val="008E7F1A"/>
    <w:rsid w:val="008F0224"/>
    <w:rsid w:val="008F0746"/>
    <w:rsid w:val="008F088E"/>
    <w:rsid w:val="008F0CC9"/>
    <w:rsid w:val="008F0FC7"/>
    <w:rsid w:val="008F15C4"/>
    <w:rsid w:val="008F1AC3"/>
    <w:rsid w:val="008F1E0F"/>
    <w:rsid w:val="008F1E5B"/>
    <w:rsid w:val="008F2047"/>
    <w:rsid w:val="008F227E"/>
    <w:rsid w:val="008F2459"/>
    <w:rsid w:val="008F250E"/>
    <w:rsid w:val="008F2519"/>
    <w:rsid w:val="008F2FC1"/>
    <w:rsid w:val="008F3001"/>
    <w:rsid w:val="008F318B"/>
    <w:rsid w:val="008F384E"/>
    <w:rsid w:val="008F3ADF"/>
    <w:rsid w:val="008F5122"/>
    <w:rsid w:val="008F53DB"/>
    <w:rsid w:val="008F54B5"/>
    <w:rsid w:val="008F57D4"/>
    <w:rsid w:val="008F5DA7"/>
    <w:rsid w:val="008F620D"/>
    <w:rsid w:val="008F6801"/>
    <w:rsid w:val="008F6A94"/>
    <w:rsid w:val="008F7777"/>
    <w:rsid w:val="008F7801"/>
    <w:rsid w:val="008F7EA1"/>
    <w:rsid w:val="008F7F34"/>
    <w:rsid w:val="008F7F69"/>
    <w:rsid w:val="00900046"/>
    <w:rsid w:val="00900333"/>
    <w:rsid w:val="00900880"/>
    <w:rsid w:val="00901033"/>
    <w:rsid w:val="0090164A"/>
    <w:rsid w:val="00901AE3"/>
    <w:rsid w:val="00901EED"/>
    <w:rsid w:val="00901FB2"/>
    <w:rsid w:val="00901FEF"/>
    <w:rsid w:val="00902123"/>
    <w:rsid w:val="00902323"/>
    <w:rsid w:val="00902797"/>
    <w:rsid w:val="00902A94"/>
    <w:rsid w:val="009032DA"/>
    <w:rsid w:val="0090333F"/>
    <w:rsid w:val="00903726"/>
    <w:rsid w:val="009038E8"/>
    <w:rsid w:val="009039FB"/>
    <w:rsid w:val="0090433A"/>
    <w:rsid w:val="009043DA"/>
    <w:rsid w:val="009045D1"/>
    <w:rsid w:val="00904DBB"/>
    <w:rsid w:val="00904E34"/>
    <w:rsid w:val="00904F0B"/>
    <w:rsid w:val="009051FB"/>
    <w:rsid w:val="009059A1"/>
    <w:rsid w:val="00906797"/>
    <w:rsid w:val="00906A06"/>
    <w:rsid w:val="0090701E"/>
    <w:rsid w:val="0090768A"/>
    <w:rsid w:val="009076E6"/>
    <w:rsid w:val="0090773C"/>
    <w:rsid w:val="00907750"/>
    <w:rsid w:val="009079B8"/>
    <w:rsid w:val="009079C4"/>
    <w:rsid w:val="00910093"/>
    <w:rsid w:val="0091052B"/>
    <w:rsid w:val="00910C85"/>
    <w:rsid w:val="00910D35"/>
    <w:rsid w:val="00910E28"/>
    <w:rsid w:val="009112E4"/>
    <w:rsid w:val="009113E0"/>
    <w:rsid w:val="009119E4"/>
    <w:rsid w:val="00912769"/>
    <w:rsid w:val="0091284F"/>
    <w:rsid w:val="00912904"/>
    <w:rsid w:val="009130A9"/>
    <w:rsid w:val="00913137"/>
    <w:rsid w:val="00913193"/>
    <w:rsid w:val="0091328B"/>
    <w:rsid w:val="009133A2"/>
    <w:rsid w:val="00913E33"/>
    <w:rsid w:val="00913E57"/>
    <w:rsid w:val="0091401C"/>
    <w:rsid w:val="009143B0"/>
    <w:rsid w:val="0091440C"/>
    <w:rsid w:val="009146AD"/>
    <w:rsid w:val="00914D93"/>
    <w:rsid w:val="00914DB3"/>
    <w:rsid w:val="00914DF6"/>
    <w:rsid w:val="00914FE3"/>
    <w:rsid w:val="00915346"/>
    <w:rsid w:val="009153CE"/>
    <w:rsid w:val="00915C13"/>
    <w:rsid w:val="00915F03"/>
    <w:rsid w:val="00916041"/>
    <w:rsid w:val="00916494"/>
    <w:rsid w:val="0091682D"/>
    <w:rsid w:val="009178C9"/>
    <w:rsid w:val="00917BA1"/>
    <w:rsid w:val="00917C8D"/>
    <w:rsid w:val="0092058E"/>
    <w:rsid w:val="009205C4"/>
    <w:rsid w:val="00920804"/>
    <w:rsid w:val="009209D6"/>
    <w:rsid w:val="00920A01"/>
    <w:rsid w:val="00920AB9"/>
    <w:rsid w:val="00921099"/>
    <w:rsid w:val="009212FA"/>
    <w:rsid w:val="009213EC"/>
    <w:rsid w:val="00921762"/>
    <w:rsid w:val="00921814"/>
    <w:rsid w:val="00921B74"/>
    <w:rsid w:val="00921C28"/>
    <w:rsid w:val="00921EA5"/>
    <w:rsid w:val="0092201C"/>
    <w:rsid w:val="009221A5"/>
    <w:rsid w:val="00922517"/>
    <w:rsid w:val="00922E54"/>
    <w:rsid w:val="00922F66"/>
    <w:rsid w:val="009232E3"/>
    <w:rsid w:val="00923915"/>
    <w:rsid w:val="00923B09"/>
    <w:rsid w:val="00923F19"/>
    <w:rsid w:val="00924158"/>
    <w:rsid w:val="00924227"/>
    <w:rsid w:val="009246B2"/>
    <w:rsid w:val="00924799"/>
    <w:rsid w:val="00924A24"/>
    <w:rsid w:val="00924B6D"/>
    <w:rsid w:val="00924E10"/>
    <w:rsid w:val="00924FFD"/>
    <w:rsid w:val="00925275"/>
    <w:rsid w:val="009253FA"/>
    <w:rsid w:val="0092558A"/>
    <w:rsid w:val="009255C5"/>
    <w:rsid w:val="00925716"/>
    <w:rsid w:val="009257E8"/>
    <w:rsid w:val="00925EA2"/>
    <w:rsid w:val="00926C07"/>
    <w:rsid w:val="00926F53"/>
    <w:rsid w:val="0092708C"/>
    <w:rsid w:val="009277F3"/>
    <w:rsid w:val="009277FE"/>
    <w:rsid w:val="00927D16"/>
    <w:rsid w:val="00927F73"/>
    <w:rsid w:val="0093019A"/>
    <w:rsid w:val="009302BD"/>
    <w:rsid w:val="00930620"/>
    <w:rsid w:val="00930EA1"/>
    <w:rsid w:val="00931150"/>
    <w:rsid w:val="00931154"/>
    <w:rsid w:val="0093195C"/>
    <w:rsid w:val="009319BF"/>
    <w:rsid w:val="009323B2"/>
    <w:rsid w:val="009324CC"/>
    <w:rsid w:val="00932761"/>
    <w:rsid w:val="00932780"/>
    <w:rsid w:val="009328D9"/>
    <w:rsid w:val="00932B66"/>
    <w:rsid w:val="00932C7A"/>
    <w:rsid w:val="00932D38"/>
    <w:rsid w:val="00933008"/>
    <w:rsid w:val="0093326D"/>
    <w:rsid w:val="009333E9"/>
    <w:rsid w:val="009334CE"/>
    <w:rsid w:val="009334D7"/>
    <w:rsid w:val="0093373C"/>
    <w:rsid w:val="00933E89"/>
    <w:rsid w:val="009344A3"/>
    <w:rsid w:val="00934A06"/>
    <w:rsid w:val="00934B82"/>
    <w:rsid w:val="00934EF9"/>
    <w:rsid w:val="00935141"/>
    <w:rsid w:val="00935237"/>
    <w:rsid w:val="009352D8"/>
    <w:rsid w:val="00935312"/>
    <w:rsid w:val="00935ABF"/>
    <w:rsid w:val="00935BD9"/>
    <w:rsid w:val="00935E50"/>
    <w:rsid w:val="00936289"/>
    <w:rsid w:val="009363C1"/>
    <w:rsid w:val="009364B9"/>
    <w:rsid w:val="00936619"/>
    <w:rsid w:val="00936735"/>
    <w:rsid w:val="00936CBC"/>
    <w:rsid w:val="00937383"/>
    <w:rsid w:val="00937D2C"/>
    <w:rsid w:val="00937E1A"/>
    <w:rsid w:val="009402B8"/>
    <w:rsid w:val="0094037B"/>
    <w:rsid w:val="00940499"/>
    <w:rsid w:val="00940626"/>
    <w:rsid w:val="00940AD1"/>
    <w:rsid w:val="00940BFF"/>
    <w:rsid w:val="009414CA"/>
    <w:rsid w:val="0094188F"/>
    <w:rsid w:val="009418EF"/>
    <w:rsid w:val="00941F5D"/>
    <w:rsid w:val="0094246D"/>
    <w:rsid w:val="009430DC"/>
    <w:rsid w:val="009431DD"/>
    <w:rsid w:val="009431F0"/>
    <w:rsid w:val="009432F1"/>
    <w:rsid w:val="009434B5"/>
    <w:rsid w:val="00943C27"/>
    <w:rsid w:val="00943CF2"/>
    <w:rsid w:val="00943E67"/>
    <w:rsid w:val="00943EEC"/>
    <w:rsid w:val="009441D8"/>
    <w:rsid w:val="0094464A"/>
    <w:rsid w:val="0094483C"/>
    <w:rsid w:val="00944BF7"/>
    <w:rsid w:val="00944D52"/>
    <w:rsid w:val="00944DE8"/>
    <w:rsid w:val="009450EE"/>
    <w:rsid w:val="009453EF"/>
    <w:rsid w:val="0094569A"/>
    <w:rsid w:val="009456EE"/>
    <w:rsid w:val="009457A9"/>
    <w:rsid w:val="00945A0D"/>
    <w:rsid w:val="00945A15"/>
    <w:rsid w:val="00945B29"/>
    <w:rsid w:val="00945B88"/>
    <w:rsid w:val="00945D23"/>
    <w:rsid w:val="00945D96"/>
    <w:rsid w:val="00945FF8"/>
    <w:rsid w:val="009462F1"/>
    <w:rsid w:val="00946608"/>
    <w:rsid w:val="009469E2"/>
    <w:rsid w:val="009469ED"/>
    <w:rsid w:val="00946AAE"/>
    <w:rsid w:val="00946CFF"/>
    <w:rsid w:val="00946F1A"/>
    <w:rsid w:val="00946FBE"/>
    <w:rsid w:val="00947041"/>
    <w:rsid w:val="009472FB"/>
    <w:rsid w:val="00947672"/>
    <w:rsid w:val="00947C38"/>
    <w:rsid w:val="009500C8"/>
    <w:rsid w:val="009500CB"/>
    <w:rsid w:val="009501D2"/>
    <w:rsid w:val="009502AD"/>
    <w:rsid w:val="00950462"/>
    <w:rsid w:val="009508E6"/>
    <w:rsid w:val="0095095B"/>
    <w:rsid w:val="0095106E"/>
    <w:rsid w:val="0095148E"/>
    <w:rsid w:val="00951B18"/>
    <w:rsid w:val="00951D62"/>
    <w:rsid w:val="00951FB2"/>
    <w:rsid w:val="0095201F"/>
    <w:rsid w:val="00952112"/>
    <w:rsid w:val="009522BC"/>
    <w:rsid w:val="00952EB8"/>
    <w:rsid w:val="00953AF8"/>
    <w:rsid w:val="00954345"/>
    <w:rsid w:val="00955557"/>
    <w:rsid w:val="00955820"/>
    <w:rsid w:val="00955DA3"/>
    <w:rsid w:val="00955EE1"/>
    <w:rsid w:val="00956032"/>
    <w:rsid w:val="009560B5"/>
    <w:rsid w:val="00956805"/>
    <w:rsid w:val="00956AE1"/>
    <w:rsid w:val="00956F60"/>
    <w:rsid w:val="0095714F"/>
    <w:rsid w:val="00957568"/>
    <w:rsid w:val="009603B8"/>
    <w:rsid w:val="0096079E"/>
    <w:rsid w:val="0096113F"/>
    <w:rsid w:val="0096125E"/>
    <w:rsid w:val="009618D9"/>
    <w:rsid w:val="00961ABA"/>
    <w:rsid w:val="00962019"/>
    <w:rsid w:val="0096239A"/>
    <w:rsid w:val="00962443"/>
    <w:rsid w:val="00962905"/>
    <w:rsid w:val="00962AA6"/>
    <w:rsid w:val="00962AE1"/>
    <w:rsid w:val="0096305C"/>
    <w:rsid w:val="009631B8"/>
    <w:rsid w:val="00963375"/>
    <w:rsid w:val="009633AA"/>
    <w:rsid w:val="009634B4"/>
    <w:rsid w:val="009635A5"/>
    <w:rsid w:val="009639B3"/>
    <w:rsid w:val="00963D1F"/>
    <w:rsid w:val="00963E37"/>
    <w:rsid w:val="009642CA"/>
    <w:rsid w:val="0096454A"/>
    <w:rsid w:val="00964989"/>
    <w:rsid w:val="00964F9B"/>
    <w:rsid w:val="00964FC1"/>
    <w:rsid w:val="009650D8"/>
    <w:rsid w:val="009650FD"/>
    <w:rsid w:val="00965768"/>
    <w:rsid w:val="00965B64"/>
    <w:rsid w:val="00965DB7"/>
    <w:rsid w:val="00966360"/>
    <w:rsid w:val="0096697E"/>
    <w:rsid w:val="009669AC"/>
    <w:rsid w:val="00966C9E"/>
    <w:rsid w:val="00966D1F"/>
    <w:rsid w:val="009676CC"/>
    <w:rsid w:val="00967710"/>
    <w:rsid w:val="009677AE"/>
    <w:rsid w:val="00967856"/>
    <w:rsid w:val="009678B1"/>
    <w:rsid w:val="00967A9C"/>
    <w:rsid w:val="00967B3C"/>
    <w:rsid w:val="00970C68"/>
    <w:rsid w:val="00970E2E"/>
    <w:rsid w:val="00971386"/>
    <w:rsid w:val="009714E9"/>
    <w:rsid w:val="00971744"/>
    <w:rsid w:val="00971AC7"/>
    <w:rsid w:val="00971B0D"/>
    <w:rsid w:val="00971D49"/>
    <w:rsid w:val="00971E7F"/>
    <w:rsid w:val="009722A8"/>
    <w:rsid w:val="009724AD"/>
    <w:rsid w:val="0097258F"/>
    <w:rsid w:val="00972AF3"/>
    <w:rsid w:val="00972BA5"/>
    <w:rsid w:val="00972ED5"/>
    <w:rsid w:val="00973001"/>
    <w:rsid w:val="009730ED"/>
    <w:rsid w:val="009732AB"/>
    <w:rsid w:val="00973308"/>
    <w:rsid w:val="0097372C"/>
    <w:rsid w:val="00973DF4"/>
    <w:rsid w:val="00973F3A"/>
    <w:rsid w:val="00973FD5"/>
    <w:rsid w:val="0097405F"/>
    <w:rsid w:val="00974437"/>
    <w:rsid w:val="009744EE"/>
    <w:rsid w:val="00974CEC"/>
    <w:rsid w:val="00974D1B"/>
    <w:rsid w:val="00975572"/>
    <w:rsid w:val="0097560E"/>
    <w:rsid w:val="00975A22"/>
    <w:rsid w:val="00975DAC"/>
    <w:rsid w:val="009761E9"/>
    <w:rsid w:val="0097629C"/>
    <w:rsid w:val="009768F1"/>
    <w:rsid w:val="00976EAB"/>
    <w:rsid w:val="00977127"/>
    <w:rsid w:val="0097723D"/>
    <w:rsid w:val="00977380"/>
    <w:rsid w:val="009774E8"/>
    <w:rsid w:val="009775FB"/>
    <w:rsid w:val="00977665"/>
    <w:rsid w:val="00977AF4"/>
    <w:rsid w:val="00977BD9"/>
    <w:rsid w:val="00977ECE"/>
    <w:rsid w:val="00980080"/>
    <w:rsid w:val="009802D7"/>
    <w:rsid w:val="00980333"/>
    <w:rsid w:val="0098049E"/>
    <w:rsid w:val="00980885"/>
    <w:rsid w:val="009808A9"/>
    <w:rsid w:val="00980B7D"/>
    <w:rsid w:val="00980BF3"/>
    <w:rsid w:val="00981299"/>
    <w:rsid w:val="009813B0"/>
    <w:rsid w:val="00981500"/>
    <w:rsid w:val="00981546"/>
    <w:rsid w:val="00981CC5"/>
    <w:rsid w:val="009825F3"/>
    <w:rsid w:val="00982624"/>
    <w:rsid w:val="00982939"/>
    <w:rsid w:val="00982CD2"/>
    <w:rsid w:val="00982FA0"/>
    <w:rsid w:val="0098340C"/>
    <w:rsid w:val="00983A1C"/>
    <w:rsid w:val="00984103"/>
    <w:rsid w:val="0098425C"/>
    <w:rsid w:val="009843A3"/>
    <w:rsid w:val="0098446B"/>
    <w:rsid w:val="00984B93"/>
    <w:rsid w:val="00984CC0"/>
    <w:rsid w:val="00984FEB"/>
    <w:rsid w:val="0098500B"/>
    <w:rsid w:val="009854E7"/>
    <w:rsid w:val="00985EC0"/>
    <w:rsid w:val="00985F1B"/>
    <w:rsid w:val="0098616E"/>
    <w:rsid w:val="00986F83"/>
    <w:rsid w:val="00987505"/>
    <w:rsid w:val="009875ED"/>
    <w:rsid w:val="00987B07"/>
    <w:rsid w:val="0099026B"/>
    <w:rsid w:val="00990325"/>
    <w:rsid w:val="0099032A"/>
    <w:rsid w:val="00990958"/>
    <w:rsid w:val="00990C8E"/>
    <w:rsid w:val="00990E59"/>
    <w:rsid w:val="00990ECB"/>
    <w:rsid w:val="00991740"/>
    <w:rsid w:val="00991EE0"/>
    <w:rsid w:val="009920E3"/>
    <w:rsid w:val="00992598"/>
    <w:rsid w:val="009926F6"/>
    <w:rsid w:val="00992854"/>
    <w:rsid w:val="009929E1"/>
    <w:rsid w:val="00992F6A"/>
    <w:rsid w:val="00993083"/>
    <w:rsid w:val="00994337"/>
    <w:rsid w:val="00994A4B"/>
    <w:rsid w:val="00994AB0"/>
    <w:rsid w:val="009950D2"/>
    <w:rsid w:val="0099510B"/>
    <w:rsid w:val="009952A8"/>
    <w:rsid w:val="0099538E"/>
    <w:rsid w:val="0099546C"/>
    <w:rsid w:val="00995588"/>
    <w:rsid w:val="00995874"/>
    <w:rsid w:val="00995A58"/>
    <w:rsid w:val="00995A9E"/>
    <w:rsid w:val="00995B62"/>
    <w:rsid w:val="00996345"/>
    <w:rsid w:val="00996517"/>
    <w:rsid w:val="00996580"/>
    <w:rsid w:val="0099661D"/>
    <w:rsid w:val="009968A4"/>
    <w:rsid w:val="00996AF4"/>
    <w:rsid w:val="00996C9A"/>
    <w:rsid w:val="00997761"/>
    <w:rsid w:val="00997791"/>
    <w:rsid w:val="00997A6D"/>
    <w:rsid w:val="00997B51"/>
    <w:rsid w:val="00997FD0"/>
    <w:rsid w:val="009A05C7"/>
    <w:rsid w:val="009A0BB9"/>
    <w:rsid w:val="009A0BC9"/>
    <w:rsid w:val="009A204A"/>
    <w:rsid w:val="009A2298"/>
    <w:rsid w:val="009A2886"/>
    <w:rsid w:val="009A28F2"/>
    <w:rsid w:val="009A2B92"/>
    <w:rsid w:val="009A2C4A"/>
    <w:rsid w:val="009A3154"/>
    <w:rsid w:val="009A343F"/>
    <w:rsid w:val="009A353D"/>
    <w:rsid w:val="009A3728"/>
    <w:rsid w:val="009A37A8"/>
    <w:rsid w:val="009A39EF"/>
    <w:rsid w:val="009A3CFA"/>
    <w:rsid w:val="009A3E3F"/>
    <w:rsid w:val="009A4805"/>
    <w:rsid w:val="009A4937"/>
    <w:rsid w:val="009A4D65"/>
    <w:rsid w:val="009A51C8"/>
    <w:rsid w:val="009A5429"/>
    <w:rsid w:val="009A55A1"/>
    <w:rsid w:val="009A5626"/>
    <w:rsid w:val="009A565B"/>
    <w:rsid w:val="009A58B4"/>
    <w:rsid w:val="009A5900"/>
    <w:rsid w:val="009A5B86"/>
    <w:rsid w:val="009A5D0B"/>
    <w:rsid w:val="009A5EFD"/>
    <w:rsid w:val="009A5F20"/>
    <w:rsid w:val="009A605F"/>
    <w:rsid w:val="009A60A8"/>
    <w:rsid w:val="009A66CE"/>
    <w:rsid w:val="009A6B12"/>
    <w:rsid w:val="009A6F1D"/>
    <w:rsid w:val="009A716E"/>
    <w:rsid w:val="009A721B"/>
    <w:rsid w:val="009A730A"/>
    <w:rsid w:val="009A7827"/>
    <w:rsid w:val="009A7AED"/>
    <w:rsid w:val="009A7E34"/>
    <w:rsid w:val="009A7F43"/>
    <w:rsid w:val="009A7FE9"/>
    <w:rsid w:val="009B02C5"/>
    <w:rsid w:val="009B19DE"/>
    <w:rsid w:val="009B1B7E"/>
    <w:rsid w:val="009B20E5"/>
    <w:rsid w:val="009B250A"/>
    <w:rsid w:val="009B2A95"/>
    <w:rsid w:val="009B3239"/>
    <w:rsid w:val="009B3480"/>
    <w:rsid w:val="009B34F3"/>
    <w:rsid w:val="009B356A"/>
    <w:rsid w:val="009B35FD"/>
    <w:rsid w:val="009B38AC"/>
    <w:rsid w:val="009B4111"/>
    <w:rsid w:val="009B4407"/>
    <w:rsid w:val="009B48F6"/>
    <w:rsid w:val="009B545A"/>
    <w:rsid w:val="009B54B4"/>
    <w:rsid w:val="009B550F"/>
    <w:rsid w:val="009B5A81"/>
    <w:rsid w:val="009B5AC9"/>
    <w:rsid w:val="009B6C80"/>
    <w:rsid w:val="009B6CAB"/>
    <w:rsid w:val="009B6F63"/>
    <w:rsid w:val="009B700B"/>
    <w:rsid w:val="009B727E"/>
    <w:rsid w:val="009B7329"/>
    <w:rsid w:val="009B760F"/>
    <w:rsid w:val="009B7A8A"/>
    <w:rsid w:val="009C020A"/>
    <w:rsid w:val="009C03C8"/>
    <w:rsid w:val="009C0947"/>
    <w:rsid w:val="009C0ADE"/>
    <w:rsid w:val="009C0CC0"/>
    <w:rsid w:val="009C0D0C"/>
    <w:rsid w:val="009C10AE"/>
    <w:rsid w:val="009C19CE"/>
    <w:rsid w:val="009C1A35"/>
    <w:rsid w:val="009C1A66"/>
    <w:rsid w:val="009C1C38"/>
    <w:rsid w:val="009C21BC"/>
    <w:rsid w:val="009C27F1"/>
    <w:rsid w:val="009C320F"/>
    <w:rsid w:val="009C3533"/>
    <w:rsid w:val="009C3A76"/>
    <w:rsid w:val="009C3B8B"/>
    <w:rsid w:val="009C4531"/>
    <w:rsid w:val="009C4798"/>
    <w:rsid w:val="009C4C70"/>
    <w:rsid w:val="009C4E73"/>
    <w:rsid w:val="009C4F9F"/>
    <w:rsid w:val="009C53C4"/>
    <w:rsid w:val="009C56B9"/>
    <w:rsid w:val="009C57A4"/>
    <w:rsid w:val="009C5A41"/>
    <w:rsid w:val="009C5D60"/>
    <w:rsid w:val="009C6692"/>
    <w:rsid w:val="009C6698"/>
    <w:rsid w:val="009C680B"/>
    <w:rsid w:val="009C6CAD"/>
    <w:rsid w:val="009C76B4"/>
    <w:rsid w:val="009C7800"/>
    <w:rsid w:val="009C7AFB"/>
    <w:rsid w:val="009D0022"/>
    <w:rsid w:val="009D053C"/>
    <w:rsid w:val="009D0815"/>
    <w:rsid w:val="009D0A84"/>
    <w:rsid w:val="009D0F23"/>
    <w:rsid w:val="009D1247"/>
    <w:rsid w:val="009D1BA7"/>
    <w:rsid w:val="009D1EE3"/>
    <w:rsid w:val="009D20B0"/>
    <w:rsid w:val="009D212C"/>
    <w:rsid w:val="009D21CD"/>
    <w:rsid w:val="009D22EF"/>
    <w:rsid w:val="009D26DC"/>
    <w:rsid w:val="009D2A6D"/>
    <w:rsid w:val="009D2E5C"/>
    <w:rsid w:val="009D357D"/>
    <w:rsid w:val="009D437B"/>
    <w:rsid w:val="009D4998"/>
    <w:rsid w:val="009D50D8"/>
    <w:rsid w:val="009D511A"/>
    <w:rsid w:val="009D5246"/>
    <w:rsid w:val="009D52C2"/>
    <w:rsid w:val="009D550D"/>
    <w:rsid w:val="009D5B60"/>
    <w:rsid w:val="009D5CBB"/>
    <w:rsid w:val="009D5D77"/>
    <w:rsid w:val="009D62C8"/>
    <w:rsid w:val="009D6460"/>
    <w:rsid w:val="009D657F"/>
    <w:rsid w:val="009D6BCB"/>
    <w:rsid w:val="009D6BDC"/>
    <w:rsid w:val="009D6C40"/>
    <w:rsid w:val="009D6C81"/>
    <w:rsid w:val="009D6CD4"/>
    <w:rsid w:val="009D6CD5"/>
    <w:rsid w:val="009D7F4F"/>
    <w:rsid w:val="009E013A"/>
    <w:rsid w:val="009E02B5"/>
    <w:rsid w:val="009E05A6"/>
    <w:rsid w:val="009E063A"/>
    <w:rsid w:val="009E079F"/>
    <w:rsid w:val="009E0FC1"/>
    <w:rsid w:val="009E10EF"/>
    <w:rsid w:val="009E1557"/>
    <w:rsid w:val="009E1734"/>
    <w:rsid w:val="009E19EC"/>
    <w:rsid w:val="009E1E38"/>
    <w:rsid w:val="009E1E7F"/>
    <w:rsid w:val="009E2204"/>
    <w:rsid w:val="009E24FB"/>
    <w:rsid w:val="009E28D7"/>
    <w:rsid w:val="009E2E31"/>
    <w:rsid w:val="009E3019"/>
    <w:rsid w:val="009E3321"/>
    <w:rsid w:val="009E35D9"/>
    <w:rsid w:val="009E3800"/>
    <w:rsid w:val="009E3AE0"/>
    <w:rsid w:val="009E41E8"/>
    <w:rsid w:val="009E4807"/>
    <w:rsid w:val="009E4810"/>
    <w:rsid w:val="009E4B69"/>
    <w:rsid w:val="009E599A"/>
    <w:rsid w:val="009E5C63"/>
    <w:rsid w:val="009E5E39"/>
    <w:rsid w:val="009E5F1A"/>
    <w:rsid w:val="009E60A3"/>
    <w:rsid w:val="009E60D3"/>
    <w:rsid w:val="009E6372"/>
    <w:rsid w:val="009E645D"/>
    <w:rsid w:val="009E6B35"/>
    <w:rsid w:val="009E71BA"/>
    <w:rsid w:val="009E762A"/>
    <w:rsid w:val="009E764B"/>
    <w:rsid w:val="009E765A"/>
    <w:rsid w:val="009E7686"/>
    <w:rsid w:val="009E778C"/>
    <w:rsid w:val="009E7912"/>
    <w:rsid w:val="009E7939"/>
    <w:rsid w:val="009E7AFF"/>
    <w:rsid w:val="009E7C97"/>
    <w:rsid w:val="009E7EA8"/>
    <w:rsid w:val="009E7F73"/>
    <w:rsid w:val="009F0034"/>
    <w:rsid w:val="009F0526"/>
    <w:rsid w:val="009F0639"/>
    <w:rsid w:val="009F0930"/>
    <w:rsid w:val="009F0AA6"/>
    <w:rsid w:val="009F0D85"/>
    <w:rsid w:val="009F0FC9"/>
    <w:rsid w:val="009F14B7"/>
    <w:rsid w:val="009F2711"/>
    <w:rsid w:val="009F2ECE"/>
    <w:rsid w:val="009F300D"/>
    <w:rsid w:val="009F3019"/>
    <w:rsid w:val="009F311C"/>
    <w:rsid w:val="009F323E"/>
    <w:rsid w:val="009F3821"/>
    <w:rsid w:val="009F386E"/>
    <w:rsid w:val="009F39B0"/>
    <w:rsid w:val="009F39CD"/>
    <w:rsid w:val="009F3BFE"/>
    <w:rsid w:val="009F3E0F"/>
    <w:rsid w:val="009F3ED4"/>
    <w:rsid w:val="009F42C1"/>
    <w:rsid w:val="009F441D"/>
    <w:rsid w:val="009F4774"/>
    <w:rsid w:val="009F4EB9"/>
    <w:rsid w:val="009F5129"/>
    <w:rsid w:val="009F56BA"/>
    <w:rsid w:val="009F5C5C"/>
    <w:rsid w:val="009F5FA8"/>
    <w:rsid w:val="009F5FC3"/>
    <w:rsid w:val="009F6B2F"/>
    <w:rsid w:val="009F6C6C"/>
    <w:rsid w:val="009F6CA0"/>
    <w:rsid w:val="009F79D5"/>
    <w:rsid w:val="009F7DF2"/>
    <w:rsid w:val="00A00390"/>
    <w:rsid w:val="00A00816"/>
    <w:rsid w:val="00A01188"/>
    <w:rsid w:val="00A0181D"/>
    <w:rsid w:val="00A01CD6"/>
    <w:rsid w:val="00A022D9"/>
    <w:rsid w:val="00A025EF"/>
    <w:rsid w:val="00A026AA"/>
    <w:rsid w:val="00A02771"/>
    <w:rsid w:val="00A02CC7"/>
    <w:rsid w:val="00A0334F"/>
    <w:rsid w:val="00A0347B"/>
    <w:rsid w:val="00A0350E"/>
    <w:rsid w:val="00A03BE4"/>
    <w:rsid w:val="00A03C71"/>
    <w:rsid w:val="00A03EF3"/>
    <w:rsid w:val="00A04674"/>
    <w:rsid w:val="00A04767"/>
    <w:rsid w:val="00A04850"/>
    <w:rsid w:val="00A04D66"/>
    <w:rsid w:val="00A04F0D"/>
    <w:rsid w:val="00A04F53"/>
    <w:rsid w:val="00A053EE"/>
    <w:rsid w:val="00A05635"/>
    <w:rsid w:val="00A05DF7"/>
    <w:rsid w:val="00A05F27"/>
    <w:rsid w:val="00A06354"/>
    <w:rsid w:val="00A063E0"/>
    <w:rsid w:val="00A06687"/>
    <w:rsid w:val="00A07AC0"/>
    <w:rsid w:val="00A07E41"/>
    <w:rsid w:val="00A07F76"/>
    <w:rsid w:val="00A10146"/>
    <w:rsid w:val="00A10549"/>
    <w:rsid w:val="00A10E31"/>
    <w:rsid w:val="00A1120F"/>
    <w:rsid w:val="00A119CA"/>
    <w:rsid w:val="00A12590"/>
    <w:rsid w:val="00A12C2F"/>
    <w:rsid w:val="00A12C72"/>
    <w:rsid w:val="00A12EB7"/>
    <w:rsid w:val="00A1339F"/>
    <w:rsid w:val="00A13521"/>
    <w:rsid w:val="00A13756"/>
    <w:rsid w:val="00A13886"/>
    <w:rsid w:val="00A138B4"/>
    <w:rsid w:val="00A13910"/>
    <w:rsid w:val="00A13A8F"/>
    <w:rsid w:val="00A13AFE"/>
    <w:rsid w:val="00A13C8F"/>
    <w:rsid w:val="00A13D4A"/>
    <w:rsid w:val="00A13DE1"/>
    <w:rsid w:val="00A13ED2"/>
    <w:rsid w:val="00A14182"/>
    <w:rsid w:val="00A1450D"/>
    <w:rsid w:val="00A14636"/>
    <w:rsid w:val="00A147A6"/>
    <w:rsid w:val="00A1483D"/>
    <w:rsid w:val="00A149AD"/>
    <w:rsid w:val="00A14E0E"/>
    <w:rsid w:val="00A15099"/>
    <w:rsid w:val="00A15F81"/>
    <w:rsid w:val="00A164A2"/>
    <w:rsid w:val="00A168AD"/>
    <w:rsid w:val="00A16E30"/>
    <w:rsid w:val="00A1706D"/>
    <w:rsid w:val="00A170FE"/>
    <w:rsid w:val="00A17434"/>
    <w:rsid w:val="00A17AF6"/>
    <w:rsid w:val="00A17E34"/>
    <w:rsid w:val="00A20024"/>
    <w:rsid w:val="00A201E8"/>
    <w:rsid w:val="00A2029F"/>
    <w:rsid w:val="00A20402"/>
    <w:rsid w:val="00A2067F"/>
    <w:rsid w:val="00A20750"/>
    <w:rsid w:val="00A20C5B"/>
    <w:rsid w:val="00A20EDD"/>
    <w:rsid w:val="00A2103E"/>
    <w:rsid w:val="00A21258"/>
    <w:rsid w:val="00A21549"/>
    <w:rsid w:val="00A2159D"/>
    <w:rsid w:val="00A216C4"/>
    <w:rsid w:val="00A21739"/>
    <w:rsid w:val="00A21780"/>
    <w:rsid w:val="00A21886"/>
    <w:rsid w:val="00A21AE9"/>
    <w:rsid w:val="00A21DC8"/>
    <w:rsid w:val="00A21F40"/>
    <w:rsid w:val="00A220B6"/>
    <w:rsid w:val="00A22C18"/>
    <w:rsid w:val="00A22D89"/>
    <w:rsid w:val="00A22F70"/>
    <w:rsid w:val="00A22FB0"/>
    <w:rsid w:val="00A23291"/>
    <w:rsid w:val="00A23D4D"/>
    <w:rsid w:val="00A2404B"/>
    <w:rsid w:val="00A242D8"/>
    <w:rsid w:val="00A244A7"/>
    <w:rsid w:val="00A24B1C"/>
    <w:rsid w:val="00A24CAD"/>
    <w:rsid w:val="00A2501A"/>
    <w:rsid w:val="00A250FA"/>
    <w:rsid w:val="00A252DE"/>
    <w:rsid w:val="00A255E5"/>
    <w:rsid w:val="00A25701"/>
    <w:rsid w:val="00A258E0"/>
    <w:rsid w:val="00A25BD2"/>
    <w:rsid w:val="00A25E1A"/>
    <w:rsid w:val="00A26345"/>
    <w:rsid w:val="00A263AB"/>
    <w:rsid w:val="00A2678A"/>
    <w:rsid w:val="00A26876"/>
    <w:rsid w:val="00A26A9E"/>
    <w:rsid w:val="00A26BD6"/>
    <w:rsid w:val="00A26D9C"/>
    <w:rsid w:val="00A26DA5"/>
    <w:rsid w:val="00A26F9F"/>
    <w:rsid w:val="00A27395"/>
    <w:rsid w:val="00A27677"/>
    <w:rsid w:val="00A27C4D"/>
    <w:rsid w:val="00A303B0"/>
    <w:rsid w:val="00A30687"/>
    <w:rsid w:val="00A308CC"/>
    <w:rsid w:val="00A30A8F"/>
    <w:rsid w:val="00A30D04"/>
    <w:rsid w:val="00A30F71"/>
    <w:rsid w:val="00A311A4"/>
    <w:rsid w:val="00A31242"/>
    <w:rsid w:val="00A31A54"/>
    <w:rsid w:val="00A31EF5"/>
    <w:rsid w:val="00A326DB"/>
    <w:rsid w:val="00A32A1A"/>
    <w:rsid w:val="00A32C53"/>
    <w:rsid w:val="00A3311B"/>
    <w:rsid w:val="00A33275"/>
    <w:rsid w:val="00A33479"/>
    <w:rsid w:val="00A336EA"/>
    <w:rsid w:val="00A33A8E"/>
    <w:rsid w:val="00A33EA3"/>
    <w:rsid w:val="00A34291"/>
    <w:rsid w:val="00A34344"/>
    <w:rsid w:val="00A345A5"/>
    <w:rsid w:val="00A3475F"/>
    <w:rsid w:val="00A34A16"/>
    <w:rsid w:val="00A34F83"/>
    <w:rsid w:val="00A350BA"/>
    <w:rsid w:val="00A35BE0"/>
    <w:rsid w:val="00A35F99"/>
    <w:rsid w:val="00A36034"/>
    <w:rsid w:val="00A36660"/>
    <w:rsid w:val="00A36C53"/>
    <w:rsid w:val="00A36DB5"/>
    <w:rsid w:val="00A37251"/>
    <w:rsid w:val="00A37281"/>
    <w:rsid w:val="00A37E42"/>
    <w:rsid w:val="00A4040A"/>
    <w:rsid w:val="00A404FB"/>
    <w:rsid w:val="00A4064C"/>
    <w:rsid w:val="00A4085B"/>
    <w:rsid w:val="00A40C6F"/>
    <w:rsid w:val="00A40F8D"/>
    <w:rsid w:val="00A411A4"/>
    <w:rsid w:val="00A41285"/>
    <w:rsid w:val="00A417B3"/>
    <w:rsid w:val="00A41933"/>
    <w:rsid w:val="00A41E2C"/>
    <w:rsid w:val="00A421B7"/>
    <w:rsid w:val="00A42C8F"/>
    <w:rsid w:val="00A42D91"/>
    <w:rsid w:val="00A42DDB"/>
    <w:rsid w:val="00A4387D"/>
    <w:rsid w:val="00A43A21"/>
    <w:rsid w:val="00A43DC1"/>
    <w:rsid w:val="00A44046"/>
    <w:rsid w:val="00A44955"/>
    <w:rsid w:val="00A44C37"/>
    <w:rsid w:val="00A45128"/>
    <w:rsid w:val="00A45146"/>
    <w:rsid w:val="00A452EB"/>
    <w:rsid w:val="00A45DFA"/>
    <w:rsid w:val="00A466B2"/>
    <w:rsid w:val="00A46DA0"/>
    <w:rsid w:val="00A46FBA"/>
    <w:rsid w:val="00A4746D"/>
    <w:rsid w:val="00A47897"/>
    <w:rsid w:val="00A47ED4"/>
    <w:rsid w:val="00A47EE2"/>
    <w:rsid w:val="00A500D6"/>
    <w:rsid w:val="00A501E8"/>
    <w:rsid w:val="00A50854"/>
    <w:rsid w:val="00A50896"/>
    <w:rsid w:val="00A5090A"/>
    <w:rsid w:val="00A50A39"/>
    <w:rsid w:val="00A50B7C"/>
    <w:rsid w:val="00A51512"/>
    <w:rsid w:val="00A51D96"/>
    <w:rsid w:val="00A51E89"/>
    <w:rsid w:val="00A51EED"/>
    <w:rsid w:val="00A520B5"/>
    <w:rsid w:val="00A52625"/>
    <w:rsid w:val="00A52DD0"/>
    <w:rsid w:val="00A5363C"/>
    <w:rsid w:val="00A545A5"/>
    <w:rsid w:val="00A549AB"/>
    <w:rsid w:val="00A54B98"/>
    <w:rsid w:val="00A54C55"/>
    <w:rsid w:val="00A55549"/>
    <w:rsid w:val="00A557F7"/>
    <w:rsid w:val="00A55A58"/>
    <w:rsid w:val="00A55D1C"/>
    <w:rsid w:val="00A55E0C"/>
    <w:rsid w:val="00A565D1"/>
    <w:rsid w:val="00A567EC"/>
    <w:rsid w:val="00A56B69"/>
    <w:rsid w:val="00A56D47"/>
    <w:rsid w:val="00A56DF7"/>
    <w:rsid w:val="00A57496"/>
    <w:rsid w:val="00A57524"/>
    <w:rsid w:val="00A576B6"/>
    <w:rsid w:val="00A57A12"/>
    <w:rsid w:val="00A57B12"/>
    <w:rsid w:val="00A6025C"/>
    <w:rsid w:val="00A6038F"/>
    <w:rsid w:val="00A60423"/>
    <w:rsid w:val="00A608F1"/>
    <w:rsid w:val="00A60B3D"/>
    <w:rsid w:val="00A60D94"/>
    <w:rsid w:val="00A61A7D"/>
    <w:rsid w:val="00A620EF"/>
    <w:rsid w:val="00A6336F"/>
    <w:rsid w:val="00A63471"/>
    <w:rsid w:val="00A63475"/>
    <w:rsid w:val="00A63B64"/>
    <w:rsid w:val="00A63BF9"/>
    <w:rsid w:val="00A63D4F"/>
    <w:rsid w:val="00A640AC"/>
    <w:rsid w:val="00A64337"/>
    <w:rsid w:val="00A64CD2"/>
    <w:rsid w:val="00A64D29"/>
    <w:rsid w:val="00A64E3E"/>
    <w:rsid w:val="00A6516F"/>
    <w:rsid w:val="00A65514"/>
    <w:rsid w:val="00A6556B"/>
    <w:rsid w:val="00A658AE"/>
    <w:rsid w:val="00A6596C"/>
    <w:rsid w:val="00A659E6"/>
    <w:rsid w:val="00A65AF8"/>
    <w:rsid w:val="00A65BA5"/>
    <w:rsid w:val="00A65C53"/>
    <w:rsid w:val="00A65D2D"/>
    <w:rsid w:val="00A65D7D"/>
    <w:rsid w:val="00A66515"/>
    <w:rsid w:val="00A672FD"/>
    <w:rsid w:val="00A67322"/>
    <w:rsid w:val="00A67329"/>
    <w:rsid w:val="00A675FE"/>
    <w:rsid w:val="00A677BA"/>
    <w:rsid w:val="00A67C23"/>
    <w:rsid w:val="00A67D1A"/>
    <w:rsid w:val="00A70303"/>
    <w:rsid w:val="00A70687"/>
    <w:rsid w:val="00A71232"/>
    <w:rsid w:val="00A7151F"/>
    <w:rsid w:val="00A715B2"/>
    <w:rsid w:val="00A716F7"/>
    <w:rsid w:val="00A71E9D"/>
    <w:rsid w:val="00A7200B"/>
    <w:rsid w:val="00A72435"/>
    <w:rsid w:val="00A72595"/>
    <w:rsid w:val="00A726A9"/>
    <w:rsid w:val="00A727F2"/>
    <w:rsid w:val="00A731D3"/>
    <w:rsid w:val="00A73C1D"/>
    <w:rsid w:val="00A74169"/>
    <w:rsid w:val="00A74196"/>
    <w:rsid w:val="00A7487E"/>
    <w:rsid w:val="00A74A15"/>
    <w:rsid w:val="00A74C7D"/>
    <w:rsid w:val="00A74DAB"/>
    <w:rsid w:val="00A756C9"/>
    <w:rsid w:val="00A75807"/>
    <w:rsid w:val="00A75A72"/>
    <w:rsid w:val="00A75C3D"/>
    <w:rsid w:val="00A75D00"/>
    <w:rsid w:val="00A75D7E"/>
    <w:rsid w:val="00A7645F"/>
    <w:rsid w:val="00A7651C"/>
    <w:rsid w:val="00A765EE"/>
    <w:rsid w:val="00A76A22"/>
    <w:rsid w:val="00A76DEA"/>
    <w:rsid w:val="00A77153"/>
    <w:rsid w:val="00A7745A"/>
    <w:rsid w:val="00A77521"/>
    <w:rsid w:val="00A77AD3"/>
    <w:rsid w:val="00A77B8A"/>
    <w:rsid w:val="00A80068"/>
    <w:rsid w:val="00A804C2"/>
    <w:rsid w:val="00A807EC"/>
    <w:rsid w:val="00A80CDB"/>
    <w:rsid w:val="00A80F4F"/>
    <w:rsid w:val="00A81378"/>
    <w:rsid w:val="00A81481"/>
    <w:rsid w:val="00A814A2"/>
    <w:rsid w:val="00A81BA1"/>
    <w:rsid w:val="00A81FC8"/>
    <w:rsid w:val="00A82105"/>
    <w:rsid w:val="00A8222A"/>
    <w:rsid w:val="00A82798"/>
    <w:rsid w:val="00A82A2C"/>
    <w:rsid w:val="00A82AFF"/>
    <w:rsid w:val="00A82DD4"/>
    <w:rsid w:val="00A83148"/>
    <w:rsid w:val="00A833A8"/>
    <w:rsid w:val="00A83F0A"/>
    <w:rsid w:val="00A83F25"/>
    <w:rsid w:val="00A84376"/>
    <w:rsid w:val="00A844D2"/>
    <w:rsid w:val="00A84537"/>
    <w:rsid w:val="00A84DB0"/>
    <w:rsid w:val="00A84F5C"/>
    <w:rsid w:val="00A866B9"/>
    <w:rsid w:val="00A86BCD"/>
    <w:rsid w:val="00A87256"/>
    <w:rsid w:val="00A8732C"/>
    <w:rsid w:val="00A87589"/>
    <w:rsid w:val="00A8758A"/>
    <w:rsid w:val="00A87897"/>
    <w:rsid w:val="00A87942"/>
    <w:rsid w:val="00A87C96"/>
    <w:rsid w:val="00A87DB1"/>
    <w:rsid w:val="00A9011C"/>
    <w:rsid w:val="00A901FD"/>
    <w:rsid w:val="00A9036D"/>
    <w:rsid w:val="00A9037A"/>
    <w:rsid w:val="00A904D0"/>
    <w:rsid w:val="00A90636"/>
    <w:rsid w:val="00A90723"/>
    <w:rsid w:val="00A90AE8"/>
    <w:rsid w:val="00A90CBF"/>
    <w:rsid w:val="00A91211"/>
    <w:rsid w:val="00A914AA"/>
    <w:rsid w:val="00A91C40"/>
    <w:rsid w:val="00A91ED6"/>
    <w:rsid w:val="00A91F1C"/>
    <w:rsid w:val="00A91FA5"/>
    <w:rsid w:val="00A9219B"/>
    <w:rsid w:val="00A922C5"/>
    <w:rsid w:val="00A92946"/>
    <w:rsid w:val="00A92A9E"/>
    <w:rsid w:val="00A932F4"/>
    <w:rsid w:val="00A93305"/>
    <w:rsid w:val="00A9330D"/>
    <w:rsid w:val="00A93519"/>
    <w:rsid w:val="00A9353E"/>
    <w:rsid w:val="00A93A56"/>
    <w:rsid w:val="00A93A6C"/>
    <w:rsid w:val="00A93B1B"/>
    <w:rsid w:val="00A93B66"/>
    <w:rsid w:val="00A942C0"/>
    <w:rsid w:val="00A943EC"/>
    <w:rsid w:val="00A94570"/>
    <w:rsid w:val="00A94584"/>
    <w:rsid w:val="00A947A4"/>
    <w:rsid w:val="00A94A70"/>
    <w:rsid w:val="00A94C82"/>
    <w:rsid w:val="00A94DD7"/>
    <w:rsid w:val="00A950A0"/>
    <w:rsid w:val="00A954E9"/>
    <w:rsid w:val="00A954FB"/>
    <w:rsid w:val="00A95592"/>
    <w:rsid w:val="00A958DA"/>
    <w:rsid w:val="00A95FA1"/>
    <w:rsid w:val="00A95FF8"/>
    <w:rsid w:val="00A960CB"/>
    <w:rsid w:val="00A9655F"/>
    <w:rsid w:val="00A96736"/>
    <w:rsid w:val="00A96BC1"/>
    <w:rsid w:val="00A96C2A"/>
    <w:rsid w:val="00A97006"/>
    <w:rsid w:val="00A9735C"/>
    <w:rsid w:val="00A975FB"/>
    <w:rsid w:val="00A9771E"/>
    <w:rsid w:val="00A97C39"/>
    <w:rsid w:val="00A97EB2"/>
    <w:rsid w:val="00AA0116"/>
    <w:rsid w:val="00AA046F"/>
    <w:rsid w:val="00AA062F"/>
    <w:rsid w:val="00AA0C38"/>
    <w:rsid w:val="00AA1198"/>
    <w:rsid w:val="00AA12D8"/>
    <w:rsid w:val="00AA1AE4"/>
    <w:rsid w:val="00AA1CEC"/>
    <w:rsid w:val="00AA1D75"/>
    <w:rsid w:val="00AA1E39"/>
    <w:rsid w:val="00AA20CA"/>
    <w:rsid w:val="00AA235D"/>
    <w:rsid w:val="00AA2E47"/>
    <w:rsid w:val="00AA36E9"/>
    <w:rsid w:val="00AA3D34"/>
    <w:rsid w:val="00AA3E9F"/>
    <w:rsid w:val="00AA436E"/>
    <w:rsid w:val="00AA456E"/>
    <w:rsid w:val="00AA4C97"/>
    <w:rsid w:val="00AA5882"/>
    <w:rsid w:val="00AA5BFD"/>
    <w:rsid w:val="00AA5CB4"/>
    <w:rsid w:val="00AA5F28"/>
    <w:rsid w:val="00AA63D0"/>
    <w:rsid w:val="00AA66D8"/>
    <w:rsid w:val="00AA6B95"/>
    <w:rsid w:val="00AA6F57"/>
    <w:rsid w:val="00AA77DF"/>
    <w:rsid w:val="00AA7873"/>
    <w:rsid w:val="00AA7C41"/>
    <w:rsid w:val="00AA7D0C"/>
    <w:rsid w:val="00AA7E22"/>
    <w:rsid w:val="00AA7FB7"/>
    <w:rsid w:val="00AB01D7"/>
    <w:rsid w:val="00AB028E"/>
    <w:rsid w:val="00AB0A78"/>
    <w:rsid w:val="00AB10F1"/>
    <w:rsid w:val="00AB155F"/>
    <w:rsid w:val="00AB16EC"/>
    <w:rsid w:val="00AB1A63"/>
    <w:rsid w:val="00AB1F45"/>
    <w:rsid w:val="00AB1F91"/>
    <w:rsid w:val="00AB2044"/>
    <w:rsid w:val="00AB249E"/>
    <w:rsid w:val="00AB2BAB"/>
    <w:rsid w:val="00AB3028"/>
    <w:rsid w:val="00AB3646"/>
    <w:rsid w:val="00AB37CC"/>
    <w:rsid w:val="00AB3AD2"/>
    <w:rsid w:val="00AB42FB"/>
    <w:rsid w:val="00AB4308"/>
    <w:rsid w:val="00AB447D"/>
    <w:rsid w:val="00AB4502"/>
    <w:rsid w:val="00AB4B20"/>
    <w:rsid w:val="00AB4CAA"/>
    <w:rsid w:val="00AB57E3"/>
    <w:rsid w:val="00AB5875"/>
    <w:rsid w:val="00AB5CAF"/>
    <w:rsid w:val="00AB5F1A"/>
    <w:rsid w:val="00AB6230"/>
    <w:rsid w:val="00AB648F"/>
    <w:rsid w:val="00AB64E2"/>
    <w:rsid w:val="00AB6C94"/>
    <w:rsid w:val="00AB7260"/>
    <w:rsid w:val="00AB733C"/>
    <w:rsid w:val="00AB74DA"/>
    <w:rsid w:val="00AB7EEB"/>
    <w:rsid w:val="00AC00A5"/>
    <w:rsid w:val="00AC02F9"/>
    <w:rsid w:val="00AC0C48"/>
    <w:rsid w:val="00AC15DB"/>
    <w:rsid w:val="00AC181F"/>
    <w:rsid w:val="00AC1873"/>
    <w:rsid w:val="00AC1E9E"/>
    <w:rsid w:val="00AC1EC7"/>
    <w:rsid w:val="00AC20A7"/>
    <w:rsid w:val="00AC227A"/>
    <w:rsid w:val="00AC274C"/>
    <w:rsid w:val="00AC3910"/>
    <w:rsid w:val="00AC39F1"/>
    <w:rsid w:val="00AC3B5C"/>
    <w:rsid w:val="00AC4516"/>
    <w:rsid w:val="00AC478C"/>
    <w:rsid w:val="00AC4D4C"/>
    <w:rsid w:val="00AC4E2E"/>
    <w:rsid w:val="00AC53D1"/>
    <w:rsid w:val="00AC547C"/>
    <w:rsid w:val="00AC5B21"/>
    <w:rsid w:val="00AC5D10"/>
    <w:rsid w:val="00AC7268"/>
    <w:rsid w:val="00AC7275"/>
    <w:rsid w:val="00AC72C8"/>
    <w:rsid w:val="00AC7404"/>
    <w:rsid w:val="00AC798A"/>
    <w:rsid w:val="00AC7A21"/>
    <w:rsid w:val="00AC7D10"/>
    <w:rsid w:val="00AD0292"/>
    <w:rsid w:val="00AD14D0"/>
    <w:rsid w:val="00AD177C"/>
    <w:rsid w:val="00AD2272"/>
    <w:rsid w:val="00AD2704"/>
    <w:rsid w:val="00AD2EAD"/>
    <w:rsid w:val="00AD30A9"/>
    <w:rsid w:val="00AD3717"/>
    <w:rsid w:val="00AD3BA9"/>
    <w:rsid w:val="00AD3F77"/>
    <w:rsid w:val="00AD44FE"/>
    <w:rsid w:val="00AD4944"/>
    <w:rsid w:val="00AD4952"/>
    <w:rsid w:val="00AD4FEC"/>
    <w:rsid w:val="00AD555E"/>
    <w:rsid w:val="00AD55DE"/>
    <w:rsid w:val="00AD5CB0"/>
    <w:rsid w:val="00AD5ED1"/>
    <w:rsid w:val="00AD5F75"/>
    <w:rsid w:val="00AD61B3"/>
    <w:rsid w:val="00AD656C"/>
    <w:rsid w:val="00AD68B2"/>
    <w:rsid w:val="00AD6D8E"/>
    <w:rsid w:val="00AD7531"/>
    <w:rsid w:val="00AD7BB9"/>
    <w:rsid w:val="00AD7C98"/>
    <w:rsid w:val="00AD7DEF"/>
    <w:rsid w:val="00AD7F75"/>
    <w:rsid w:val="00AE020B"/>
    <w:rsid w:val="00AE025E"/>
    <w:rsid w:val="00AE027B"/>
    <w:rsid w:val="00AE0371"/>
    <w:rsid w:val="00AE037C"/>
    <w:rsid w:val="00AE0432"/>
    <w:rsid w:val="00AE0492"/>
    <w:rsid w:val="00AE0544"/>
    <w:rsid w:val="00AE0A3E"/>
    <w:rsid w:val="00AE0B84"/>
    <w:rsid w:val="00AE146C"/>
    <w:rsid w:val="00AE1572"/>
    <w:rsid w:val="00AE15A7"/>
    <w:rsid w:val="00AE178C"/>
    <w:rsid w:val="00AE1E72"/>
    <w:rsid w:val="00AE1EF3"/>
    <w:rsid w:val="00AE20BC"/>
    <w:rsid w:val="00AE2174"/>
    <w:rsid w:val="00AE27BA"/>
    <w:rsid w:val="00AE27D7"/>
    <w:rsid w:val="00AE2A36"/>
    <w:rsid w:val="00AE31AD"/>
    <w:rsid w:val="00AE3421"/>
    <w:rsid w:val="00AE3D6F"/>
    <w:rsid w:val="00AE4205"/>
    <w:rsid w:val="00AE4336"/>
    <w:rsid w:val="00AE4610"/>
    <w:rsid w:val="00AE4E40"/>
    <w:rsid w:val="00AE5404"/>
    <w:rsid w:val="00AE54BB"/>
    <w:rsid w:val="00AE5ADD"/>
    <w:rsid w:val="00AE5EFE"/>
    <w:rsid w:val="00AE6922"/>
    <w:rsid w:val="00AE7457"/>
    <w:rsid w:val="00AE79D4"/>
    <w:rsid w:val="00AE7B70"/>
    <w:rsid w:val="00AE7C05"/>
    <w:rsid w:val="00AE7E02"/>
    <w:rsid w:val="00AE7F7F"/>
    <w:rsid w:val="00AF02E7"/>
    <w:rsid w:val="00AF033F"/>
    <w:rsid w:val="00AF037D"/>
    <w:rsid w:val="00AF0D58"/>
    <w:rsid w:val="00AF11A9"/>
    <w:rsid w:val="00AF12C9"/>
    <w:rsid w:val="00AF1379"/>
    <w:rsid w:val="00AF192F"/>
    <w:rsid w:val="00AF1C27"/>
    <w:rsid w:val="00AF1E00"/>
    <w:rsid w:val="00AF217A"/>
    <w:rsid w:val="00AF3589"/>
    <w:rsid w:val="00AF3601"/>
    <w:rsid w:val="00AF3BC4"/>
    <w:rsid w:val="00AF3BD9"/>
    <w:rsid w:val="00AF3BFA"/>
    <w:rsid w:val="00AF3C9A"/>
    <w:rsid w:val="00AF3D00"/>
    <w:rsid w:val="00AF3DE2"/>
    <w:rsid w:val="00AF40C2"/>
    <w:rsid w:val="00AF418F"/>
    <w:rsid w:val="00AF454E"/>
    <w:rsid w:val="00AF47F7"/>
    <w:rsid w:val="00AF47F9"/>
    <w:rsid w:val="00AF4841"/>
    <w:rsid w:val="00AF4ADF"/>
    <w:rsid w:val="00AF52AB"/>
    <w:rsid w:val="00AF5541"/>
    <w:rsid w:val="00AF5671"/>
    <w:rsid w:val="00AF5A79"/>
    <w:rsid w:val="00AF5D97"/>
    <w:rsid w:val="00AF621C"/>
    <w:rsid w:val="00AF68B0"/>
    <w:rsid w:val="00AF6BC3"/>
    <w:rsid w:val="00AF6CCC"/>
    <w:rsid w:val="00AF6FAB"/>
    <w:rsid w:val="00AF7260"/>
    <w:rsid w:val="00AF743F"/>
    <w:rsid w:val="00AF75F8"/>
    <w:rsid w:val="00AF78B8"/>
    <w:rsid w:val="00AF7A6A"/>
    <w:rsid w:val="00AF7DF2"/>
    <w:rsid w:val="00B00019"/>
    <w:rsid w:val="00B000C7"/>
    <w:rsid w:val="00B0072B"/>
    <w:rsid w:val="00B007BD"/>
    <w:rsid w:val="00B00B6E"/>
    <w:rsid w:val="00B00C55"/>
    <w:rsid w:val="00B00C5B"/>
    <w:rsid w:val="00B00D6F"/>
    <w:rsid w:val="00B0109D"/>
    <w:rsid w:val="00B01399"/>
    <w:rsid w:val="00B01469"/>
    <w:rsid w:val="00B0185A"/>
    <w:rsid w:val="00B0192F"/>
    <w:rsid w:val="00B01DCE"/>
    <w:rsid w:val="00B02526"/>
    <w:rsid w:val="00B0294E"/>
    <w:rsid w:val="00B029E3"/>
    <w:rsid w:val="00B02A02"/>
    <w:rsid w:val="00B02B9E"/>
    <w:rsid w:val="00B02BE7"/>
    <w:rsid w:val="00B02C70"/>
    <w:rsid w:val="00B034BF"/>
    <w:rsid w:val="00B03955"/>
    <w:rsid w:val="00B03BB4"/>
    <w:rsid w:val="00B03DBB"/>
    <w:rsid w:val="00B04000"/>
    <w:rsid w:val="00B043D6"/>
    <w:rsid w:val="00B0450A"/>
    <w:rsid w:val="00B0496C"/>
    <w:rsid w:val="00B04987"/>
    <w:rsid w:val="00B04A2F"/>
    <w:rsid w:val="00B04BE6"/>
    <w:rsid w:val="00B04EA5"/>
    <w:rsid w:val="00B04F26"/>
    <w:rsid w:val="00B05566"/>
    <w:rsid w:val="00B05928"/>
    <w:rsid w:val="00B05B7D"/>
    <w:rsid w:val="00B05CDD"/>
    <w:rsid w:val="00B061E2"/>
    <w:rsid w:val="00B06312"/>
    <w:rsid w:val="00B064EB"/>
    <w:rsid w:val="00B065D1"/>
    <w:rsid w:val="00B065EE"/>
    <w:rsid w:val="00B06758"/>
    <w:rsid w:val="00B0692D"/>
    <w:rsid w:val="00B06AD4"/>
    <w:rsid w:val="00B06CAD"/>
    <w:rsid w:val="00B07B93"/>
    <w:rsid w:val="00B07D7B"/>
    <w:rsid w:val="00B07E3C"/>
    <w:rsid w:val="00B07F99"/>
    <w:rsid w:val="00B10288"/>
    <w:rsid w:val="00B10408"/>
    <w:rsid w:val="00B104DE"/>
    <w:rsid w:val="00B10CE0"/>
    <w:rsid w:val="00B111EA"/>
    <w:rsid w:val="00B1138D"/>
    <w:rsid w:val="00B121FD"/>
    <w:rsid w:val="00B123F5"/>
    <w:rsid w:val="00B129C7"/>
    <w:rsid w:val="00B12B54"/>
    <w:rsid w:val="00B12DFD"/>
    <w:rsid w:val="00B134F1"/>
    <w:rsid w:val="00B13A94"/>
    <w:rsid w:val="00B1406B"/>
    <w:rsid w:val="00B144D5"/>
    <w:rsid w:val="00B1485C"/>
    <w:rsid w:val="00B14B27"/>
    <w:rsid w:val="00B14CD3"/>
    <w:rsid w:val="00B14E52"/>
    <w:rsid w:val="00B150B1"/>
    <w:rsid w:val="00B1518D"/>
    <w:rsid w:val="00B152EA"/>
    <w:rsid w:val="00B158D4"/>
    <w:rsid w:val="00B16161"/>
    <w:rsid w:val="00B166B7"/>
    <w:rsid w:val="00B16812"/>
    <w:rsid w:val="00B1695D"/>
    <w:rsid w:val="00B16B18"/>
    <w:rsid w:val="00B16CDF"/>
    <w:rsid w:val="00B16E14"/>
    <w:rsid w:val="00B17E60"/>
    <w:rsid w:val="00B20778"/>
    <w:rsid w:val="00B21094"/>
    <w:rsid w:val="00B211B0"/>
    <w:rsid w:val="00B213A4"/>
    <w:rsid w:val="00B218FE"/>
    <w:rsid w:val="00B21B41"/>
    <w:rsid w:val="00B21DE3"/>
    <w:rsid w:val="00B21F2C"/>
    <w:rsid w:val="00B220DF"/>
    <w:rsid w:val="00B2236D"/>
    <w:rsid w:val="00B22387"/>
    <w:rsid w:val="00B22582"/>
    <w:rsid w:val="00B227E8"/>
    <w:rsid w:val="00B22AA6"/>
    <w:rsid w:val="00B22AF5"/>
    <w:rsid w:val="00B22D27"/>
    <w:rsid w:val="00B22EC6"/>
    <w:rsid w:val="00B22F55"/>
    <w:rsid w:val="00B2308D"/>
    <w:rsid w:val="00B23119"/>
    <w:rsid w:val="00B233C9"/>
    <w:rsid w:val="00B2365C"/>
    <w:rsid w:val="00B236FD"/>
    <w:rsid w:val="00B23800"/>
    <w:rsid w:val="00B23A62"/>
    <w:rsid w:val="00B245A4"/>
    <w:rsid w:val="00B247CE"/>
    <w:rsid w:val="00B251F2"/>
    <w:rsid w:val="00B2576A"/>
    <w:rsid w:val="00B2590C"/>
    <w:rsid w:val="00B25A9B"/>
    <w:rsid w:val="00B25EA0"/>
    <w:rsid w:val="00B26096"/>
    <w:rsid w:val="00B2627F"/>
    <w:rsid w:val="00B26326"/>
    <w:rsid w:val="00B263F6"/>
    <w:rsid w:val="00B266C4"/>
    <w:rsid w:val="00B26831"/>
    <w:rsid w:val="00B26DE1"/>
    <w:rsid w:val="00B27A41"/>
    <w:rsid w:val="00B27AC4"/>
    <w:rsid w:val="00B3056C"/>
    <w:rsid w:val="00B305A4"/>
    <w:rsid w:val="00B30695"/>
    <w:rsid w:val="00B3073F"/>
    <w:rsid w:val="00B3083A"/>
    <w:rsid w:val="00B3091A"/>
    <w:rsid w:val="00B30947"/>
    <w:rsid w:val="00B30B0D"/>
    <w:rsid w:val="00B30D08"/>
    <w:rsid w:val="00B30E86"/>
    <w:rsid w:val="00B30EA3"/>
    <w:rsid w:val="00B313B1"/>
    <w:rsid w:val="00B314B5"/>
    <w:rsid w:val="00B314C4"/>
    <w:rsid w:val="00B31537"/>
    <w:rsid w:val="00B316DC"/>
    <w:rsid w:val="00B31AD0"/>
    <w:rsid w:val="00B321E3"/>
    <w:rsid w:val="00B3275C"/>
    <w:rsid w:val="00B328A4"/>
    <w:rsid w:val="00B32FEE"/>
    <w:rsid w:val="00B3330F"/>
    <w:rsid w:val="00B34397"/>
    <w:rsid w:val="00B348B8"/>
    <w:rsid w:val="00B34C5A"/>
    <w:rsid w:val="00B34FCF"/>
    <w:rsid w:val="00B35034"/>
    <w:rsid w:val="00B3509F"/>
    <w:rsid w:val="00B359E8"/>
    <w:rsid w:val="00B36178"/>
    <w:rsid w:val="00B3618B"/>
    <w:rsid w:val="00B36362"/>
    <w:rsid w:val="00B364F1"/>
    <w:rsid w:val="00B3666B"/>
    <w:rsid w:val="00B36AED"/>
    <w:rsid w:val="00B36FA5"/>
    <w:rsid w:val="00B377DD"/>
    <w:rsid w:val="00B3794F"/>
    <w:rsid w:val="00B4006A"/>
    <w:rsid w:val="00B400E5"/>
    <w:rsid w:val="00B40210"/>
    <w:rsid w:val="00B40410"/>
    <w:rsid w:val="00B40416"/>
    <w:rsid w:val="00B40888"/>
    <w:rsid w:val="00B40AAF"/>
    <w:rsid w:val="00B40B44"/>
    <w:rsid w:val="00B40BE4"/>
    <w:rsid w:val="00B40E35"/>
    <w:rsid w:val="00B40FCC"/>
    <w:rsid w:val="00B419DA"/>
    <w:rsid w:val="00B41A0B"/>
    <w:rsid w:val="00B41A8D"/>
    <w:rsid w:val="00B41AD9"/>
    <w:rsid w:val="00B41B0C"/>
    <w:rsid w:val="00B41EB4"/>
    <w:rsid w:val="00B423E2"/>
    <w:rsid w:val="00B42FFF"/>
    <w:rsid w:val="00B430AE"/>
    <w:rsid w:val="00B43433"/>
    <w:rsid w:val="00B4381E"/>
    <w:rsid w:val="00B43DCB"/>
    <w:rsid w:val="00B43FEE"/>
    <w:rsid w:val="00B4402C"/>
    <w:rsid w:val="00B446C2"/>
    <w:rsid w:val="00B44A8A"/>
    <w:rsid w:val="00B44AFB"/>
    <w:rsid w:val="00B44D44"/>
    <w:rsid w:val="00B45273"/>
    <w:rsid w:val="00B45341"/>
    <w:rsid w:val="00B4542C"/>
    <w:rsid w:val="00B45C45"/>
    <w:rsid w:val="00B45D48"/>
    <w:rsid w:val="00B45DA9"/>
    <w:rsid w:val="00B461E2"/>
    <w:rsid w:val="00B46232"/>
    <w:rsid w:val="00B464A0"/>
    <w:rsid w:val="00B46557"/>
    <w:rsid w:val="00B46969"/>
    <w:rsid w:val="00B46BDA"/>
    <w:rsid w:val="00B46C1B"/>
    <w:rsid w:val="00B47AE7"/>
    <w:rsid w:val="00B500DA"/>
    <w:rsid w:val="00B5010E"/>
    <w:rsid w:val="00B5036B"/>
    <w:rsid w:val="00B50AC5"/>
    <w:rsid w:val="00B50B14"/>
    <w:rsid w:val="00B50C79"/>
    <w:rsid w:val="00B50C81"/>
    <w:rsid w:val="00B51559"/>
    <w:rsid w:val="00B51687"/>
    <w:rsid w:val="00B51D90"/>
    <w:rsid w:val="00B5236A"/>
    <w:rsid w:val="00B52681"/>
    <w:rsid w:val="00B52742"/>
    <w:rsid w:val="00B52936"/>
    <w:rsid w:val="00B52E0E"/>
    <w:rsid w:val="00B533F1"/>
    <w:rsid w:val="00B53574"/>
    <w:rsid w:val="00B537A6"/>
    <w:rsid w:val="00B53994"/>
    <w:rsid w:val="00B53BA3"/>
    <w:rsid w:val="00B53C54"/>
    <w:rsid w:val="00B540FF"/>
    <w:rsid w:val="00B541A3"/>
    <w:rsid w:val="00B541FD"/>
    <w:rsid w:val="00B54255"/>
    <w:rsid w:val="00B54461"/>
    <w:rsid w:val="00B545BC"/>
    <w:rsid w:val="00B55015"/>
    <w:rsid w:val="00B5529B"/>
    <w:rsid w:val="00B557FA"/>
    <w:rsid w:val="00B55A70"/>
    <w:rsid w:val="00B56054"/>
    <w:rsid w:val="00B563B5"/>
    <w:rsid w:val="00B56641"/>
    <w:rsid w:val="00B56762"/>
    <w:rsid w:val="00B56DA9"/>
    <w:rsid w:val="00B571AA"/>
    <w:rsid w:val="00B57257"/>
    <w:rsid w:val="00B57ADA"/>
    <w:rsid w:val="00B57B21"/>
    <w:rsid w:val="00B57BB8"/>
    <w:rsid w:val="00B6001A"/>
    <w:rsid w:val="00B60417"/>
    <w:rsid w:val="00B606E7"/>
    <w:rsid w:val="00B607B1"/>
    <w:rsid w:val="00B60C2C"/>
    <w:rsid w:val="00B60F5D"/>
    <w:rsid w:val="00B61476"/>
    <w:rsid w:val="00B61950"/>
    <w:rsid w:val="00B619A9"/>
    <w:rsid w:val="00B61AB6"/>
    <w:rsid w:val="00B61C1C"/>
    <w:rsid w:val="00B61C8B"/>
    <w:rsid w:val="00B625B5"/>
    <w:rsid w:val="00B625CE"/>
    <w:rsid w:val="00B627EC"/>
    <w:rsid w:val="00B629A1"/>
    <w:rsid w:val="00B63332"/>
    <w:rsid w:val="00B633B6"/>
    <w:rsid w:val="00B63A7D"/>
    <w:rsid w:val="00B63E76"/>
    <w:rsid w:val="00B63F13"/>
    <w:rsid w:val="00B646D7"/>
    <w:rsid w:val="00B64A05"/>
    <w:rsid w:val="00B64F38"/>
    <w:rsid w:val="00B64F4C"/>
    <w:rsid w:val="00B6554C"/>
    <w:rsid w:val="00B65FD3"/>
    <w:rsid w:val="00B66012"/>
    <w:rsid w:val="00B663D5"/>
    <w:rsid w:val="00B665C9"/>
    <w:rsid w:val="00B667B8"/>
    <w:rsid w:val="00B6690A"/>
    <w:rsid w:val="00B66B2E"/>
    <w:rsid w:val="00B66E2A"/>
    <w:rsid w:val="00B6710D"/>
    <w:rsid w:val="00B6720B"/>
    <w:rsid w:val="00B67283"/>
    <w:rsid w:val="00B67A89"/>
    <w:rsid w:val="00B704B3"/>
    <w:rsid w:val="00B708F9"/>
    <w:rsid w:val="00B71721"/>
    <w:rsid w:val="00B71E26"/>
    <w:rsid w:val="00B72023"/>
    <w:rsid w:val="00B724B0"/>
    <w:rsid w:val="00B7263B"/>
    <w:rsid w:val="00B7277A"/>
    <w:rsid w:val="00B72909"/>
    <w:rsid w:val="00B72991"/>
    <w:rsid w:val="00B72C78"/>
    <w:rsid w:val="00B72CFE"/>
    <w:rsid w:val="00B72E22"/>
    <w:rsid w:val="00B72FDA"/>
    <w:rsid w:val="00B731D0"/>
    <w:rsid w:val="00B73AF2"/>
    <w:rsid w:val="00B73D0E"/>
    <w:rsid w:val="00B7407B"/>
    <w:rsid w:val="00B742E0"/>
    <w:rsid w:val="00B74A09"/>
    <w:rsid w:val="00B74ADF"/>
    <w:rsid w:val="00B74C37"/>
    <w:rsid w:val="00B74FBB"/>
    <w:rsid w:val="00B751B4"/>
    <w:rsid w:val="00B75408"/>
    <w:rsid w:val="00B75845"/>
    <w:rsid w:val="00B75DA2"/>
    <w:rsid w:val="00B75E7F"/>
    <w:rsid w:val="00B763DC"/>
    <w:rsid w:val="00B76570"/>
    <w:rsid w:val="00B766F0"/>
    <w:rsid w:val="00B767DA"/>
    <w:rsid w:val="00B76866"/>
    <w:rsid w:val="00B76A66"/>
    <w:rsid w:val="00B772C6"/>
    <w:rsid w:val="00B775A7"/>
    <w:rsid w:val="00B7770B"/>
    <w:rsid w:val="00B77A36"/>
    <w:rsid w:val="00B80092"/>
    <w:rsid w:val="00B800F9"/>
    <w:rsid w:val="00B8067E"/>
    <w:rsid w:val="00B806B0"/>
    <w:rsid w:val="00B80A16"/>
    <w:rsid w:val="00B80CA5"/>
    <w:rsid w:val="00B80E63"/>
    <w:rsid w:val="00B81711"/>
    <w:rsid w:val="00B81756"/>
    <w:rsid w:val="00B81895"/>
    <w:rsid w:val="00B825B9"/>
    <w:rsid w:val="00B82AA0"/>
    <w:rsid w:val="00B82CF4"/>
    <w:rsid w:val="00B82D81"/>
    <w:rsid w:val="00B83166"/>
    <w:rsid w:val="00B83417"/>
    <w:rsid w:val="00B83832"/>
    <w:rsid w:val="00B83D7A"/>
    <w:rsid w:val="00B83FE5"/>
    <w:rsid w:val="00B84500"/>
    <w:rsid w:val="00B84965"/>
    <w:rsid w:val="00B84C91"/>
    <w:rsid w:val="00B852DC"/>
    <w:rsid w:val="00B853C1"/>
    <w:rsid w:val="00B853C4"/>
    <w:rsid w:val="00B85403"/>
    <w:rsid w:val="00B85B90"/>
    <w:rsid w:val="00B85E2B"/>
    <w:rsid w:val="00B85EFD"/>
    <w:rsid w:val="00B85F71"/>
    <w:rsid w:val="00B8605B"/>
    <w:rsid w:val="00B86404"/>
    <w:rsid w:val="00B8703E"/>
    <w:rsid w:val="00B87251"/>
    <w:rsid w:val="00B875CB"/>
    <w:rsid w:val="00B87BF5"/>
    <w:rsid w:val="00B87E4F"/>
    <w:rsid w:val="00B90114"/>
    <w:rsid w:val="00B902D9"/>
    <w:rsid w:val="00B9050E"/>
    <w:rsid w:val="00B9079B"/>
    <w:rsid w:val="00B91D54"/>
    <w:rsid w:val="00B91E0D"/>
    <w:rsid w:val="00B92161"/>
    <w:rsid w:val="00B929CF"/>
    <w:rsid w:val="00B92A36"/>
    <w:rsid w:val="00B93937"/>
    <w:rsid w:val="00B93957"/>
    <w:rsid w:val="00B93BB6"/>
    <w:rsid w:val="00B93D5E"/>
    <w:rsid w:val="00B94061"/>
    <w:rsid w:val="00B94563"/>
    <w:rsid w:val="00B945C8"/>
    <w:rsid w:val="00B946AF"/>
    <w:rsid w:val="00B9470E"/>
    <w:rsid w:val="00B94D82"/>
    <w:rsid w:val="00B94DEE"/>
    <w:rsid w:val="00B952C9"/>
    <w:rsid w:val="00B95586"/>
    <w:rsid w:val="00B9567F"/>
    <w:rsid w:val="00B961FF"/>
    <w:rsid w:val="00B964CB"/>
    <w:rsid w:val="00B96668"/>
    <w:rsid w:val="00B967EF"/>
    <w:rsid w:val="00B96B24"/>
    <w:rsid w:val="00B96BC0"/>
    <w:rsid w:val="00B97087"/>
    <w:rsid w:val="00B97F6B"/>
    <w:rsid w:val="00BA02A6"/>
    <w:rsid w:val="00BA0AAF"/>
    <w:rsid w:val="00BA0ED6"/>
    <w:rsid w:val="00BA1129"/>
    <w:rsid w:val="00BA1348"/>
    <w:rsid w:val="00BA1403"/>
    <w:rsid w:val="00BA16E8"/>
    <w:rsid w:val="00BA1853"/>
    <w:rsid w:val="00BA23C4"/>
    <w:rsid w:val="00BA248A"/>
    <w:rsid w:val="00BA27D4"/>
    <w:rsid w:val="00BA2A47"/>
    <w:rsid w:val="00BA2B02"/>
    <w:rsid w:val="00BA2CA7"/>
    <w:rsid w:val="00BA370A"/>
    <w:rsid w:val="00BA3BFF"/>
    <w:rsid w:val="00BA3DF7"/>
    <w:rsid w:val="00BA3F94"/>
    <w:rsid w:val="00BA40F3"/>
    <w:rsid w:val="00BA4680"/>
    <w:rsid w:val="00BA47E1"/>
    <w:rsid w:val="00BA49C6"/>
    <w:rsid w:val="00BA5548"/>
    <w:rsid w:val="00BA5CC1"/>
    <w:rsid w:val="00BA5EC8"/>
    <w:rsid w:val="00BA61B5"/>
    <w:rsid w:val="00BA6344"/>
    <w:rsid w:val="00BA65EB"/>
    <w:rsid w:val="00BA66C7"/>
    <w:rsid w:val="00BA6EEF"/>
    <w:rsid w:val="00BA7B2C"/>
    <w:rsid w:val="00BA7E8C"/>
    <w:rsid w:val="00BB059B"/>
    <w:rsid w:val="00BB0709"/>
    <w:rsid w:val="00BB0B5C"/>
    <w:rsid w:val="00BB0BFF"/>
    <w:rsid w:val="00BB0ED2"/>
    <w:rsid w:val="00BB0F8C"/>
    <w:rsid w:val="00BB13BA"/>
    <w:rsid w:val="00BB1BD4"/>
    <w:rsid w:val="00BB1EA9"/>
    <w:rsid w:val="00BB21E4"/>
    <w:rsid w:val="00BB22C6"/>
    <w:rsid w:val="00BB274B"/>
    <w:rsid w:val="00BB2CE3"/>
    <w:rsid w:val="00BB2D33"/>
    <w:rsid w:val="00BB2FD9"/>
    <w:rsid w:val="00BB3630"/>
    <w:rsid w:val="00BB363C"/>
    <w:rsid w:val="00BB38DA"/>
    <w:rsid w:val="00BB3FB2"/>
    <w:rsid w:val="00BB4452"/>
    <w:rsid w:val="00BB45F5"/>
    <w:rsid w:val="00BB473A"/>
    <w:rsid w:val="00BB4915"/>
    <w:rsid w:val="00BB4A79"/>
    <w:rsid w:val="00BB4C75"/>
    <w:rsid w:val="00BB4CFE"/>
    <w:rsid w:val="00BB4DC7"/>
    <w:rsid w:val="00BB51C5"/>
    <w:rsid w:val="00BB51FC"/>
    <w:rsid w:val="00BB54D3"/>
    <w:rsid w:val="00BB58A3"/>
    <w:rsid w:val="00BB639F"/>
    <w:rsid w:val="00BB64DF"/>
    <w:rsid w:val="00BB6583"/>
    <w:rsid w:val="00BB6821"/>
    <w:rsid w:val="00BB68EC"/>
    <w:rsid w:val="00BB6FB0"/>
    <w:rsid w:val="00BB704B"/>
    <w:rsid w:val="00BB7612"/>
    <w:rsid w:val="00BB7625"/>
    <w:rsid w:val="00BB76D3"/>
    <w:rsid w:val="00BB7940"/>
    <w:rsid w:val="00BB7A89"/>
    <w:rsid w:val="00BB7B7E"/>
    <w:rsid w:val="00BB7EDD"/>
    <w:rsid w:val="00BB7EE3"/>
    <w:rsid w:val="00BC04C4"/>
    <w:rsid w:val="00BC0ECD"/>
    <w:rsid w:val="00BC11F9"/>
    <w:rsid w:val="00BC12D1"/>
    <w:rsid w:val="00BC13B9"/>
    <w:rsid w:val="00BC1671"/>
    <w:rsid w:val="00BC1683"/>
    <w:rsid w:val="00BC1B5E"/>
    <w:rsid w:val="00BC1D22"/>
    <w:rsid w:val="00BC1DBF"/>
    <w:rsid w:val="00BC2169"/>
    <w:rsid w:val="00BC2515"/>
    <w:rsid w:val="00BC2683"/>
    <w:rsid w:val="00BC29BE"/>
    <w:rsid w:val="00BC29C8"/>
    <w:rsid w:val="00BC2B13"/>
    <w:rsid w:val="00BC2D99"/>
    <w:rsid w:val="00BC3003"/>
    <w:rsid w:val="00BC35C7"/>
    <w:rsid w:val="00BC3618"/>
    <w:rsid w:val="00BC373E"/>
    <w:rsid w:val="00BC3CE9"/>
    <w:rsid w:val="00BC3FAE"/>
    <w:rsid w:val="00BC3FBA"/>
    <w:rsid w:val="00BC4006"/>
    <w:rsid w:val="00BC4054"/>
    <w:rsid w:val="00BC40A9"/>
    <w:rsid w:val="00BC4357"/>
    <w:rsid w:val="00BC456A"/>
    <w:rsid w:val="00BC46DF"/>
    <w:rsid w:val="00BC4B89"/>
    <w:rsid w:val="00BC51EE"/>
    <w:rsid w:val="00BC5372"/>
    <w:rsid w:val="00BC5502"/>
    <w:rsid w:val="00BC5578"/>
    <w:rsid w:val="00BC56E1"/>
    <w:rsid w:val="00BC56F7"/>
    <w:rsid w:val="00BC5873"/>
    <w:rsid w:val="00BC5B10"/>
    <w:rsid w:val="00BC61D8"/>
    <w:rsid w:val="00BC625F"/>
    <w:rsid w:val="00BC64A7"/>
    <w:rsid w:val="00BC6E14"/>
    <w:rsid w:val="00BC7406"/>
    <w:rsid w:val="00BC75A2"/>
    <w:rsid w:val="00BC7623"/>
    <w:rsid w:val="00BD011A"/>
    <w:rsid w:val="00BD02F4"/>
    <w:rsid w:val="00BD066C"/>
    <w:rsid w:val="00BD0B7E"/>
    <w:rsid w:val="00BD0F61"/>
    <w:rsid w:val="00BD1382"/>
    <w:rsid w:val="00BD1584"/>
    <w:rsid w:val="00BD189F"/>
    <w:rsid w:val="00BD1A1C"/>
    <w:rsid w:val="00BD1A57"/>
    <w:rsid w:val="00BD1CB6"/>
    <w:rsid w:val="00BD20C1"/>
    <w:rsid w:val="00BD218C"/>
    <w:rsid w:val="00BD29B4"/>
    <w:rsid w:val="00BD2FEE"/>
    <w:rsid w:val="00BD3180"/>
    <w:rsid w:val="00BD3342"/>
    <w:rsid w:val="00BD39E2"/>
    <w:rsid w:val="00BD3C96"/>
    <w:rsid w:val="00BD3E44"/>
    <w:rsid w:val="00BD3EDF"/>
    <w:rsid w:val="00BD4186"/>
    <w:rsid w:val="00BD42E6"/>
    <w:rsid w:val="00BD45FE"/>
    <w:rsid w:val="00BD4707"/>
    <w:rsid w:val="00BD4D3E"/>
    <w:rsid w:val="00BD5287"/>
    <w:rsid w:val="00BD5594"/>
    <w:rsid w:val="00BD55B7"/>
    <w:rsid w:val="00BD5687"/>
    <w:rsid w:val="00BD58F0"/>
    <w:rsid w:val="00BD5B8D"/>
    <w:rsid w:val="00BD5C56"/>
    <w:rsid w:val="00BD5DDB"/>
    <w:rsid w:val="00BD5EA0"/>
    <w:rsid w:val="00BD6095"/>
    <w:rsid w:val="00BD6269"/>
    <w:rsid w:val="00BD6651"/>
    <w:rsid w:val="00BD69E0"/>
    <w:rsid w:val="00BD6BAB"/>
    <w:rsid w:val="00BD6BE5"/>
    <w:rsid w:val="00BD6DE4"/>
    <w:rsid w:val="00BD6E28"/>
    <w:rsid w:val="00BD6E4E"/>
    <w:rsid w:val="00BD6E52"/>
    <w:rsid w:val="00BD729A"/>
    <w:rsid w:val="00BD7457"/>
    <w:rsid w:val="00BD74C4"/>
    <w:rsid w:val="00BD77B5"/>
    <w:rsid w:val="00BD7AA9"/>
    <w:rsid w:val="00BD7AB9"/>
    <w:rsid w:val="00BD7BA6"/>
    <w:rsid w:val="00BD7E6E"/>
    <w:rsid w:val="00BE06F7"/>
    <w:rsid w:val="00BE08D9"/>
    <w:rsid w:val="00BE0E1F"/>
    <w:rsid w:val="00BE0F00"/>
    <w:rsid w:val="00BE11C1"/>
    <w:rsid w:val="00BE17B2"/>
    <w:rsid w:val="00BE184B"/>
    <w:rsid w:val="00BE1896"/>
    <w:rsid w:val="00BE1C34"/>
    <w:rsid w:val="00BE23FA"/>
    <w:rsid w:val="00BE2C97"/>
    <w:rsid w:val="00BE2DE7"/>
    <w:rsid w:val="00BE2E26"/>
    <w:rsid w:val="00BE3141"/>
    <w:rsid w:val="00BE34A2"/>
    <w:rsid w:val="00BE34DD"/>
    <w:rsid w:val="00BE38E7"/>
    <w:rsid w:val="00BE3966"/>
    <w:rsid w:val="00BE469E"/>
    <w:rsid w:val="00BE4757"/>
    <w:rsid w:val="00BE4EBC"/>
    <w:rsid w:val="00BE57E7"/>
    <w:rsid w:val="00BE58B3"/>
    <w:rsid w:val="00BE5B9E"/>
    <w:rsid w:val="00BE6048"/>
    <w:rsid w:val="00BE6129"/>
    <w:rsid w:val="00BE6188"/>
    <w:rsid w:val="00BE622A"/>
    <w:rsid w:val="00BE6572"/>
    <w:rsid w:val="00BE690E"/>
    <w:rsid w:val="00BE6FA5"/>
    <w:rsid w:val="00BE6FBA"/>
    <w:rsid w:val="00BE7DBB"/>
    <w:rsid w:val="00BE7FC0"/>
    <w:rsid w:val="00BF04FF"/>
    <w:rsid w:val="00BF053E"/>
    <w:rsid w:val="00BF0673"/>
    <w:rsid w:val="00BF081F"/>
    <w:rsid w:val="00BF0ECB"/>
    <w:rsid w:val="00BF1123"/>
    <w:rsid w:val="00BF1282"/>
    <w:rsid w:val="00BF13A7"/>
    <w:rsid w:val="00BF1549"/>
    <w:rsid w:val="00BF19C4"/>
    <w:rsid w:val="00BF1B1C"/>
    <w:rsid w:val="00BF216E"/>
    <w:rsid w:val="00BF21B3"/>
    <w:rsid w:val="00BF246C"/>
    <w:rsid w:val="00BF27C0"/>
    <w:rsid w:val="00BF28AB"/>
    <w:rsid w:val="00BF2BA6"/>
    <w:rsid w:val="00BF2EFE"/>
    <w:rsid w:val="00BF3302"/>
    <w:rsid w:val="00BF366B"/>
    <w:rsid w:val="00BF3FA4"/>
    <w:rsid w:val="00BF430B"/>
    <w:rsid w:val="00BF431E"/>
    <w:rsid w:val="00BF467D"/>
    <w:rsid w:val="00BF4726"/>
    <w:rsid w:val="00BF4909"/>
    <w:rsid w:val="00BF54C3"/>
    <w:rsid w:val="00BF5565"/>
    <w:rsid w:val="00BF55D3"/>
    <w:rsid w:val="00BF5F2D"/>
    <w:rsid w:val="00BF6265"/>
    <w:rsid w:val="00BF651F"/>
    <w:rsid w:val="00BF65A5"/>
    <w:rsid w:val="00BF6748"/>
    <w:rsid w:val="00BF6828"/>
    <w:rsid w:val="00BF695B"/>
    <w:rsid w:val="00BF6975"/>
    <w:rsid w:val="00BF6A1A"/>
    <w:rsid w:val="00BF6B27"/>
    <w:rsid w:val="00BF6C1A"/>
    <w:rsid w:val="00BF6ED3"/>
    <w:rsid w:val="00BF7226"/>
    <w:rsid w:val="00BF75F0"/>
    <w:rsid w:val="00BF7D5B"/>
    <w:rsid w:val="00C002F7"/>
    <w:rsid w:val="00C00E2A"/>
    <w:rsid w:val="00C01EF7"/>
    <w:rsid w:val="00C020CB"/>
    <w:rsid w:val="00C02919"/>
    <w:rsid w:val="00C02971"/>
    <w:rsid w:val="00C02E19"/>
    <w:rsid w:val="00C03517"/>
    <w:rsid w:val="00C037D1"/>
    <w:rsid w:val="00C03CC0"/>
    <w:rsid w:val="00C03DC6"/>
    <w:rsid w:val="00C03DEC"/>
    <w:rsid w:val="00C03E9D"/>
    <w:rsid w:val="00C040F0"/>
    <w:rsid w:val="00C04370"/>
    <w:rsid w:val="00C045C8"/>
    <w:rsid w:val="00C04855"/>
    <w:rsid w:val="00C04994"/>
    <w:rsid w:val="00C04B8D"/>
    <w:rsid w:val="00C04EA0"/>
    <w:rsid w:val="00C05822"/>
    <w:rsid w:val="00C0588F"/>
    <w:rsid w:val="00C05B78"/>
    <w:rsid w:val="00C05EE4"/>
    <w:rsid w:val="00C05FC8"/>
    <w:rsid w:val="00C0628A"/>
    <w:rsid w:val="00C06397"/>
    <w:rsid w:val="00C063DB"/>
    <w:rsid w:val="00C06644"/>
    <w:rsid w:val="00C0686B"/>
    <w:rsid w:val="00C06954"/>
    <w:rsid w:val="00C072B7"/>
    <w:rsid w:val="00C07715"/>
    <w:rsid w:val="00C077B8"/>
    <w:rsid w:val="00C07809"/>
    <w:rsid w:val="00C07A55"/>
    <w:rsid w:val="00C07B12"/>
    <w:rsid w:val="00C07EA3"/>
    <w:rsid w:val="00C07FBB"/>
    <w:rsid w:val="00C100A3"/>
    <w:rsid w:val="00C102C2"/>
    <w:rsid w:val="00C10427"/>
    <w:rsid w:val="00C1068A"/>
    <w:rsid w:val="00C114A4"/>
    <w:rsid w:val="00C114D7"/>
    <w:rsid w:val="00C116FA"/>
    <w:rsid w:val="00C1194B"/>
    <w:rsid w:val="00C11EED"/>
    <w:rsid w:val="00C124B8"/>
    <w:rsid w:val="00C12B91"/>
    <w:rsid w:val="00C12E77"/>
    <w:rsid w:val="00C1346B"/>
    <w:rsid w:val="00C134F0"/>
    <w:rsid w:val="00C13B21"/>
    <w:rsid w:val="00C13D5A"/>
    <w:rsid w:val="00C13E4C"/>
    <w:rsid w:val="00C144BE"/>
    <w:rsid w:val="00C144D9"/>
    <w:rsid w:val="00C14551"/>
    <w:rsid w:val="00C1477F"/>
    <w:rsid w:val="00C147F4"/>
    <w:rsid w:val="00C14A21"/>
    <w:rsid w:val="00C1529B"/>
    <w:rsid w:val="00C152B4"/>
    <w:rsid w:val="00C15A67"/>
    <w:rsid w:val="00C1630C"/>
    <w:rsid w:val="00C1648E"/>
    <w:rsid w:val="00C16DDD"/>
    <w:rsid w:val="00C16E9D"/>
    <w:rsid w:val="00C16EB4"/>
    <w:rsid w:val="00C16F86"/>
    <w:rsid w:val="00C170AB"/>
    <w:rsid w:val="00C1744F"/>
    <w:rsid w:val="00C177BB"/>
    <w:rsid w:val="00C1785D"/>
    <w:rsid w:val="00C20171"/>
    <w:rsid w:val="00C2052E"/>
    <w:rsid w:val="00C206B2"/>
    <w:rsid w:val="00C207E3"/>
    <w:rsid w:val="00C20AA1"/>
    <w:rsid w:val="00C21005"/>
    <w:rsid w:val="00C21283"/>
    <w:rsid w:val="00C21361"/>
    <w:rsid w:val="00C21DFB"/>
    <w:rsid w:val="00C222A0"/>
    <w:rsid w:val="00C223E5"/>
    <w:rsid w:val="00C22E75"/>
    <w:rsid w:val="00C22ED4"/>
    <w:rsid w:val="00C23282"/>
    <w:rsid w:val="00C23286"/>
    <w:rsid w:val="00C234D7"/>
    <w:rsid w:val="00C2354F"/>
    <w:rsid w:val="00C237D9"/>
    <w:rsid w:val="00C23A16"/>
    <w:rsid w:val="00C23B35"/>
    <w:rsid w:val="00C23BC1"/>
    <w:rsid w:val="00C23DE5"/>
    <w:rsid w:val="00C24149"/>
    <w:rsid w:val="00C2423F"/>
    <w:rsid w:val="00C2449D"/>
    <w:rsid w:val="00C245E2"/>
    <w:rsid w:val="00C24635"/>
    <w:rsid w:val="00C24755"/>
    <w:rsid w:val="00C249B5"/>
    <w:rsid w:val="00C24CFA"/>
    <w:rsid w:val="00C25082"/>
    <w:rsid w:val="00C253BF"/>
    <w:rsid w:val="00C25874"/>
    <w:rsid w:val="00C2591E"/>
    <w:rsid w:val="00C25E16"/>
    <w:rsid w:val="00C25F5A"/>
    <w:rsid w:val="00C2621D"/>
    <w:rsid w:val="00C266F2"/>
    <w:rsid w:val="00C2670A"/>
    <w:rsid w:val="00C2672F"/>
    <w:rsid w:val="00C2687A"/>
    <w:rsid w:val="00C269AE"/>
    <w:rsid w:val="00C26DB4"/>
    <w:rsid w:val="00C26DDA"/>
    <w:rsid w:val="00C26E61"/>
    <w:rsid w:val="00C27231"/>
    <w:rsid w:val="00C27B25"/>
    <w:rsid w:val="00C303EF"/>
    <w:rsid w:val="00C306B6"/>
    <w:rsid w:val="00C30ACF"/>
    <w:rsid w:val="00C30ECB"/>
    <w:rsid w:val="00C31274"/>
    <w:rsid w:val="00C314F6"/>
    <w:rsid w:val="00C31746"/>
    <w:rsid w:val="00C31AC5"/>
    <w:rsid w:val="00C31E28"/>
    <w:rsid w:val="00C31F5A"/>
    <w:rsid w:val="00C32107"/>
    <w:rsid w:val="00C32437"/>
    <w:rsid w:val="00C32AA4"/>
    <w:rsid w:val="00C32B13"/>
    <w:rsid w:val="00C33090"/>
    <w:rsid w:val="00C334A5"/>
    <w:rsid w:val="00C334E9"/>
    <w:rsid w:val="00C33637"/>
    <w:rsid w:val="00C336A7"/>
    <w:rsid w:val="00C3371F"/>
    <w:rsid w:val="00C34050"/>
    <w:rsid w:val="00C34317"/>
    <w:rsid w:val="00C344CA"/>
    <w:rsid w:val="00C348EF"/>
    <w:rsid w:val="00C34F64"/>
    <w:rsid w:val="00C35A7D"/>
    <w:rsid w:val="00C36052"/>
    <w:rsid w:val="00C365CD"/>
    <w:rsid w:val="00C3675E"/>
    <w:rsid w:val="00C3749E"/>
    <w:rsid w:val="00C3751E"/>
    <w:rsid w:val="00C377D6"/>
    <w:rsid w:val="00C37849"/>
    <w:rsid w:val="00C37904"/>
    <w:rsid w:val="00C37B0D"/>
    <w:rsid w:val="00C40118"/>
    <w:rsid w:val="00C405B1"/>
    <w:rsid w:val="00C406EA"/>
    <w:rsid w:val="00C40807"/>
    <w:rsid w:val="00C4087E"/>
    <w:rsid w:val="00C408BB"/>
    <w:rsid w:val="00C410AA"/>
    <w:rsid w:val="00C41115"/>
    <w:rsid w:val="00C412F8"/>
    <w:rsid w:val="00C41652"/>
    <w:rsid w:val="00C41A91"/>
    <w:rsid w:val="00C41C6D"/>
    <w:rsid w:val="00C41D08"/>
    <w:rsid w:val="00C42077"/>
    <w:rsid w:val="00C42846"/>
    <w:rsid w:val="00C42908"/>
    <w:rsid w:val="00C42B6D"/>
    <w:rsid w:val="00C42DF0"/>
    <w:rsid w:val="00C43068"/>
    <w:rsid w:val="00C4372A"/>
    <w:rsid w:val="00C43A76"/>
    <w:rsid w:val="00C43BF9"/>
    <w:rsid w:val="00C43D0F"/>
    <w:rsid w:val="00C43E4D"/>
    <w:rsid w:val="00C43F29"/>
    <w:rsid w:val="00C43FC6"/>
    <w:rsid w:val="00C441A6"/>
    <w:rsid w:val="00C44210"/>
    <w:rsid w:val="00C44373"/>
    <w:rsid w:val="00C443CA"/>
    <w:rsid w:val="00C447B8"/>
    <w:rsid w:val="00C44A4C"/>
    <w:rsid w:val="00C456A4"/>
    <w:rsid w:val="00C45E2D"/>
    <w:rsid w:val="00C462FE"/>
    <w:rsid w:val="00C465BB"/>
    <w:rsid w:val="00C467FB"/>
    <w:rsid w:val="00C46ACD"/>
    <w:rsid w:val="00C46E35"/>
    <w:rsid w:val="00C47035"/>
    <w:rsid w:val="00C474E8"/>
    <w:rsid w:val="00C476A4"/>
    <w:rsid w:val="00C477AF"/>
    <w:rsid w:val="00C50776"/>
    <w:rsid w:val="00C50832"/>
    <w:rsid w:val="00C508C0"/>
    <w:rsid w:val="00C5093E"/>
    <w:rsid w:val="00C50D3C"/>
    <w:rsid w:val="00C5105D"/>
    <w:rsid w:val="00C51298"/>
    <w:rsid w:val="00C517C0"/>
    <w:rsid w:val="00C51AE7"/>
    <w:rsid w:val="00C51D59"/>
    <w:rsid w:val="00C521EA"/>
    <w:rsid w:val="00C5220F"/>
    <w:rsid w:val="00C52353"/>
    <w:rsid w:val="00C52691"/>
    <w:rsid w:val="00C52B5A"/>
    <w:rsid w:val="00C5329E"/>
    <w:rsid w:val="00C53CC2"/>
    <w:rsid w:val="00C53E2E"/>
    <w:rsid w:val="00C54076"/>
    <w:rsid w:val="00C544C1"/>
    <w:rsid w:val="00C54AC8"/>
    <w:rsid w:val="00C54B97"/>
    <w:rsid w:val="00C5544D"/>
    <w:rsid w:val="00C55673"/>
    <w:rsid w:val="00C55705"/>
    <w:rsid w:val="00C55B73"/>
    <w:rsid w:val="00C55E49"/>
    <w:rsid w:val="00C5640C"/>
    <w:rsid w:val="00C56552"/>
    <w:rsid w:val="00C568AA"/>
    <w:rsid w:val="00C57225"/>
    <w:rsid w:val="00C57449"/>
    <w:rsid w:val="00C577A5"/>
    <w:rsid w:val="00C57823"/>
    <w:rsid w:val="00C578B7"/>
    <w:rsid w:val="00C57D4D"/>
    <w:rsid w:val="00C609C7"/>
    <w:rsid w:val="00C60D39"/>
    <w:rsid w:val="00C60DFA"/>
    <w:rsid w:val="00C6116F"/>
    <w:rsid w:val="00C61B2C"/>
    <w:rsid w:val="00C6238F"/>
    <w:rsid w:val="00C62764"/>
    <w:rsid w:val="00C62C7E"/>
    <w:rsid w:val="00C62E62"/>
    <w:rsid w:val="00C63026"/>
    <w:rsid w:val="00C63361"/>
    <w:rsid w:val="00C6337C"/>
    <w:rsid w:val="00C6386F"/>
    <w:rsid w:val="00C63902"/>
    <w:rsid w:val="00C63C76"/>
    <w:rsid w:val="00C64016"/>
    <w:rsid w:val="00C643C9"/>
    <w:rsid w:val="00C645EA"/>
    <w:rsid w:val="00C646D2"/>
    <w:rsid w:val="00C64715"/>
    <w:rsid w:val="00C64B16"/>
    <w:rsid w:val="00C64EAF"/>
    <w:rsid w:val="00C65167"/>
    <w:rsid w:val="00C6517F"/>
    <w:rsid w:val="00C6534B"/>
    <w:rsid w:val="00C65377"/>
    <w:rsid w:val="00C65438"/>
    <w:rsid w:val="00C65554"/>
    <w:rsid w:val="00C658DD"/>
    <w:rsid w:val="00C65E83"/>
    <w:rsid w:val="00C66118"/>
    <w:rsid w:val="00C6627F"/>
    <w:rsid w:val="00C664A1"/>
    <w:rsid w:val="00C667A5"/>
    <w:rsid w:val="00C66D5E"/>
    <w:rsid w:val="00C678D8"/>
    <w:rsid w:val="00C6798A"/>
    <w:rsid w:val="00C67CE1"/>
    <w:rsid w:val="00C704A2"/>
    <w:rsid w:val="00C705E3"/>
    <w:rsid w:val="00C7067F"/>
    <w:rsid w:val="00C707F7"/>
    <w:rsid w:val="00C71074"/>
    <w:rsid w:val="00C71179"/>
    <w:rsid w:val="00C712BD"/>
    <w:rsid w:val="00C71346"/>
    <w:rsid w:val="00C71436"/>
    <w:rsid w:val="00C71EE5"/>
    <w:rsid w:val="00C71F06"/>
    <w:rsid w:val="00C72081"/>
    <w:rsid w:val="00C7223A"/>
    <w:rsid w:val="00C7252D"/>
    <w:rsid w:val="00C726EA"/>
    <w:rsid w:val="00C72F1E"/>
    <w:rsid w:val="00C73506"/>
    <w:rsid w:val="00C73509"/>
    <w:rsid w:val="00C73BC7"/>
    <w:rsid w:val="00C74287"/>
    <w:rsid w:val="00C7470C"/>
    <w:rsid w:val="00C75048"/>
    <w:rsid w:val="00C75145"/>
    <w:rsid w:val="00C75971"/>
    <w:rsid w:val="00C75F7B"/>
    <w:rsid w:val="00C766E8"/>
    <w:rsid w:val="00C767AC"/>
    <w:rsid w:val="00C7692A"/>
    <w:rsid w:val="00C76959"/>
    <w:rsid w:val="00C76E23"/>
    <w:rsid w:val="00C76F25"/>
    <w:rsid w:val="00C7715E"/>
    <w:rsid w:val="00C77E30"/>
    <w:rsid w:val="00C80005"/>
    <w:rsid w:val="00C80740"/>
    <w:rsid w:val="00C80BCC"/>
    <w:rsid w:val="00C810C2"/>
    <w:rsid w:val="00C813E7"/>
    <w:rsid w:val="00C81A39"/>
    <w:rsid w:val="00C823D7"/>
    <w:rsid w:val="00C827D2"/>
    <w:rsid w:val="00C82F14"/>
    <w:rsid w:val="00C831C9"/>
    <w:rsid w:val="00C8341E"/>
    <w:rsid w:val="00C83514"/>
    <w:rsid w:val="00C83615"/>
    <w:rsid w:val="00C83828"/>
    <w:rsid w:val="00C83E4A"/>
    <w:rsid w:val="00C840EC"/>
    <w:rsid w:val="00C84663"/>
    <w:rsid w:val="00C848D4"/>
    <w:rsid w:val="00C84958"/>
    <w:rsid w:val="00C849BB"/>
    <w:rsid w:val="00C84EDD"/>
    <w:rsid w:val="00C85395"/>
    <w:rsid w:val="00C85429"/>
    <w:rsid w:val="00C856EC"/>
    <w:rsid w:val="00C85B97"/>
    <w:rsid w:val="00C85CAE"/>
    <w:rsid w:val="00C85ED6"/>
    <w:rsid w:val="00C8605A"/>
    <w:rsid w:val="00C860CE"/>
    <w:rsid w:val="00C86322"/>
    <w:rsid w:val="00C86337"/>
    <w:rsid w:val="00C86F71"/>
    <w:rsid w:val="00C86FB6"/>
    <w:rsid w:val="00C87075"/>
    <w:rsid w:val="00C87617"/>
    <w:rsid w:val="00C87925"/>
    <w:rsid w:val="00C879D5"/>
    <w:rsid w:val="00C87B36"/>
    <w:rsid w:val="00C87DAB"/>
    <w:rsid w:val="00C90261"/>
    <w:rsid w:val="00C9074B"/>
    <w:rsid w:val="00C90AD0"/>
    <w:rsid w:val="00C91128"/>
    <w:rsid w:val="00C912AD"/>
    <w:rsid w:val="00C91D89"/>
    <w:rsid w:val="00C92008"/>
    <w:rsid w:val="00C9224D"/>
    <w:rsid w:val="00C922AB"/>
    <w:rsid w:val="00C92485"/>
    <w:rsid w:val="00C9250C"/>
    <w:rsid w:val="00C92963"/>
    <w:rsid w:val="00C92C6D"/>
    <w:rsid w:val="00C92D06"/>
    <w:rsid w:val="00C9328F"/>
    <w:rsid w:val="00C935CA"/>
    <w:rsid w:val="00C93694"/>
    <w:rsid w:val="00C93A60"/>
    <w:rsid w:val="00C93B70"/>
    <w:rsid w:val="00C93E21"/>
    <w:rsid w:val="00C9403E"/>
    <w:rsid w:val="00C94154"/>
    <w:rsid w:val="00C9420E"/>
    <w:rsid w:val="00C945BE"/>
    <w:rsid w:val="00C94631"/>
    <w:rsid w:val="00C946B1"/>
    <w:rsid w:val="00C94A36"/>
    <w:rsid w:val="00C94E7D"/>
    <w:rsid w:val="00C95313"/>
    <w:rsid w:val="00C954BF"/>
    <w:rsid w:val="00C957B0"/>
    <w:rsid w:val="00C9595F"/>
    <w:rsid w:val="00C95E2E"/>
    <w:rsid w:val="00C9614F"/>
    <w:rsid w:val="00C96426"/>
    <w:rsid w:val="00C96462"/>
    <w:rsid w:val="00C96667"/>
    <w:rsid w:val="00C96F1F"/>
    <w:rsid w:val="00C97B98"/>
    <w:rsid w:val="00CA02E8"/>
    <w:rsid w:val="00CA0935"/>
    <w:rsid w:val="00CA0A1B"/>
    <w:rsid w:val="00CA10DE"/>
    <w:rsid w:val="00CA1229"/>
    <w:rsid w:val="00CA13D8"/>
    <w:rsid w:val="00CA1525"/>
    <w:rsid w:val="00CA1809"/>
    <w:rsid w:val="00CA1D73"/>
    <w:rsid w:val="00CA23EC"/>
    <w:rsid w:val="00CA24AB"/>
    <w:rsid w:val="00CA2F81"/>
    <w:rsid w:val="00CA324F"/>
    <w:rsid w:val="00CA34EE"/>
    <w:rsid w:val="00CA3E23"/>
    <w:rsid w:val="00CA3FF2"/>
    <w:rsid w:val="00CA4002"/>
    <w:rsid w:val="00CA4877"/>
    <w:rsid w:val="00CA4E8D"/>
    <w:rsid w:val="00CA4FD1"/>
    <w:rsid w:val="00CA552E"/>
    <w:rsid w:val="00CA5B75"/>
    <w:rsid w:val="00CA61BC"/>
    <w:rsid w:val="00CA64F6"/>
    <w:rsid w:val="00CA6748"/>
    <w:rsid w:val="00CA6783"/>
    <w:rsid w:val="00CA695F"/>
    <w:rsid w:val="00CA6BF5"/>
    <w:rsid w:val="00CA70BC"/>
    <w:rsid w:val="00CA71E7"/>
    <w:rsid w:val="00CA7798"/>
    <w:rsid w:val="00CA7880"/>
    <w:rsid w:val="00CA7F46"/>
    <w:rsid w:val="00CB0E31"/>
    <w:rsid w:val="00CB0F24"/>
    <w:rsid w:val="00CB1466"/>
    <w:rsid w:val="00CB1C8A"/>
    <w:rsid w:val="00CB1CBE"/>
    <w:rsid w:val="00CB1ED2"/>
    <w:rsid w:val="00CB20E1"/>
    <w:rsid w:val="00CB260E"/>
    <w:rsid w:val="00CB2868"/>
    <w:rsid w:val="00CB2946"/>
    <w:rsid w:val="00CB2CF9"/>
    <w:rsid w:val="00CB2E6A"/>
    <w:rsid w:val="00CB30E0"/>
    <w:rsid w:val="00CB3494"/>
    <w:rsid w:val="00CB37B0"/>
    <w:rsid w:val="00CB3B9B"/>
    <w:rsid w:val="00CB3C0D"/>
    <w:rsid w:val="00CB3EDC"/>
    <w:rsid w:val="00CB40B4"/>
    <w:rsid w:val="00CB40BF"/>
    <w:rsid w:val="00CB42B4"/>
    <w:rsid w:val="00CB4584"/>
    <w:rsid w:val="00CB497D"/>
    <w:rsid w:val="00CB4AB2"/>
    <w:rsid w:val="00CB4D74"/>
    <w:rsid w:val="00CB56C0"/>
    <w:rsid w:val="00CB5778"/>
    <w:rsid w:val="00CB595B"/>
    <w:rsid w:val="00CB5C89"/>
    <w:rsid w:val="00CB62EB"/>
    <w:rsid w:val="00CB6547"/>
    <w:rsid w:val="00CB68B5"/>
    <w:rsid w:val="00CB691F"/>
    <w:rsid w:val="00CB69AA"/>
    <w:rsid w:val="00CB7613"/>
    <w:rsid w:val="00CB7765"/>
    <w:rsid w:val="00CB7B0D"/>
    <w:rsid w:val="00CB7BA9"/>
    <w:rsid w:val="00CC02B8"/>
    <w:rsid w:val="00CC09DA"/>
    <w:rsid w:val="00CC0B42"/>
    <w:rsid w:val="00CC1C3D"/>
    <w:rsid w:val="00CC23B2"/>
    <w:rsid w:val="00CC29F2"/>
    <w:rsid w:val="00CC2C23"/>
    <w:rsid w:val="00CC37AA"/>
    <w:rsid w:val="00CC3AF8"/>
    <w:rsid w:val="00CC4853"/>
    <w:rsid w:val="00CC4E2B"/>
    <w:rsid w:val="00CC4E54"/>
    <w:rsid w:val="00CC4F59"/>
    <w:rsid w:val="00CC520B"/>
    <w:rsid w:val="00CC5258"/>
    <w:rsid w:val="00CC5727"/>
    <w:rsid w:val="00CC58EF"/>
    <w:rsid w:val="00CC5D18"/>
    <w:rsid w:val="00CC5FB2"/>
    <w:rsid w:val="00CC626E"/>
    <w:rsid w:val="00CC63B2"/>
    <w:rsid w:val="00CC67C7"/>
    <w:rsid w:val="00CC67CA"/>
    <w:rsid w:val="00CC6F4C"/>
    <w:rsid w:val="00CC7DC0"/>
    <w:rsid w:val="00CC7F07"/>
    <w:rsid w:val="00CD07AB"/>
    <w:rsid w:val="00CD07F9"/>
    <w:rsid w:val="00CD0ACB"/>
    <w:rsid w:val="00CD0B9F"/>
    <w:rsid w:val="00CD0C51"/>
    <w:rsid w:val="00CD0DD5"/>
    <w:rsid w:val="00CD11B6"/>
    <w:rsid w:val="00CD120C"/>
    <w:rsid w:val="00CD12C7"/>
    <w:rsid w:val="00CD1AF3"/>
    <w:rsid w:val="00CD1B9B"/>
    <w:rsid w:val="00CD1C50"/>
    <w:rsid w:val="00CD1D0C"/>
    <w:rsid w:val="00CD1F4E"/>
    <w:rsid w:val="00CD2038"/>
    <w:rsid w:val="00CD250F"/>
    <w:rsid w:val="00CD260A"/>
    <w:rsid w:val="00CD2DF2"/>
    <w:rsid w:val="00CD2EAE"/>
    <w:rsid w:val="00CD301E"/>
    <w:rsid w:val="00CD305E"/>
    <w:rsid w:val="00CD3091"/>
    <w:rsid w:val="00CD330E"/>
    <w:rsid w:val="00CD33E8"/>
    <w:rsid w:val="00CD347B"/>
    <w:rsid w:val="00CD37F8"/>
    <w:rsid w:val="00CD3E84"/>
    <w:rsid w:val="00CD41C4"/>
    <w:rsid w:val="00CD4BFF"/>
    <w:rsid w:val="00CD50E6"/>
    <w:rsid w:val="00CD58A3"/>
    <w:rsid w:val="00CD5A6D"/>
    <w:rsid w:val="00CD5B61"/>
    <w:rsid w:val="00CD6452"/>
    <w:rsid w:val="00CD6643"/>
    <w:rsid w:val="00CD6C7B"/>
    <w:rsid w:val="00CD6E6E"/>
    <w:rsid w:val="00CD6FEF"/>
    <w:rsid w:val="00CD77A1"/>
    <w:rsid w:val="00CD7DDC"/>
    <w:rsid w:val="00CE063B"/>
    <w:rsid w:val="00CE0A61"/>
    <w:rsid w:val="00CE16F3"/>
    <w:rsid w:val="00CE1783"/>
    <w:rsid w:val="00CE17E4"/>
    <w:rsid w:val="00CE1E62"/>
    <w:rsid w:val="00CE1F0D"/>
    <w:rsid w:val="00CE21F5"/>
    <w:rsid w:val="00CE273D"/>
    <w:rsid w:val="00CE2748"/>
    <w:rsid w:val="00CE2CE0"/>
    <w:rsid w:val="00CE306F"/>
    <w:rsid w:val="00CE37C5"/>
    <w:rsid w:val="00CE3A82"/>
    <w:rsid w:val="00CE3FB1"/>
    <w:rsid w:val="00CE444E"/>
    <w:rsid w:val="00CE4831"/>
    <w:rsid w:val="00CE4FDF"/>
    <w:rsid w:val="00CE4FE3"/>
    <w:rsid w:val="00CE5068"/>
    <w:rsid w:val="00CE5393"/>
    <w:rsid w:val="00CE53C7"/>
    <w:rsid w:val="00CE55AB"/>
    <w:rsid w:val="00CE61B4"/>
    <w:rsid w:val="00CE654E"/>
    <w:rsid w:val="00CE65C6"/>
    <w:rsid w:val="00CE69AE"/>
    <w:rsid w:val="00CE6CE4"/>
    <w:rsid w:val="00CE6E91"/>
    <w:rsid w:val="00CE7082"/>
    <w:rsid w:val="00CE7124"/>
    <w:rsid w:val="00CE7369"/>
    <w:rsid w:val="00CE783D"/>
    <w:rsid w:val="00CE78FC"/>
    <w:rsid w:val="00CE7FB4"/>
    <w:rsid w:val="00CF04EC"/>
    <w:rsid w:val="00CF053D"/>
    <w:rsid w:val="00CF0DD5"/>
    <w:rsid w:val="00CF13AF"/>
    <w:rsid w:val="00CF170B"/>
    <w:rsid w:val="00CF1BC7"/>
    <w:rsid w:val="00CF2504"/>
    <w:rsid w:val="00CF291A"/>
    <w:rsid w:val="00CF2D76"/>
    <w:rsid w:val="00CF33B2"/>
    <w:rsid w:val="00CF3928"/>
    <w:rsid w:val="00CF392E"/>
    <w:rsid w:val="00CF427A"/>
    <w:rsid w:val="00CF48C7"/>
    <w:rsid w:val="00CF49B8"/>
    <w:rsid w:val="00CF4A59"/>
    <w:rsid w:val="00CF5787"/>
    <w:rsid w:val="00CF5AE1"/>
    <w:rsid w:val="00CF5E53"/>
    <w:rsid w:val="00CF632E"/>
    <w:rsid w:val="00CF666A"/>
    <w:rsid w:val="00CF6C3C"/>
    <w:rsid w:val="00CF6D90"/>
    <w:rsid w:val="00CF6DEA"/>
    <w:rsid w:val="00CF7B20"/>
    <w:rsid w:val="00CF7B80"/>
    <w:rsid w:val="00CF7C6F"/>
    <w:rsid w:val="00CF7EE6"/>
    <w:rsid w:val="00D00002"/>
    <w:rsid w:val="00D00205"/>
    <w:rsid w:val="00D00B1D"/>
    <w:rsid w:val="00D01045"/>
    <w:rsid w:val="00D0112D"/>
    <w:rsid w:val="00D01574"/>
    <w:rsid w:val="00D017B3"/>
    <w:rsid w:val="00D01BFB"/>
    <w:rsid w:val="00D01CCC"/>
    <w:rsid w:val="00D01E8D"/>
    <w:rsid w:val="00D02DA3"/>
    <w:rsid w:val="00D03422"/>
    <w:rsid w:val="00D03A7A"/>
    <w:rsid w:val="00D03DC8"/>
    <w:rsid w:val="00D03EB7"/>
    <w:rsid w:val="00D047B6"/>
    <w:rsid w:val="00D04818"/>
    <w:rsid w:val="00D04D83"/>
    <w:rsid w:val="00D04DFC"/>
    <w:rsid w:val="00D051B7"/>
    <w:rsid w:val="00D05229"/>
    <w:rsid w:val="00D05249"/>
    <w:rsid w:val="00D05369"/>
    <w:rsid w:val="00D057FA"/>
    <w:rsid w:val="00D057FB"/>
    <w:rsid w:val="00D0584D"/>
    <w:rsid w:val="00D0608D"/>
    <w:rsid w:val="00D0619C"/>
    <w:rsid w:val="00D06324"/>
    <w:rsid w:val="00D06537"/>
    <w:rsid w:val="00D0663E"/>
    <w:rsid w:val="00D06850"/>
    <w:rsid w:val="00D070E4"/>
    <w:rsid w:val="00D0759A"/>
    <w:rsid w:val="00D07972"/>
    <w:rsid w:val="00D07AB6"/>
    <w:rsid w:val="00D07FEF"/>
    <w:rsid w:val="00D10083"/>
    <w:rsid w:val="00D1014B"/>
    <w:rsid w:val="00D1018A"/>
    <w:rsid w:val="00D10346"/>
    <w:rsid w:val="00D108AE"/>
    <w:rsid w:val="00D1090B"/>
    <w:rsid w:val="00D1119C"/>
    <w:rsid w:val="00D11A0F"/>
    <w:rsid w:val="00D11BE8"/>
    <w:rsid w:val="00D11D71"/>
    <w:rsid w:val="00D11F6E"/>
    <w:rsid w:val="00D12106"/>
    <w:rsid w:val="00D12CF5"/>
    <w:rsid w:val="00D1303F"/>
    <w:rsid w:val="00D1327F"/>
    <w:rsid w:val="00D136CD"/>
    <w:rsid w:val="00D13843"/>
    <w:rsid w:val="00D139A4"/>
    <w:rsid w:val="00D139B7"/>
    <w:rsid w:val="00D13A10"/>
    <w:rsid w:val="00D13B22"/>
    <w:rsid w:val="00D140A5"/>
    <w:rsid w:val="00D1420E"/>
    <w:rsid w:val="00D14EFE"/>
    <w:rsid w:val="00D14F02"/>
    <w:rsid w:val="00D14F1C"/>
    <w:rsid w:val="00D14F9B"/>
    <w:rsid w:val="00D15281"/>
    <w:rsid w:val="00D15455"/>
    <w:rsid w:val="00D1561E"/>
    <w:rsid w:val="00D159EE"/>
    <w:rsid w:val="00D15E54"/>
    <w:rsid w:val="00D16631"/>
    <w:rsid w:val="00D17170"/>
    <w:rsid w:val="00D17293"/>
    <w:rsid w:val="00D17326"/>
    <w:rsid w:val="00D17971"/>
    <w:rsid w:val="00D17ECA"/>
    <w:rsid w:val="00D17FD2"/>
    <w:rsid w:val="00D200C2"/>
    <w:rsid w:val="00D203F2"/>
    <w:rsid w:val="00D20415"/>
    <w:rsid w:val="00D204BC"/>
    <w:rsid w:val="00D20D79"/>
    <w:rsid w:val="00D2160B"/>
    <w:rsid w:val="00D21651"/>
    <w:rsid w:val="00D21A50"/>
    <w:rsid w:val="00D21B77"/>
    <w:rsid w:val="00D21CEF"/>
    <w:rsid w:val="00D222AC"/>
    <w:rsid w:val="00D22613"/>
    <w:rsid w:val="00D226DB"/>
    <w:rsid w:val="00D22D46"/>
    <w:rsid w:val="00D23384"/>
    <w:rsid w:val="00D23442"/>
    <w:rsid w:val="00D234A6"/>
    <w:rsid w:val="00D23BC4"/>
    <w:rsid w:val="00D23E7F"/>
    <w:rsid w:val="00D24421"/>
    <w:rsid w:val="00D246C7"/>
    <w:rsid w:val="00D24736"/>
    <w:rsid w:val="00D2497B"/>
    <w:rsid w:val="00D24DD7"/>
    <w:rsid w:val="00D251DC"/>
    <w:rsid w:val="00D2522A"/>
    <w:rsid w:val="00D25618"/>
    <w:rsid w:val="00D25662"/>
    <w:rsid w:val="00D25C1A"/>
    <w:rsid w:val="00D25C58"/>
    <w:rsid w:val="00D25F81"/>
    <w:rsid w:val="00D2604A"/>
    <w:rsid w:val="00D260BA"/>
    <w:rsid w:val="00D262DB"/>
    <w:rsid w:val="00D265BF"/>
    <w:rsid w:val="00D2684D"/>
    <w:rsid w:val="00D2691A"/>
    <w:rsid w:val="00D269CE"/>
    <w:rsid w:val="00D26CC2"/>
    <w:rsid w:val="00D26FA0"/>
    <w:rsid w:val="00D27AE0"/>
    <w:rsid w:val="00D3060A"/>
    <w:rsid w:val="00D30A05"/>
    <w:rsid w:val="00D31438"/>
    <w:rsid w:val="00D31467"/>
    <w:rsid w:val="00D31495"/>
    <w:rsid w:val="00D3156C"/>
    <w:rsid w:val="00D3164E"/>
    <w:rsid w:val="00D317D1"/>
    <w:rsid w:val="00D320AA"/>
    <w:rsid w:val="00D3236E"/>
    <w:rsid w:val="00D32785"/>
    <w:rsid w:val="00D32B9E"/>
    <w:rsid w:val="00D32BD7"/>
    <w:rsid w:val="00D33176"/>
    <w:rsid w:val="00D3345A"/>
    <w:rsid w:val="00D33D08"/>
    <w:rsid w:val="00D33DE4"/>
    <w:rsid w:val="00D33E23"/>
    <w:rsid w:val="00D345F3"/>
    <w:rsid w:val="00D34641"/>
    <w:rsid w:val="00D347BC"/>
    <w:rsid w:val="00D34C36"/>
    <w:rsid w:val="00D34CFE"/>
    <w:rsid w:val="00D34E3F"/>
    <w:rsid w:val="00D34E48"/>
    <w:rsid w:val="00D35601"/>
    <w:rsid w:val="00D356F1"/>
    <w:rsid w:val="00D357F2"/>
    <w:rsid w:val="00D35F83"/>
    <w:rsid w:val="00D368A4"/>
    <w:rsid w:val="00D36E3F"/>
    <w:rsid w:val="00D370A2"/>
    <w:rsid w:val="00D3724C"/>
    <w:rsid w:val="00D375B0"/>
    <w:rsid w:val="00D3760B"/>
    <w:rsid w:val="00D37BB4"/>
    <w:rsid w:val="00D37CFF"/>
    <w:rsid w:val="00D37D9D"/>
    <w:rsid w:val="00D406FD"/>
    <w:rsid w:val="00D4073E"/>
    <w:rsid w:val="00D40741"/>
    <w:rsid w:val="00D40C9A"/>
    <w:rsid w:val="00D40E0B"/>
    <w:rsid w:val="00D40E23"/>
    <w:rsid w:val="00D40E3A"/>
    <w:rsid w:val="00D41497"/>
    <w:rsid w:val="00D414B7"/>
    <w:rsid w:val="00D41957"/>
    <w:rsid w:val="00D419B6"/>
    <w:rsid w:val="00D41E82"/>
    <w:rsid w:val="00D4219E"/>
    <w:rsid w:val="00D42287"/>
    <w:rsid w:val="00D422F2"/>
    <w:rsid w:val="00D42646"/>
    <w:rsid w:val="00D42CE8"/>
    <w:rsid w:val="00D43365"/>
    <w:rsid w:val="00D433ED"/>
    <w:rsid w:val="00D439AD"/>
    <w:rsid w:val="00D43DC4"/>
    <w:rsid w:val="00D43F03"/>
    <w:rsid w:val="00D44068"/>
    <w:rsid w:val="00D444AC"/>
    <w:rsid w:val="00D444B1"/>
    <w:rsid w:val="00D44754"/>
    <w:rsid w:val="00D44769"/>
    <w:rsid w:val="00D44C77"/>
    <w:rsid w:val="00D44D8A"/>
    <w:rsid w:val="00D44F72"/>
    <w:rsid w:val="00D4538A"/>
    <w:rsid w:val="00D453C3"/>
    <w:rsid w:val="00D4566A"/>
    <w:rsid w:val="00D4567E"/>
    <w:rsid w:val="00D45710"/>
    <w:rsid w:val="00D45BA7"/>
    <w:rsid w:val="00D460EB"/>
    <w:rsid w:val="00D461F0"/>
    <w:rsid w:val="00D46407"/>
    <w:rsid w:val="00D46D63"/>
    <w:rsid w:val="00D46E17"/>
    <w:rsid w:val="00D46EE0"/>
    <w:rsid w:val="00D4721D"/>
    <w:rsid w:val="00D501D2"/>
    <w:rsid w:val="00D50286"/>
    <w:rsid w:val="00D50697"/>
    <w:rsid w:val="00D5074D"/>
    <w:rsid w:val="00D50BFD"/>
    <w:rsid w:val="00D5122B"/>
    <w:rsid w:val="00D51288"/>
    <w:rsid w:val="00D51564"/>
    <w:rsid w:val="00D5168D"/>
    <w:rsid w:val="00D5216D"/>
    <w:rsid w:val="00D5232B"/>
    <w:rsid w:val="00D52D7F"/>
    <w:rsid w:val="00D52EA5"/>
    <w:rsid w:val="00D533E3"/>
    <w:rsid w:val="00D534C8"/>
    <w:rsid w:val="00D5363C"/>
    <w:rsid w:val="00D53962"/>
    <w:rsid w:val="00D53B98"/>
    <w:rsid w:val="00D53E1E"/>
    <w:rsid w:val="00D541AF"/>
    <w:rsid w:val="00D5439B"/>
    <w:rsid w:val="00D54976"/>
    <w:rsid w:val="00D54B79"/>
    <w:rsid w:val="00D54DC7"/>
    <w:rsid w:val="00D54F4D"/>
    <w:rsid w:val="00D54FC1"/>
    <w:rsid w:val="00D5530C"/>
    <w:rsid w:val="00D5561C"/>
    <w:rsid w:val="00D55E63"/>
    <w:rsid w:val="00D561A9"/>
    <w:rsid w:val="00D56C3D"/>
    <w:rsid w:val="00D56E29"/>
    <w:rsid w:val="00D570BD"/>
    <w:rsid w:val="00D5722F"/>
    <w:rsid w:val="00D573FF"/>
    <w:rsid w:val="00D57414"/>
    <w:rsid w:val="00D574BB"/>
    <w:rsid w:val="00D577FD"/>
    <w:rsid w:val="00D57F98"/>
    <w:rsid w:val="00D600B1"/>
    <w:rsid w:val="00D603F1"/>
    <w:rsid w:val="00D605B8"/>
    <w:rsid w:val="00D60B57"/>
    <w:rsid w:val="00D60FEF"/>
    <w:rsid w:val="00D61268"/>
    <w:rsid w:val="00D613A7"/>
    <w:rsid w:val="00D616BD"/>
    <w:rsid w:val="00D61705"/>
    <w:rsid w:val="00D62095"/>
    <w:rsid w:val="00D62A60"/>
    <w:rsid w:val="00D62F8F"/>
    <w:rsid w:val="00D631C9"/>
    <w:rsid w:val="00D63349"/>
    <w:rsid w:val="00D63513"/>
    <w:rsid w:val="00D63E44"/>
    <w:rsid w:val="00D63E55"/>
    <w:rsid w:val="00D64517"/>
    <w:rsid w:val="00D64AE1"/>
    <w:rsid w:val="00D64C8F"/>
    <w:rsid w:val="00D64D6C"/>
    <w:rsid w:val="00D64ECA"/>
    <w:rsid w:val="00D650FA"/>
    <w:rsid w:val="00D65295"/>
    <w:rsid w:val="00D65D8C"/>
    <w:rsid w:val="00D668F0"/>
    <w:rsid w:val="00D6694D"/>
    <w:rsid w:val="00D66A7C"/>
    <w:rsid w:val="00D66BC2"/>
    <w:rsid w:val="00D66CA8"/>
    <w:rsid w:val="00D67058"/>
    <w:rsid w:val="00D6705B"/>
    <w:rsid w:val="00D6742D"/>
    <w:rsid w:val="00D674BD"/>
    <w:rsid w:val="00D6790C"/>
    <w:rsid w:val="00D67B78"/>
    <w:rsid w:val="00D703D7"/>
    <w:rsid w:val="00D7059E"/>
    <w:rsid w:val="00D70872"/>
    <w:rsid w:val="00D708C0"/>
    <w:rsid w:val="00D70C7E"/>
    <w:rsid w:val="00D712B3"/>
    <w:rsid w:val="00D71316"/>
    <w:rsid w:val="00D71322"/>
    <w:rsid w:val="00D7165E"/>
    <w:rsid w:val="00D71833"/>
    <w:rsid w:val="00D718E4"/>
    <w:rsid w:val="00D71BA0"/>
    <w:rsid w:val="00D71DA7"/>
    <w:rsid w:val="00D726EF"/>
    <w:rsid w:val="00D7273F"/>
    <w:rsid w:val="00D73281"/>
    <w:rsid w:val="00D73428"/>
    <w:rsid w:val="00D73B44"/>
    <w:rsid w:val="00D73B6A"/>
    <w:rsid w:val="00D73B73"/>
    <w:rsid w:val="00D741A1"/>
    <w:rsid w:val="00D74615"/>
    <w:rsid w:val="00D74C1A"/>
    <w:rsid w:val="00D74CA4"/>
    <w:rsid w:val="00D74EB8"/>
    <w:rsid w:val="00D7530B"/>
    <w:rsid w:val="00D75403"/>
    <w:rsid w:val="00D75493"/>
    <w:rsid w:val="00D75570"/>
    <w:rsid w:val="00D75FC3"/>
    <w:rsid w:val="00D7632D"/>
    <w:rsid w:val="00D76384"/>
    <w:rsid w:val="00D767F8"/>
    <w:rsid w:val="00D76849"/>
    <w:rsid w:val="00D76B00"/>
    <w:rsid w:val="00D7725B"/>
    <w:rsid w:val="00D7755B"/>
    <w:rsid w:val="00D80775"/>
    <w:rsid w:val="00D80A95"/>
    <w:rsid w:val="00D80CA6"/>
    <w:rsid w:val="00D80EBD"/>
    <w:rsid w:val="00D80F7D"/>
    <w:rsid w:val="00D80F8E"/>
    <w:rsid w:val="00D80FEE"/>
    <w:rsid w:val="00D8132B"/>
    <w:rsid w:val="00D8172F"/>
    <w:rsid w:val="00D81810"/>
    <w:rsid w:val="00D81B98"/>
    <w:rsid w:val="00D81CBE"/>
    <w:rsid w:val="00D82062"/>
    <w:rsid w:val="00D82A89"/>
    <w:rsid w:val="00D82C37"/>
    <w:rsid w:val="00D82CE0"/>
    <w:rsid w:val="00D82EFF"/>
    <w:rsid w:val="00D83011"/>
    <w:rsid w:val="00D83563"/>
    <w:rsid w:val="00D8374B"/>
    <w:rsid w:val="00D83853"/>
    <w:rsid w:val="00D838B1"/>
    <w:rsid w:val="00D83A23"/>
    <w:rsid w:val="00D841C6"/>
    <w:rsid w:val="00D841FC"/>
    <w:rsid w:val="00D8424D"/>
    <w:rsid w:val="00D84460"/>
    <w:rsid w:val="00D846C3"/>
    <w:rsid w:val="00D848A0"/>
    <w:rsid w:val="00D848F8"/>
    <w:rsid w:val="00D84FFC"/>
    <w:rsid w:val="00D852C2"/>
    <w:rsid w:val="00D85697"/>
    <w:rsid w:val="00D856AF"/>
    <w:rsid w:val="00D85B2C"/>
    <w:rsid w:val="00D85FBB"/>
    <w:rsid w:val="00D860BA"/>
    <w:rsid w:val="00D860D1"/>
    <w:rsid w:val="00D86200"/>
    <w:rsid w:val="00D86601"/>
    <w:rsid w:val="00D868DB"/>
    <w:rsid w:val="00D86B13"/>
    <w:rsid w:val="00D86B1C"/>
    <w:rsid w:val="00D870C7"/>
    <w:rsid w:val="00D8749A"/>
    <w:rsid w:val="00D87964"/>
    <w:rsid w:val="00D901CE"/>
    <w:rsid w:val="00D90242"/>
    <w:rsid w:val="00D9027E"/>
    <w:rsid w:val="00D90460"/>
    <w:rsid w:val="00D90727"/>
    <w:rsid w:val="00D910D3"/>
    <w:rsid w:val="00D9158A"/>
    <w:rsid w:val="00D915B9"/>
    <w:rsid w:val="00D91DAA"/>
    <w:rsid w:val="00D91DC8"/>
    <w:rsid w:val="00D9238F"/>
    <w:rsid w:val="00D92677"/>
    <w:rsid w:val="00D92E6F"/>
    <w:rsid w:val="00D9312A"/>
    <w:rsid w:val="00D9330C"/>
    <w:rsid w:val="00D93415"/>
    <w:rsid w:val="00D935BD"/>
    <w:rsid w:val="00D9366A"/>
    <w:rsid w:val="00D936AF"/>
    <w:rsid w:val="00D937CF"/>
    <w:rsid w:val="00D9396F"/>
    <w:rsid w:val="00D93C24"/>
    <w:rsid w:val="00D93D17"/>
    <w:rsid w:val="00D93E0F"/>
    <w:rsid w:val="00D9419B"/>
    <w:rsid w:val="00D94296"/>
    <w:rsid w:val="00D94745"/>
    <w:rsid w:val="00D94B95"/>
    <w:rsid w:val="00D95396"/>
    <w:rsid w:val="00D9596E"/>
    <w:rsid w:val="00D95B43"/>
    <w:rsid w:val="00D95D59"/>
    <w:rsid w:val="00D96362"/>
    <w:rsid w:val="00D9670E"/>
    <w:rsid w:val="00D96BF1"/>
    <w:rsid w:val="00D96CB8"/>
    <w:rsid w:val="00D97211"/>
    <w:rsid w:val="00D97245"/>
    <w:rsid w:val="00D97341"/>
    <w:rsid w:val="00D97611"/>
    <w:rsid w:val="00D9785B"/>
    <w:rsid w:val="00D9792C"/>
    <w:rsid w:val="00D97E23"/>
    <w:rsid w:val="00DA00EA"/>
    <w:rsid w:val="00DA07B3"/>
    <w:rsid w:val="00DA0A54"/>
    <w:rsid w:val="00DA0AFF"/>
    <w:rsid w:val="00DA0BBF"/>
    <w:rsid w:val="00DA0C1E"/>
    <w:rsid w:val="00DA0E0D"/>
    <w:rsid w:val="00DA1145"/>
    <w:rsid w:val="00DA1408"/>
    <w:rsid w:val="00DA14AB"/>
    <w:rsid w:val="00DA1905"/>
    <w:rsid w:val="00DA22CD"/>
    <w:rsid w:val="00DA2E45"/>
    <w:rsid w:val="00DA2E64"/>
    <w:rsid w:val="00DA34BE"/>
    <w:rsid w:val="00DA360B"/>
    <w:rsid w:val="00DA3A06"/>
    <w:rsid w:val="00DA3A09"/>
    <w:rsid w:val="00DA3E14"/>
    <w:rsid w:val="00DA3FA7"/>
    <w:rsid w:val="00DA41CB"/>
    <w:rsid w:val="00DA41E0"/>
    <w:rsid w:val="00DA4553"/>
    <w:rsid w:val="00DA4AF2"/>
    <w:rsid w:val="00DA4E43"/>
    <w:rsid w:val="00DA550C"/>
    <w:rsid w:val="00DA59A4"/>
    <w:rsid w:val="00DA6248"/>
    <w:rsid w:val="00DA6432"/>
    <w:rsid w:val="00DA64E1"/>
    <w:rsid w:val="00DA66A9"/>
    <w:rsid w:val="00DA7151"/>
    <w:rsid w:val="00DA7375"/>
    <w:rsid w:val="00DA7806"/>
    <w:rsid w:val="00DA7977"/>
    <w:rsid w:val="00DA7A28"/>
    <w:rsid w:val="00DA7AE2"/>
    <w:rsid w:val="00DA7EB7"/>
    <w:rsid w:val="00DB0693"/>
    <w:rsid w:val="00DB08B4"/>
    <w:rsid w:val="00DB0DD1"/>
    <w:rsid w:val="00DB129A"/>
    <w:rsid w:val="00DB16D6"/>
    <w:rsid w:val="00DB1C48"/>
    <w:rsid w:val="00DB1E5E"/>
    <w:rsid w:val="00DB2590"/>
    <w:rsid w:val="00DB26E7"/>
    <w:rsid w:val="00DB2929"/>
    <w:rsid w:val="00DB2B2E"/>
    <w:rsid w:val="00DB2C90"/>
    <w:rsid w:val="00DB2DE7"/>
    <w:rsid w:val="00DB3086"/>
    <w:rsid w:val="00DB3178"/>
    <w:rsid w:val="00DB3D61"/>
    <w:rsid w:val="00DB42CA"/>
    <w:rsid w:val="00DB4BC5"/>
    <w:rsid w:val="00DB530A"/>
    <w:rsid w:val="00DB5719"/>
    <w:rsid w:val="00DB58A6"/>
    <w:rsid w:val="00DB5E82"/>
    <w:rsid w:val="00DB6901"/>
    <w:rsid w:val="00DB6A17"/>
    <w:rsid w:val="00DB6C12"/>
    <w:rsid w:val="00DB6CD0"/>
    <w:rsid w:val="00DB6D12"/>
    <w:rsid w:val="00DB781B"/>
    <w:rsid w:val="00DB7903"/>
    <w:rsid w:val="00DB79DB"/>
    <w:rsid w:val="00DB7A53"/>
    <w:rsid w:val="00DB7BCF"/>
    <w:rsid w:val="00DB7DF5"/>
    <w:rsid w:val="00DB7EC0"/>
    <w:rsid w:val="00DB7F6F"/>
    <w:rsid w:val="00DC032D"/>
    <w:rsid w:val="00DC07B9"/>
    <w:rsid w:val="00DC0880"/>
    <w:rsid w:val="00DC0956"/>
    <w:rsid w:val="00DC0A8B"/>
    <w:rsid w:val="00DC0BED"/>
    <w:rsid w:val="00DC15F7"/>
    <w:rsid w:val="00DC17D5"/>
    <w:rsid w:val="00DC18CD"/>
    <w:rsid w:val="00DC19E7"/>
    <w:rsid w:val="00DC1A3C"/>
    <w:rsid w:val="00DC1AB7"/>
    <w:rsid w:val="00DC1CE2"/>
    <w:rsid w:val="00DC1EA7"/>
    <w:rsid w:val="00DC1EC8"/>
    <w:rsid w:val="00DC28A4"/>
    <w:rsid w:val="00DC2964"/>
    <w:rsid w:val="00DC2AEF"/>
    <w:rsid w:val="00DC2E72"/>
    <w:rsid w:val="00DC2F10"/>
    <w:rsid w:val="00DC3070"/>
    <w:rsid w:val="00DC3674"/>
    <w:rsid w:val="00DC37A8"/>
    <w:rsid w:val="00DC3F7F"/>
    <w:rsid w:val="00DC4554"/>
    <w:rsid w:val="00DC493C"/>
    <w:rsid w:val="00DC49EC"/>
    <w:rsid w:val="00DC4BB1"/>
    <w:rsid w:val="00DC4C2F"/>
    <w:rsid w:val="00DC4C4C"/>
    <w:rsid w:val="00DC4D93"/>
    <w:rsid w:val="00DC4FC6"/>
    <w:rsid w:val="00DC5756"/>
    <w:rsid w:val="00DC575D"/>
    <w:rsid w:val="00DC59F5"/>
    <w:rsid w:val="00DC5F73"/>
    <w:rsid w:val="00DC6B88"/>
    <w:rsid w:val="00DC6BE1"/>
    <w:rsid w:val="00DC6C1D"/>
    <w:rsid w:val="00DC6D32"/>
    <w:rsid w:val="00DC6E88"/>
    <w:rsid w:val="00DC6EA8"/>
    <w:rsid w:val="00DC709A"/>
    <w:rsid w:val="00DC71ED"/>
    <w:rsid w:val="00DC75F5"/>
    <w:rsid w:val="00DC7975"/>
    <w:rsid w:val="00DC7A4B"/>
    <w:rsid w:val="00DC7A88"/>
    <w:rsid w:val="00DD059A"/>
    <w:rsid w:val="00DD076F"/>
    <w:rsid w:val="00DD09C1"/>
    <w:rsid w:val="00DD0C15"/>
    <w:rsid w:val="00DD0FB3"/>
    <w:rsid w:val="00DD17CE"/>
    <w:rsid w:val="00DD1B6D"/>
    <w:rsid w:val="00DD21CE"/>
    <w:rsid w:val="00DD2AB6"/>
    <w:rsid w:val="00DD2B96"/>
    <w:rsid w:val="00DD2D66"/>
    <w:rsid w:val="00DD2EBE"/>
    <w:rsid w:val="00DD2FC4"/>
    <w:rsid w:val="00DD2FD0"/>
    <w:rsid w:val="00DD31B6"/>
    <w:rsid w:val="00DD3B48"/>
    <w:rsid w:val="00DD4710"/>
    <w:rsid w:val="00DD4715"/>
    <w:rsid w:val="00DD473B"/>
    <w:rsid w:val="00DD4C3D"/>
    <w:rsid w:val="00DD4C5A"/>
    <w:rsid w:val="00DD4C7B"/>
    <w:rsid w:val="00DD4C7E"/>
    <w:rsid w:val="00DD4D65"/>
    <w:rsid w:val="00DD5464"/>
    <w:rsid w:val="00DD652C"/>
    <w:rsid w:val="00DD65E8"/>
    <w:rsid w:val="00DD69D6"/>
    <w:rsid w:val="00DD6B46"/>
    <w:rsid w:val="00DD70A3"/>
    <w:rsid w:val="00DD7450"/>
    <w:rsid w:val="00DD7769"/>
    <w:rsid w:val="00DD7C59"/>
    <w:rsid w:val="00DE02FE"/>
    <w:rsid w:val="00DE07BB"/>
    <w:rsid w:val="00DE0B85"/>
    <w:rsid w:val="00DE1338"/>
    <w:rsid w:val="00DE1BA1"/>
    <w:rsid w:val="00DE1BE8"/>
    <w:rsid w:val="00DE1F7A"/>
    <w:rsid w:val="00DE1FB1"/>
    <w:rsid w:val="00DE1FC9"/>
    <w:rsid w:val="00DE268A"/>
    <w:rsid w:val="00DE281A"/>
    <w:rsid w:val="00DE28B2"/>
    <w:rsid w:val="00DE2E60"/>
    <w:rsid w:val="00DE2FBA"/>
    <w:rsid w:val="00DE4049"/>
    <w:rsid w:val="00DE4225"/>
    <w:rsid w:val="00DE44F0"/>
    <w:rsid w:val="00DE45EF"/>
    <w:rsid w:val="00DE49EC"/>
    <w:rsid w:val="00DE55B8"/>
    <w:rsid w:val="00DE5930"/>
    <w:rsid w:val="00DE6085"/>
    <w:rsid w:val="00DE63C5"/>
    <w:rsid w:val="00DE6521"/>
    <w:rsid w:val="00DE6893"/>
    <w:rsid w:val="00DE68A2"/>
    <w:rsid w:val="00DE6A40"/>
    <w:rsid w:val="00DE7254"/>
    <w:rsid w:val="00DE7548"/>
    <w:rsid w:val="00DE79EF"/>
    <w:rsid w:val="00DE7C7D"/>
    <w:rsid w:val="00DF0313"/>
    <w:rsid w:val="00DF05BE"/>
    <w:rsid w:val="00DF0662"/>
    <w:rsid w:val="00DF076D"/>
    <w:rsid w:val="00DF0B2B"/>
    <w:rsid w:val="00DF0BD8"/>
    <w:rsid w:val="00DF0CCA"/>
    <w:rsid w:val="00DF0E8A"/>
    <w:rsid w:val="00DF1BF8"/>
    <w:rsid w:val="00DF22C8"/>
    <w:rsid w:val="00DF25FC"/>
    <w:rsid w:val="00DF2728"/>
    <w:rsid w:val="00DF2761"/>
    <w:rsid w:val="00DF28A3"/>
    <w:rsid w:val="00DF2ADD"/>
    <w:rsid w:val="00DF2C5D"/>
    <w:rsid w:val="00DF349B"/>
    <w:rsid w:val="00DF34CC"/>
    <w:rsid w:val="00DF368F"/>
    <w:rsid w:val="00DF3A63"/>
    <w:rsid w:val="00DF40F3"/>
    <w:rsid w:val="00DF4590"/>
    <w:rsid w:val="00DF468C"/>
    <w:rsid w:val="00DF4716"/>
    <w:rsid w:val="00DF4BF7"/>
    <w:rsid w:val="00DF4F75"/>
    <w:rsid w:val="00DF52E7"/>
    <w:rsid w:val="00DF55E6"/>
    <w:rsid w:val="00DF5664"/>
    <w:rsid w:val="00DF597C"/>
    <w:rsid w:val="00DF5D6C"/>
    <w:rsid w:val="00DF5F88"/>
    <w:rsid w:val="00DF6154"/>
    <w:rsid w:val="00DF6296"/>
    <w:rsid w:val="00DF65E5"/>
    <w:rsid w:val="00DF6B31"/>
    <w:rsid w:val="00DF6EC9"/>
    <w:rsid w:val="00DF6FD7"/>
    <w:rsid w:val="00DF6FDB"/>
    <w:rsid w:val="00DF742D"/>
    <w:rsid w:val="00DF79C0"/>
    <w:rsid w:val="00DF7DB6"/>
    <w:rsid w:val="00DF7DE2"/>
    <w:rsid w:val="00DF7E19"/>
    <w:rsid w:val="00DF7F87"/>
    <w:rsid w:val="00E00000"/>
    <w:rsid w:val="00E001EC"/>
    <w:rsid w:val="00E00339"/>
    <w:rsid w:val="00E003E8"/>
    <w:rsid w:val="00E005F0"/>
    <w:rsid w:val="00E006E6"/>
    <w:rsid w:val="00E00C30"/>
    <w:rsid w:val="00E00C90"/>
    <w:rsid w:val="00E01414"/>
    <w:rsid w:val="00E01811"/>
    <w:rsid w:val="00E01C80"/>
    <w:rsid w:val="00E0201B"/>
    <w:rsid w:val="00E028A8"/>
    <w:rsid w:val="00E02B9E"/>
    <w:rsid w:val="00E02C83"/>
    <w:rsid w:val="00E02E14"/>
    <w:rsid w:val="00E02E32"/>
    <w:rsid w:val="00E037F2"/>
    <w:rsid w:val="00E039F8"/>
    <w:rsid w:val="00E04022"/>
    <w:rsid w:val="00E040AB"/>
    <w:rsid w:val="00E04616"/>
    <w:rsid w:val="00E0492B"/>
    <w:rsid w:val="00E04CD4"/>
    <w:rsid w:val="00E04DB1"/>
    <w:rsid w:val="00E0504C"/>
    <w:rsid w:val="00E05C6A"/>
    <w:rsid w:val="00E05C6C"/>
    <w:rsid w:val="00E05D72"/>
    <w:rsid w:val="00E05D98"/>
    <w:rsid w:val="00E05DBB"/>
    <w:rsid w:val="00E065B4"/>
    <w:rsid w:val="00E06B6F"/>
    <w:rsid w:val="00E06F2C"/>
    <w:rsid w:val="00E07310"/>
    <w:rsid w:val="00E07371"/>
    <w:rsid w:val="00E0750C"/>
    <w:rsid w:val="00E07A0B"/>
    <w:rsid w:val="00E07A72"/>
    <w:rsid w:val="00E07BBF"/>
    <w:rsid w:val="00E07C22"/>
    <w:rsid w:val="00E07D2D"/>
    <w:rsid w:val="00E07D4A"/>
    <w:rsid w:val="00E10242"/>
    <w:rsid w:val="00E10C5B"/>
    <w:rsid w:val="00E10DDC"/>
    <w:rsid w:val="00E11BFE"/>
    <w:rsid w:val="00E11D0F"/>
    <w:rsid w:val="00E122C8"/>
    <w:rsid w:val="00E1281F"/>
    <w:rsid w:val="00E128F5"/>
    <w:rsid w:val="00E12999"/>
    <w:rsid w:val="00E12B46"/>
    <w:rsid w:val="00E1323B"/>
    <w:rsid w:val="00E132A7"/>
    <w:rsid w:val="00E13664"/>
    <w:rsid w:val="00E13761"/>
    <w:rsid w:val="00E13867"/>
    <w:rsid w:val="00E13D74"/>
    <w:rsid w:val="00E1431C"/>
    <w:rsid w:val="00E149F9"/>
    <w:rsid w:val="00E14CFD"/>
    <w:rsid w:val="00E14D33"/>
    <w:rsid w:val="00E15043"/>
    <w:rsid w:val="00E150C6"/>
    <w:rsid w:val="00E1512F"/>
    <w:rsid w:val="00E155EF"/>
    <w:rsid w:val="00E157B6"/>
    <w:rsid w:val="00E15E87"/>
    <w:rsid w:val="00E16147"/>
    <w:rsid w:val="00E16428"/>
    <w:rsid w:val="00E167A2"/>
    <w:rsid w:val="00E16953"/>
    <w:rsid w:val="00E169D4"/>
    <w:rsid w:val="00E16C1E"/>
    <w:rsid w:val="00E16E50"/>
    <w:rsid w:val="00E16FBA"/>
    <w:rsid w:val="00E17030"/>
    <w:rsid w:val="00E17038"/>
    <w:rsid w:val="00E17061"/>
    <w:rsid w:val="00E171AC"/>
    <w:rsid w:val="00E175DF"/>
    <w:rsid w:val="00E176B5"/>
    <w:rsid w:val="00E177BB"/>
    <w:rsid w:val="00E17844"/>
    <w:rsid w:val="00E178B7"/>
    <w:rsid w:val="00E17A3E"/>
    <w:rsid w:val="00E17B68"/>
    <w:rsid w:val="00E17FE4"/>
    <w:rsid w:val="00E2011E"/>
    <w:rsid w:val="00E20C19"/>
    <w:rsid w:val="00E20D15"/>
    <w:rsid w:val="00E21024"/>
    <w:rsid w:val="00E21665"/>
    <w:rsid w:val="00E2177A"/>
    <w:rsid w:val="00E21BBF"/>
    <w:rsid w:val="00E21F83"/>
    <w:rsid w:val="00E22184"/>
    <w:rsid w:val="00E2283A"/>
    <w:rsid w:val="00E22CFB"/>
    <w:rsid w:val="00E2303D"/>
    <w:rsid w:val="00E235F8"/>
    <w:rsid w:val="00E23EB3"/>
    <w:rsid w:val="00E2447D"/>
    <w:rsid w:val="00E244E4"/>
    <w:rsid w:val="00E24EE2"/>
    <w:rsid w:val="00E256E7"/>
    <w:rsid w:val="00E25760"/>
    <w:rsid w:val="00E257BB"/>
    <w:rsid w:val="00E263C8"/>
    <w:rsid w:val="00E264A2"/>
    <w:rsid w:val="00E27131"/>
    <w:rsid w:val="00E27297"/>
    <w:rsid w:val="00E27A01"/>
    <w:rsid w:val="00E3023A"/>
    <w:rsid w:val="00E30815"/>
    <w:rsid w:val="00E30933"/>
    <w:rsid w:val="00E30D03"/>
    <w:rsid w:val="00E30F03"/>
    <w:rsid w:val="00E315C9"/>
    <w:rsid w:val="00E318FF"/>
    <w:rsid w:val="00E31A0C"/>
    <w:rsid w:val="00E31DDC"/>
    <w:rsid w:val="00E31ED7"/>
    <w:rsid w:val="00E32098"/>
    <w:rsid w:val="00E320B9"/>
    <w:rsid w:val="00E32215"/>
    <w:rsid w:val="00E32227"/>
    <w:rsid w:val="00E326E5"/>
    <w:rsid w:val="00E328EA"/>
    <w:rsid w:val="00E32EB7"/>
    <w:rsid w:val="00E335FE"/>
    <w:rsid w:val="00E33B6B"/>
    <w:rsid w:val="00E33E49"/>
    <w:rsid w:val="00E33ED2"/>
    <w:rsid w:val="00E34145"/>
    <w:rsid w:val="00E346E7"/>
    <w:rsid w:val="00E34AF7"/>
    <w:rsid w:val="00E34DD7"/>
    <w:rsid w:val="00E351BB"/>
    <w:rsid w:val="00E3586E"/>
    <w:rsid w:val="00E359FF"/>
    <w:rsid w:val="00E35E22"/>
    <w:rsid w:val="00E35F23"/>
    <w:rsid w:val="00E36319"/>
    <w:rsid w:val="00E36675"/>
    <w:rsid w:val="00E36B69"/>
    <w:rsid w:val="00E3718E"/>
    <w:rsid w:val="00E37316"/>
    <w:rsid w:val="00E3743D"/>
    <w:rsid w:val="00E374F4"/>
    <w:rsid w:val="00E3758D"/>
    <w:rsid w:val="00E376D1"/>
    <w:rsid w:val="00E40298"/>
    <w:rsid w:val="00E405CA"/>
    <w:rsid w:val="00E4072B"/>
    <w:rsid w:val="00E408A0"/>
    <w:rsid w:val="00E40B75"/>
    <w:rsid w:val="00E40B96"/>
    <w:rsid w:val="00E40CB0"/>
    <w:rsid w:val="00E40E37"/>
    <w:rsid w:val="00E40E7C"/>
    <w:rsid w:val="00E412E7"/>
    <w:rsid w:val="00E41A62"/>
    <w:rsid w:val="00E41FA9"/>
    <w:rsid w:val="00E420DC"/>
    <w:rsid w:val="00E425E1"/>
    <w:rsid w:val="00E4299A"/>
    <w:rsid w:val="00E42F78"/>
    <w:rsid w:val="00E4310D"/>
    <w:rsid w:val="00E4317B"/>
    <w:rsid w:val="00E43188"/>
    <w:rsid w:val="00E43700"/>
    <w:rsid w:val="00E437C2"/>
    <w:rsid w:val="00E43C20"/>
    <w:rsid w:val="00E43CFA"/>
    <w:rsid w:val="00E44373"/>
    <w:rsid w:val="00E44665"/>
    <w:rsid w:val="00E44E2F"/>
    <w:rsid w:val="00E44FEF"/>
    <w:rsid w:val="00E45618"/>
    <w:rsid w:val="00E4584A"/>
    <w:rsid w:val="00E45905"/>
    <w:rsid w:val="00E459A3"/>
    <w:rsid w:val="00E45A84"/>
    <w:rsid w:val="00E45AA0"/>
    <w:rsid w:val="00E45EB0"/>
    <w:rsid w:val="00E465D0"/>
    <w:rsid w:val="00E4662F"/>
    <w:rsid w:val="00E46B8D"/>
    <w:rsid w:val="00E46C15"/>
    <w:rsid w:val="00E46CA8"/>
    <w:rsid w:val="00E47503"/>
    <w:rsid w:val="00E47CF1"/>
    <w:rsid w:val="00E47F8C"/>
    <w:rsid w:val="00E503BD"/>
    <w:rsid w:val="00E50AAA"/>
    <w:rsid w:val="00E50B41"/>
    <w:rsid w:val="00E50C4F"/>
    <w:rsid w:val="00E50EDD"/>
    <w:rsid w:val="00E5169B"/>
    <w:rsid w:val="00E51823"/>
    <w:rsid w:val="00E5194D"/>
    <w:rsid w:val="00E51B25"/>
    <w:rsid w:val="00E52287"/>
    <w:rsid w:val="00E526AB"/>
    <w:rsid w:val="00E52CFF"/>
    <w:rsid w:val="00E52F73"/>
    <w:rsid w:val="00E53006"/>
    <w:rsid w:val="00E53966"/>
    <w:rsid w:val="00E53AAE"/>
    <w:rsid w:val="00E53B12"/>
    <w:rsid w:val="00E54497"/>
    <w:rsid w:val="00E54741"/>
    <w:rsid w:val="00E54833"/>
    <w:rsid w:val="00E54B49"/>
    <w:rsid w:val="00E54BDD"/>
    <w:rsid w:val="00E54F2B"/>
    <w:rsid w:val="00E550ED"/>
    <w:rsid w:val="00E55973"/>
    <w:rsid w:val="00E55C6A"/>
    <w:rsid w:val="00E55D27"/>
    <w:rsid w:val="00E55D76"/>
    <w:rsid w:val="00E55E6F"/>
    <w:rsid w:val="00E55E98"/>
    <w:rsid w:val="00E563BD"/>
    <w:rsid w:val="00E564D5"/>
    <w:rsid w:val="00E5654A"/>
    <w:rsid w:val="00E565ED"/>
    <w:rsid w:val="00E568CB"/>
    <w:rsid w:val="00E57014"/>
    <w:rsid w:val="00E57197"/>
    <w:rsid w:val="00E574E0"/>
    <w:rsid w:val="00E575CA"/>
    <w:rsid w:val="00E57841"/>
    <w:rsid w:val="00E57E9C"/>
    <w:rsid w:val="00E6033D"/>
    <w:rsid w:val="00E60464"/>
    <w:rsid w:val="00E608C1"/>
    <w:rsid w:val="00E6124B"/>
    <w:rsid w:val="00E614B7"/>
    <w:rsid w:val="00E6160F"/>
    <w:rsid w:val="00E61802"/>
    <w:rsid w:val="00E61836"/>
    <w:rsid w:val="00E61898"/>
    <w:rsid w:val="00E61A28"/>
    <w:rsid w:val="00E62026"/>
    <w:rsid w:val="00E620DA"/>
    <w:rsid w:val="00E621A6"/>
    <w:rsid w:val="00E621FF"/>
    <w:rsid w:val="00E6237B"/>
    <w:rsid w:val="00E62502"/>
    <w:rsid w:val="00E6263D"/>
    <w:rsid w:val="00E627D4"/>
    <w:rsid w:val="00E628CE"/>
    <w:rsid w:val="00E62EA5"/>
    <w:rsid w:val="00E62FA4"/>
    <w:rsid w:val="00E63053"/>
    <w:rsid w:val="00E63262"/>
    <w:rsid w:val="00E632BD"/>
    <w:rsid w:val="00E6349C"/>
    <w:rsid w:val="00E6350A"/>
    <w:rsid w:val="00E63F81"/>
    <w:rsid w:val="00E64116"/>
    <w:rsid w:val="00E6466C"/>
    <w:rsid w:val="00E646E0"/>
    <w:rsid w:val="00E64B4F"/>
    <w:rsid w:val="00E6534B"/>
    <w:rsid w:val="00E65758"/>
    <w:rsid w:val="00E657DB"/>
    <w:rsid w:val="00E65B5F"/>
    <w:rsid w:val="00E65E2B"/>
    <w:rsid w:val="00E663F1"/>
    <w:rsid w:val="00E6645F"/>
    <w:rsid w:val="00E6688D"/>
    <w:rsid w:val="00E668AE"/>
    <w:rsid w:val="00E66C4A"/>
    <w:rsid w:val="00E67C4C"/>
    <w:rsid w:val="00E67DBD"/>
    <w:rsid w:val="00E7099A"/>
    <w:rsid w:val="00E70C87"/>
    <w:rsid w:val="00E71280"/>
    <w:rsid w:val="00E712E9"/>
    <w:rsid w:val="00E7138D"/>
    <w:rsid w:val="00E7145E"/>
    <w:rsid w:val="00E719B6"/>
    <w:rsid w:val="00E71A42"/>
    <w:rsid w:val="00E71EDE"/>
    <w:rsid w:val="00E720EA"/>
    <w:rsid w:val="00E7245B"/>
    <w:rsid w:val="00E724A0"/>
    <w:rsid w:val="00E72634"/>
    <w:rsid w:val="00E728E8"/>
    <w:rsid w:val="00E72B9C"/>
    <w:rsid w:val="00E72BA0"/>
    <w:rsid w:val="00E72CC7"/>
    <w:rsid w:val="00E73602"/>
    <w:rsid w:val="00E73629"/>
    <w:rsid w:val="00E73796"/>
    <w:rsid w:val="00E73E3F"/>
    <w:rsid w:val="00E73F8A"/>
    <w:rsid w:val="00E7482C"/>
    <w:rsid w:val="00E74AC4"/>
    <w:rsid w:val="00E74FEE"/>
    <w:rsid w:val="00E750CB"/>
    <w:rsid w:val="00E7526A"/>
    <w:rsid w:val="00E75443"/>
    <w:rsid w:val="00E757F4"/>
    <w:rsid w:val="00E76403"/>
    <w:rsid w:val="00E76D13"/>
    <w:rsid w:val="00E76F13"/>
    <w:rsid w:val="00E800AE"/>
    <w:rsid w:val="00E80905"/>
    <w:rsid w:val="00E8092C"/>
    <w:rsid w:val="00E80A23"/>
    <w:rsid w:val="00E80AA5"/>
    <w:rsid w:val="00E80CF2"/>
    <w:rsid w:val="00E80D2A"/>
    <w:rsid w:val="00E80E08"/>
    <w:rsid w:val="00E80F49"/>
    <w:rsid w:val="00E816C5"/>
    <w:rsid w:val="00E81929"/>
    <w:rsid w:val="00E81BD4"/>
    <w:rsid w:val="00E81BDA"/>
    <w:rsid w:val="00E81CB9"/>
    <w:rsid w:val="00E81E13"/>
    <w:rsid w:val="00E82244"/>
    <w:rsid w:val="00E82506"/>
    <w:rsid w:val="00E825A8"/>
    <w:rsid w:val="00E82623"/>
    <w:rsid w:val="00E82882"/>
    <w:rsid w:val="00E82ABB"/>
    <w:rsid w:val="00E82B38"/>
    <w:rsid w:val="00E82E04"/>
    <w:rsid w:val="00E833E6"/>
    <w:rsid w:val="00E83AB4"/>
    <w:rsid w:val="00E83B6E"/>
    <w:rsid w:val="00E83BC8"/>
    <w:rsid w:val="00E84470"/>
    <w:rsid w:val="00E845FD"/>
    <w:rsid w:val="00E849F7"/>
    <w:rsid w:val="00E84EEC"/>
    <w:rsid w:val="00E850CC"/>
    <w:rsid w:val="00E85210"/>
    <w:rsid w:val="00E85833"/>
    <w:rsid w:val="00E85956"/>
    <w:rsid w:val="00E86229"/>
    <w:rsid w:val="00E865A9"/>
    <w:rsid w:val="00E86995"/>
    <w:rsid w:val="00E86BD9"/>
    <w:rsid w:val="00E87A76"/>
    <w:rsid w:val="00E87D58"/>
    <w:rsid w:val="00E87E20"/>
    <w:rsid w:val="00E902B7"/>
    <w:rsid w:val="00E90540"/>
    <w:rsid w:val="00E906F7"/>
    <w:rsid w:val="00E90947"/>
    <w:rsid w:val="00E909C1"/>
    <w:rsid w:val="00E90EB5"/>
    <w:rsid w:val="00E91222"/>
    <w:rsid w:val="00E9145B"/>
    <w:rsid w:val="00E9146D"/>
    <w:rsid w:val="00E917C3"/>
    <w:rsid w:val="00E91917"/>
    <w:rsid w:val="00E91B59"/>
    <w:rsid w:val="00E91F19"/>
    <w:rsid w:val="00E921EF"/>
    <w:rsid w:val="00E927E5"/>
    <w:rsid w:val="00E928DA"/>
    <w:rsid w:val="00E92A24"/>
    <w:rsid w:val="00E92EF3"/>
    <w:rsid w:val="00E93148"/>
    <w:rsid w:val="00E93378"/>
    <w:rsid w:val="00E937E0"/>
    <w:rsid w:val="00E93A6C"/>
    <w:rsid w:val="00E93D23"/>
    <w:rsid w:val="00E940D3"/>
    <w:rsid w:val="00E9422A"/>
    <w:rsid w:val="00E946B3"/>
    <w:rsid w:val="00E94701"/>
    <w:rsid w:val="00E94CB6"/>
    <w:rsid w:val="00E95056"/>
    <w:rsid w:val="00E95505"/>
    <w:rsid w:val="00E95963"/>
    <w:rsid w:val="00E95BFB"/>
    <w:rsid w:val="00E96719"/>
    <w:rsid w:val="00E96EAE"/>
    <w:rsid w:val="00E97285"/>
    <w:rsid w:val="00E97674"/>
    <w:rsid w:val="00E9794A"/>
    <w:rsid w:val="00E97A35"/>
    <w:rsid w:val="00E97EF0"/>
    <w:rsid w:val="00E97F57"/>
    <w:rsid w:val="00EA0307"/>
    <w:rsid w:val="00EA06F7"/>
    <w:rsid w:val="00EA09EC"/>
    <w:rsid w:val="00EA0A16"/>
    <w:rsid w:val="00EA0C68"/>
    <w:rsid w:val="00EA0EB4"/>
    <w:rsid w:val="00EA1845"/>
    <w:rsid w:val="00EA1A69"/>
    <w:rsid w:val="00EA1EA8"/>
    <w:rsid w:val="00EA1F72"/>
    <w:rsid w:val="00EA2612"/>
    <w:rsid w:val="00EA2929"/>
    <w:rsid w:val="00EA2D74"/>
    <w:rsid w:val="00EA30D2"/>
    <w:rsid w:val="00EA3218"/>
    <w:rsid w:val="00EA3456"/>
    <w:rsid w:val="00EA34A6"/>
    <w:rsid w:val="00EA38BB"/>
    <w:rsid w:val="00EA43B2"/>
    <w:rsid w:val="00EA450B"/>
    <w:rsid w:val="00EA4672"/>
    <w:rsid w:val="00EA490D"/>
    <w:rsid w:val="00EA524F"/>
    <w:rsid w:val="00EA5ADB"/>
    <w:rsid w:val="00EA5CC3"/>
    <w:rsid w:val="00EA5CCE"/>
    <w:rsid w:val="00EA61CF"/>
    <w:rsid w:val="00EA64FF"/>
    <w:rsid w:val="00EA685E"/>
    <w:rsid w:val="00EA691E"/>
    <w:rsid w:val="00EA6A73"/>
    <w:rsid w:val="00EA6CE1"/>
    <w:rsid w:val="00EA6F8D"/>
    <w:rsid w:val="00EA6FA0"/>
    <w:rsid w:val="00EA76D9"/>
    <w:rsid w:val="00EA79B9"/>
    <w:rsid w:val="00EA7D41"/>
    <w:rsid w:val="00EB0161"/>
    <w:rsid w:val="00EB0594"/>
    <w:rsid w:val="00EB07E8"/>
    <w:rsid w:val="00EB0C6C"/>
    <w:rsid w:val="00EB0CA4"/>
    <w:rsid w:val="00EB1067"/>
    <w:rsid w:val="00EB1681"/>
    <w:rsid w:val="00EB1715"/>
    <w:rsid w:val="00EB179D"/>
    <w:rsid w:val="00EB1A7C"/>
    <w:rsid w:val="00EB3568"/>
    <w:rsid w:val="00EB3755"/>
    <w:rsid w:val="00EB3A59"/>
    <w:rsid w:val="00EB3C10"/>
    <w:rsid w:val="00EB3C77"/>
    <w:rsid w:val="00EB4062"/>
    <w:rsid w:val="00EB41B4"/>
    <w:rsid w:val="00EB4247"/>
    <w:rsid w:val="00EB48F5"/>
    <w:rsid w:val="00EB4D13"/>
    <w:rsid w:val="00EB51BF"/>
    <w:rsid w:val="00EB51CE"/>
    <w:rsid w:val="00EB5295"/>
    <w:rsid w:val="00EB5664"/>
    <w:rsid w:val="00EB5814"/>
    <w:rsid w:val="00EB5AF2"/>
    <w:rsid w:val="00EB5BBE"/>
    <w:rsid w:val="00EB5C82"/>
    <w:rsid w:val="00EB5CCB"/>
    <w:rsid w:val="00EB64B4"/>
    <w:rsid w:val="00EB67FF"/>
    <w:rsid w:val="00EB68C6"/>
    <w:rsid w:val="00EB68D3"/>
    <w:rsid w:val="00EB69F4"/>
    <w:rsid w:val="00EB6AA1"/>
    <w:rsid w:val="00EB6B62"/>
    <w:rsid w:val="00EB719D"/>
    <w:rsid w:val="00EB7267"/>
    <w:rsid w:val="00EB7357"/>
    <w:rsid w:val="00EB790E"/>
    <w:rsid w:val="00EB7BAC"/>
    <w:rsid w:val="00EC068F"/>
    <w:rsid w:val="00EC08A7"/>
    <w:rsid w:val="00EC0A46"/>
    <w:rsid w:val="00EC0C4B"/>
    <w:rsid w:val="00EC0F66"/>
    <w:rsid w:val="00EC1638"/>
    <w:rsid w:val="00EC1778"/>
    <w:rsid w:val="00EC1914"/>
    <w:rsid w:val="00EC218A"/>
    <w:rsid w:val="00EC21D1"/>
    <w:rsid w:val="00EC25DA"/>
    <w:rsid w:val="00EC265A"/>
    <w:rsid w:val="00EC265B"/>
    <w:rsid w:val="00EC2704"/>
    <w:rsid w:val="00EC29AC"/>
    <w:rsid w:val="00EC2C66"/>
    <w:rsid w:val="00EC2F03"/>
    <w:rsid w:val="00EC376F"/>
    <w:rsid w:val="00EC37B1"/>
    <w:rsid w:val="00EC38E9"/>
    <w:rsid w:val="00EC407D"/>
    <w:rsid w:val="00EC48DD"/>
    <w:rsid w:val="00EC4E40"/>
    <w:rsid w:val="00EC5872"/>
    <w:rsid w:val="00EC58AA"/>
    <w:rsid w:val="00EC64F3"/>
    <w:rsid w:val="00EC66E2"/>
    <w:rsid w:val="00EC6CF8"/>
    <w:rsid w:val="00EC72A2"/>
    <w:rsid w:val="00EC74E3"/>
    <w:rsid w:val="00EC7838"/>
    <w:rsid w:val="00ED0249"/>
    <w:rsid w:val="00ED0466"/>
    <w:rsid w:val="00ED09DE"/>
    <w:rsid w:val="00ED0A0F"/>
    <w:rsid w:val="00ED0CF2"/>
    <w:rsid w:val="00ED12C0"/>
    <w:rsid w:val="00ED1963"/>
    <w:rsid w:val="00ED1BD4"/>
    <w:rsid w:val="00ED21B7"/>
    <w:rsid w:val="00ED21DE"/>
    <w:rsid w:val="00ED24B4"/>
    <w:rsid w:val="00ED297E"/>
    <w:rsid w:val="00ED29AC"/>
    <w:rsid w:val="00ED3043"/>
    <w:rsid w:val="00ED30F0"/>
    <w:rsid w:val="00ED330A"/>
    <w:rsid w:val="00ED33F7"/>
    <w:rsid w:val="00ED34FF"/>
    <w:rsid w:val="00ED36B3"/>
    <w:rsid w:val="00ED36FC"/>
    <w:rsid w:val="00ED3774"/>
    <w:rsid w:val="00ED3A9A"/>
    <w:rsid w:val="00ED3D35"/>
    <w:rsid w:val="00ED42F5"/>
    <w:rsid w:val="00ED4671"/>
    <w:rsid w:val="00ED472A"/>
    <w:rsid w:val="00ED4E08"/>
    <w:rsid w:val="00ED4EDD"/>
    <w:rsid w:val="00ED54E2"/>
    <w:rsid w:val="00ED5D6E"/>
    <w:rsid w:val="00ED61DB"/>
    <w:rsid w:val="00ED63B3"/>
    <w:rsid w:val="00ED6484"/>
    <w:rsid w:val="00ED7508"/>
    <w:rsid w:val="00ED7DB4"/>
    <w:rsid w:val="00EE0943"/>
    <w:rsid w:val="00EE115A"/>
    <w:rsid w:val="00EE1C1C"/>
    <w:rsid w:val="00EE1D85"/>
    <w:rsid w:val="00EE202A"/>
    <w:rsid w:val="00EE21CD"/>
    <w:rsid w:val="00EE265B"/>
    <w:rsid w:val="00EE3198"/>
    <w:rsid w:val="00EE35F3"/>
    <w:rsid w:val="00EE40D5"/>
    <w:rsid w:val="00EE41D1"/>
    <w:rsid w:val="00EE4205"/>
    <w:rsid w:val="00EE43C8"/>
    <w:rsid w:val="00EE452C"/>
    <w:rsid w:val="00EE4656"/>
    <w:rsid w:val="00EE47A2"/>
    <w:rsid w:val="00EE47F1"/>
    <w:rsid w:val="00EE4B59"/>
    <w:rsid w:val="00EE52F1"/>
    <w:rsid w:val="00EE54E7"/>
    <w:rsid w:val="00EE5D9C"/>
    <w:rsid w:val="00EE5DD5"/>
    <w:rsid w:val="00EE5E21"/>
    <w:rsid w:val="00EE60B8"/>
    <w:rsid w:val="00EE6545"/>
    <w:rsid w:val="00EE66A2"/>
    <w:rsid w:val="00EE67A0"/>
    <w:rsid w:val="00EE6BC6"/>
    <w:rsid w:val="00EE6EAC"/>
    <w:rsid w:val="00EE72F4"/>
    <w:rsid w:val="00EE7459"/>
    <w:rsid w:val="00EE799E"/>
    <w:rsid w:val="00EF0411"/>
    <w:rsid w:val="00EF0525"/>
    <w:rsid w:val="00EF08D2"/>
    <w:rsid w:val="00EF0F10"/>
    <w:rsid w:val="00EF1958"/>
    <w:rsid w:val="00EF1B7C"/>
    <w:rsid w:val="00EF2062"/>
    <w:rsid w:val="00EF23F0"/>
    <w:rsid w:val="00EF23F5"/>
    <w:rsid w:val="00EF244E"/>
    <w:rsid w:val="00EF2FE2"/>
    <w:rsid w:val="00EF3302"/>
    <w:rsid w:val="00EF3309"/>
    <w:rsid w:val="00EF38B5"/>
    <w:rsid w:val="00EF3C24"/>
    <w:rsid w:val="00EF3C8B"/>
    <w:rsid w:val="00EF3CF4"/>
    <w:rsid w:val="00EF41F3"/>
    <w:rsid w:val="00EF43A7"/>
    <w:rsid w:val="00EF4768"/>
    <w:rsid w:val="00EF4885"/>
    <w:rsid w:val="00EF4C60"/>
    <w:rsid w:val="00EF55F7"/>
    <w:rsid w:val="00EF5FA0"/>
    <w:rsid w:val="00EF60CF"/>
    <w:rsid w:val="00EF68A2"/>
    <w:rsid w:val="00EF6A1F"/>
    <w:rsid w:val="00EF6B2D"/>
    <w:rsid w:val="00EF6FAE"/>
    <w:rsid w:val="00EF6FE8"/>
    <w:rsid w:val="00EF713E"/>
    <w:rsid w:val="00EF72B5"/>
    <w:rsid w:val="00EF7572"/>
    <w:rsid w:val="00EF77A5"/>
    <w:rsid w:val="00EF78EB"/>
    <w:rsid w:val="00F0019D"/>
    <w:rsid w:val="00F0040F"/>
    <w:rsid w:val="00F018F4"/>
    <w:rsid w:val="00F01B35"/>
    <w:rsid w:val="00F01D4A"/>
    <w:rsid w:val="00F0219A"/>
    <w:rsid w:val="00F02695"/>
    <w:rsid w:val="00F02C68"/>
    <w:rsid w:val="00F02D8E"/>
    <w:rsid w:val="00F032A1"/>
    <w:rsid w:val="00F032D5"/>
    <w:rsid w:val="00F03578"/>
    <w:rsid w:val="00F044A7"/>
    <w:rsid w:val="00F0498C"/>
    <w:rsid w:val="00F049BD"/>
    <w:rsid w:val="00F04FC9"/>
    <w:rsid w:val="00F05A3B"/>
    <w:rsid w:val="00F05E19"/>
    <w:rsid w:val="00F063E0"/>
    <w:rsid w:val="00F06562"/>
    <w:rsid w:val="00F06589"/>
    <w:rsid w:val="00F06737"/>
    <w:rsid w:val="00F07275"/>
    <w:rsid w:val="00F073E3"/>
    <w:rsid w:val="00F100EC"/>
    <w:rsid w:val="00F10888"/>
    <w:rsid w:val="00F108A7"/>
    <w:rsid w:val="00F10AA2"/>
    <w:rsid w:val="00F10C09"/>
    <w:rsid w:val="00F10C89"/>
    <w:rsid w:val="00F10DB7"/>
    <w:rsid w:val="00F111C4"/>
    <w:rsid w:val="00F111F1"/>
    <w:rsid w:val="00F11B0D"/>
    <w:rsid w:val="00F11B40"/>
    <w:rsid w:val="00F11EE9"/>
    <w:rsid w:val="00F11F07"/>
    <w:rsid w:val="00F1250A"/>
    <w:rsid w:val="00F125C4"/>
    <w:rsid w:val="00F130A0"/>
    <w:rsid w:val="00F13B96"/>
    <w:rsid w:val="00F13D84"/>
    <w:rsid w:val="00F13D94"/>
    <w:rsid w:val="00F13EAD"/>
    <w:rsid w:val="00F144B3"/>
    <w:rsid w:val="00F1465A"/>
    <w:rsid w:val="00F14CED"/>
    <w:rsid w:val="00F14D99"/>
    <w:rsid w:val="00F15470"/>
    <w:rsid w:val="00F1577A"/>
    <w:rsid w:val="00F15A28"/>
    <w:rsid w:val="00F15DDC"/>
    <w:rsid w:val="00F15FF5"/>
    <w:rsid w:val="00F16035"/>
    <w:rsid w:val="00F162F1"/>
    <w:rsid w:val="00F16533"/>
    <w:rsid w:val="00F16575"/>
    <w:rsid w:val="00F167E0"/>
    <w:rsid w:val="00F16C4C"/>
    <w:rsid w:val="00F1714A"/>
    <w:rsid w:val="00F17540"/>
    <w:rsid w:val="00F17D68"/>
    <w:rsid w:val="00F20005"/>
    <w:rsid w:val="00F20080"/>
    <w:rsid w:val="00F2024C"/>
    <w:rsid w:val="00F20250"/>
    <w:rsid w:val="00F20721"/>
    <w:rsid w:val="00F20C21"/>
    <w:rsid w:val="00F20ED1"/>
    <w:rsid w:val="00F20F44"/>
    <w:rsid w:val="00F212E2"/>
    <w:rsid w:val="00F212E3"/>
    <w:rsid w:val="00F215BA"/>
    <w:rsid w:val="00F216F0"/>
    <w:rsid w:val="00F219F3"/>
    <w:rsid w:val="00F22185"/>
    <w:rsid w:val="00F222AD"/>
    <w:rsid w:val="00F223B0"/>
    <w:rsid w:val="00F225B5"/>
    <w:rsid w:val="00F22986"/>
    <w:rsid w:val="00F23190"/>
    <w:rsid w:val="00F2384E"/>
    <w:rsid w:val="00F238DE"/>
    <w:rsid w:val="00F241DB"/>
    <w:rsid w:val="00F24389"/>
    <w:rsid w:val="00F245AE"/>
    <w:rsid w:val="00F24846"/>
    <w:rsid w:val="00F24957"/>
    <w:rsid w:val="00F249B1"/>
    <w:rsid w:val="00F24F25"/>
    <w:rsid w:val="00F254DE"/>
    <w:rsid w:val="00F256BC"/>
    <w:rsid w:val="00F2659F"/>
    <w:rsid w:val="00F26BE6"/>
    <w:rsid w:val="00F26F2D"/>
    <w:rsid w:val="00F2701F"/>
    <w:rsid w:val="00F27624"/>
    <w:rsid w:val="00F27A60"/>
    <w:rsid w:val="00F27AE3"/>
    <w:rsid w:val="00F27FB6"/>
    <w:rsid w:val="00F30344"/>
    <w:rsid w:val="00F30A4F"/>
    <w:rsid w:val="00F30F1A"/>
    <w:rsid w:val="00F3130E"/>
    <w:rsid w:val="00F31849"/>
    <w:rsid w:val="00F31E0E"/>
    <w:rsid w:val="00F3200F"/>
    <w:rsid w:val="00F320A7"/>
    <w:rsid w:val="00F3235F"/>
    <w:rsid w:val="00F32360"/>
    <w:rsid w:val="00F32A30"/>
    <w:rsid w:val="00F32ABD"/>
    <w:rsid w:val="00F32BA8"/>
    <w:rsid w:val="00F3340B"/>
    <w:rsid w:val="00F33457"/>
    <w:rsid w:val="00F34042"/>
    <w:rsid w:val="00F34114"/>
    <w:rsid w:val="00F3488F"/>
    <w:rsid w:val="00F3497E"/>
    <w:rsid w:val="00F34AE9"/>
    <w:rsid w:val="00F35048"/>
    <w:rsid w:val="00F354CA"/>
    <w:rsid w:val="00F35853"/>
    <w:rsid w:val="00F3585A"/>
    <w:rsid w:val="00F35C25"/>
    <w:rsid w:val="00F35D86"/>
    <w:rsid w:val="00F35DF9"/>
    <w:rsid w:val="00F36813"/>
    <w:rsid w:val="00F37825"/>
    <w:rsid w:val="00F3793C"/>
    <w:rsid w:val="00F37964"/>
    <w:rsid w:val="00F37F91"/>
    <w:rsid w:val="00F40122"/>
    <w:rsid w:val="00F403E4"/>
    <w:rsid w:val="00F404CE"/>
    <w:rsid w:val="00F40890"/>
    <w:rsid w:val="00F40B32"/>
    <w:rsid w:val="00F40B61"/>
    <w:rsid w:val="00F4100C"/>
    <w:rsid w:val="00F41127"/>
    <w:rsid w:val="00F41A30"/>
    <w:rsid w:val="00F41A57"/>
    <w:rsid w:val="00F41B0F"/>
    <w:rsid w:val="00F41B37"/>
    <w:rsid w:val="00F41D6B"/>
    <w:rsid w:val="00F41D72"/>
    <w:rsid w:val="00F41F20"/>
    <w:rsid w:val="00F41FA6"/>
    <w:rsid w:val="00F42130"/>
    <w:rsid w:val="00F4219B"/>
    <w:rsid w:val="00F4259A"/>
    <w:rsid w:val="00F425BA"/>
    <w:rsid w:val="00F42624"/>
    <w:rsid w:val="00F42A0E"/>
    <w:rsid w:val="00F42AA8"/>
    <w:rsid w:val="00F4312A"/>
    <w:rsid w:val="00F43350"/>
    <w:rsid w:val="00F4342A"/>
    <w:rsid w:val="00F43725"/>
    <w:rsid w:val="00F43C05"/>
    <w:rsid w:val="00F4428F"/>
    <w:rsid w:val="00F44400"/>
    <w:rsid w:val="00F4443B"/>
    <w:rsid w:val="00F447F8"/>
    <w:rsid w:val="00F4492C"/>
    <w:rsid w:val="00F44A3C"/>
    <w:rsid w:val="00F44B1B"/>
    <w:rsid w:val="00F44DBE"/>
    <w:rsid w:val="00F4520B"/>
    <w:rsid w:val="00F4542D"/>
    <w:rsid w:val="00F45505"/>
    <w:rsid w:val="00F4587F"/>
    <w:rsid w:val="00F45B49"/>
    <w:rsid w:val="00F461E0"/>
    <w:rsid w:val="00F46231"/>
    <w:rsid w:val="00F466C6"/>
    <w:rsid w:val="00F47461"/>
    <w:rsid w:val="00F475B3"/>
    <w:rsid w:val="00F4760A"/>
    <w:rsid w:val="00F476C8"/>
    <w:rsid w:val="00F4786E"/>
    <w:rsid w:val="00F47EDB"/>
    <w:rsid w:val="00F50D66"/>
    <w:rsid w:val="00F50F83"/>
    <w:rsid w:val="00F51012"/>
    <w:rsid w:val="00F515DD"/>
    <w:rsid w:val="00F51908"/>
    <w:rsid w:val="00F51BA1"/>
    <w:rsid w:val="00F522F7"/>
    <w:rsid w:val="00F52C0A"/>
    <w:rsid w:val="00F53A83"/>
    <w:rsid w:val="00F53B6E"/>
    <w:rsid w:val="00F53E18"/>
    <w:rsid w:val="00F5424C"/>
    <w:rsid w:val="00F5470E"/>
    <w:rsid w:val="00F547D4"/>
    <w:rsid w:val="00F54A98"/>
    <w:rsid w:val="00F54C05"/>
    <w:rsid w:val="00F54C09"/>
    <w:rsid w:val="00F54C1F"/>
    <w:rsid w:val="00F54E46"/>
    <w:rsid w:val="00F5501C"/>
    <w:rsid w:val="00F5518D"/>
    <w:rsid w:val="00F551B2"/>
    <w:rsid w:val="00F5520F"/>
    <w:rsid w:val="00F55BA5"/>
    <w:rsid w:val="00F56213"/>
    <w:rsid w:val="00F56579"/>
    <w:rsid w:val="00F56A2D"/>
    <w:rsid w:val="00F56E16"/>
    <w:rsid w:val="00F57219"/>
    <w:rsid w:val="00F57753"/>
    <w:rsid w:val="00F5782B"/>
    <w:rsid w:val="00F57871"/>
    <w:rsid w:val="00F57B4E"/>
    <w:rsid w:val="00F57DD8"/>
    <w:rsid w:val="00F6026F"/>
    <w:rsid w:val="00F604A6"/>
    <w:rsid w:val="00F60650"/>
    <w:rsid w:val="00F60A47"/>
    <w:rsid w:val="00F60BFD"/>
    <w:rsid w:val="00F60FD7"/>
    <w:rsid w:val="00F613CF"/>
    <w:rsid w:val="00F617B6"/>
    <w:rsid w:val="00F61F16"/>
    <w:rsid w:val="00F6226D"/>
    <w:rsid w:val="00F62298"/>
    <w:rsid w:val="00F63072"/>
    <w:rsid w:val="00F630D4"/>
    <w:rsid w:val="00F63917"/>
    <w:rsid w:val="00F6398B"/>
    <w:rsid w:val="00F63F45"/>
    <w:rsid w:val="00F6438C"/>
    <w:rsid w:val="00F6522E"/>
    <w:rsid w:val="00F65309"/>
    <w:rsid w:val="00F65845"/>
    <w:rsid w:val="00F659FE"/>
    <w:rsid w:val="00F6678C"/>
    <w:rsid w:val="00F6695B"/>
    <w:rsid w:val="00F67058"/>
    <w:rsid w:val="00F67689"/>
    <w:rsid w:val="00F676C3"/>
    <w:rsid w:val="00F67E7A"/>
    <w:rsid w:val="00F701C3"/>
    <w:rsid w:val="00F70474"/>
    <w:rsid w:val="00F705EF"/>
    <w:rsid w:val="00F70D91"/>
    <w:rsid w:val="00F710C0"/>
    <w:rsid w:val="00F714B7"/>
    <w:rsid w:val="00F715B6"/>
    <w:rsid w:val="00F72006"/>
    <w:rsid w:val="00F72199"/>
    <w:rsid w:val="00F7232A"/>
    <w:rsid w:val="00F728CE"/>
    <w:rsid w:val="00F729CA"/>
    <w:rsid w:val="00F72A00"/>
    <w:rsid w:val="00F72A83"/>
    <w:rsid w:val="00F72B02"/>
    <w:rsid w:val="00F72CFE"/>
    <w:rsid w:val="00F72D6F"/>
    <w:rsid w:val="00F736C7"/>
    <w:rsid w:val="00F7383C"/>
    <w:rsid w:val="00F73C08"/>
    <w:rsid w:val="00F73D83"/>
    <w:rsid w:val="00F73DDF"/>
    <w:rsid w:val="00F73F91"/>
    <w:rsid w:val="00F741B7"/>
    <w:rsid w:val="00F7421D"/>
    <w:rsid w:val="00F743C0"/>
    <w:rsid w:val="00F746C7"/>
    <w:rsid w:val="00F74952"/>
    <w:rsid w:val="00F74EFC"/>
    <w:rsid w:val="00F75312"/>
    <w:rsid w:val="00F7543C"/>
    <w:rsid w:val="00F7594D"/>
    <w:rsid w:val="00F75988"/>
    <w:rsid w:val="00F75B8C"/>
    <w:rsid w:val="00F763AE"/>
    <w:rsid w:val="00F764AF"/>
    <w:rsid w:val="00F7698C"/>
    <w:rsid w:val="00F77288"/>
    <w:rsid w:val="00F7748B"/>
    <w:rsid w:val="00F77638"/>
    <w:rsid w:val="00F7785A"/>
    <w:rsid w:val="00F778EA"/>
    <w:rsid w:val="00F7793C"/>
    <w:rsid w:val="00F77D71"/>
    <w:rsid w:val="00F80139"/>
    <w:rsid w:val="00F802EE"/>
    <w:rsid w:val="00F807B7"/>
    <w:rsid w:val="00F807E5"/>
    <w:rsid w:val="00F80C57"/>
    <w:rsid w:val="00F810FB"/>
    <w:rsid w:val="00F812B5"/>
    <w:rsid w:val="00F81580"/>
    <w:rsid w:val="00F81813"/>
    <w:rsid w:val="00F81C47"/>
    <w:rsid w:val="00F81D9D"/>
    <w:rsid w:val="00F81F2A"/>
    <w:rsid w:val="00F82464"/>
    <w:rsid w:val="00F82567"/>
    <w:rsid w:val="00F827EC"/>
    <w:rsid w:val="00F827FC"/>
    <w:rsid w:val="00F828CC"/>
    <w:rsid w:val="00F82AD0"/>
    <w:rsid w:val="00F8305B"/>
    <w:rsid w:val="00F83291"/>
    <w:rsid w:val="00F832EA"/>
    <w:rsid w:val="00F83471"/>
    <w:rsid w:val="00F8351C"/>
    <w:rsid w:val="00F83A84"/>
    <w:rsid w:val="00F83DFB"/>
    <w:rsid w:val="00F84060"/>
    <w:rsid w:val="00F8457C"/>
    <w:rsid w:val="00F84D35"/>
    <w:rsid w:val="00F8507E"/>
    <w:rsid w:val="00F8542F"/>
    <w:rsid w:val="00F85947"/>
    <w:rsid w:val="00F85B1B"/>
    <w:rsid w:val="00F85B73"/>
    <w:rsid w:val="00F85C67"/>
    <w:rsid w:val="00F8603B"/>
    <w:rsid w:val="00F861F3"/>
    <w:rsid w:val="00F86566"/>
    <w:rsid w:val="00F86BD9"/>
    <w:rsid w:val="00F86C13"/>
    <w:rsid w:val="00F86DAC"/>
    <w:rsid w:val="00F87499"/>
    <w:rsid w:val="00F8751E"/>
    <w:rsid w:val="00F875E9"/>
    <w:rsid w:val="00F87830"/>
    <w:rsid w:val="00F87ABF"/>
    <w:rsid w:val="00F87B97"/>
    <w:rsid w:val="00F87F68"/>
    <w:rsid w:val="00F904E6"/>
    <w:rsid w:val="00F90741"/>
    <w:rsid w:val="00F90A1D"/>
    <w:rsid w:val="00F90D4D"/>
    <w:rsid w:val="00F9117B"/>
    <w:rsid w:val="00F91241"/>
    <w:rsid w:val="00F918BB"/>
    <w:rsid w:val="00F91A40"/>
    <w:rsid w:val="00F91B1B"/>
    <w:rsid w:val="00F9241F"/>
    <w:rsid w:val="00F92B05"/>
    <w:rsid w:val="00F93191"/>
    <w:rsid w:val="00F93237"/>
    <w:rsid w:val="00F933E2"/>
    <w:rsid w:val="00F934CD"/>
    <w:rsid w:val="00F936FB"/>
    <w:rsid w:val="00F939D7"/>
    <w:rsid w:val="00F93A4B"/>
    <w:rsid w:val="00F93E93"/>
    <w:rsid w:val="00F9410E"/>
    <w:rsid w:val="00F947AF"/>
    <w:rsid w:val="00F94999"/>
    <w:rsid w:val="00F94B47"/>
    <w:rsid w:val="00F94B53"/>
    <w:rsid w:val="00F94E8C"/>
    <w:rsid w:val="00F954B5"/>
    <w:rsid w:val="00F95527"/>
    <w:rsid w:val="00F95564"/>
    <w:rsid w:val="00F956C2"/>
    <w:rsid w:val="00F95BB0"/>
    <w:rsid w:val="00F95D4C"/>
    <w:rsid w:val="00F962AF"/>
    <w:rsid w:val="00F967FD"/>
    <w:rsid w:val="00F968C9"/>
    <w:rsid w:val="00F96923"/>
    <w:rsid w:val="00F96A91"/>
    <w:rsid w:val="00F96C2E"/>
    <w:rsid w:val="00F96C3D"/>
    <w:rsid w:val="00F96C72"/>
    <w:rsid w:val="00F975CF"/>
    <w:rsid w:val="00F9770B"/>
    <w:rsid w:val="00F97768"/>
    <w:rsid w:val="00F97C33"/>
    <w:rsid w:val="00F97C60"/>
    <w:rsid w:val="00FA0003"/>
    <w:rsid w:val="00FA021A"/>
    <w:rsid w:val="00FA03E5"/>
    <w:rsid w:val="00FA07EA"/>
    <w:rsid w:val="00FA0BED"/>
    <w:rsid w:val="00FA11C6"/>
    <w:rsid w:val="00FA20BD"/>
    <w:rsid w:val="00FA265A"/>
    <w:rsid w:val="00FA2987"/>
    <w:rsid w:val="00FA2A1C"/>
    <w:rsid w:val="00FA2E0B"/>
    <w:rsid w:val="00FA31F0"/>
    <w:rsid w:val="00FA35C5"/>
    <w:rsid w:val="00FA35EA"/>
    <w:rsid w:val="00FA37B6"/>
    <w:rsid w:val="00FA3E9C"/>
    <w:rsid w:val="00FA3FD7"/>
    <w:rsid w:val="00FA4454"/>
    <w:rsid w:val="00FA4B5A"/>
    <w:rsid w:val="00FA5583"/>
    <w:rsid w:val="00FA56BA"/>
    <w:rsid w:val="00FA58A2"/>
    <w:rsid w:val="00FA5FFC"/>
    <w:rsid w:val="00FA601C"/>
    <w:rsid w:val="00FA6977"/>
    <w:rsid w:val="00FA6A84"/>
    <w:rsid w:val="00FA711E"/>
    <w:rsid w:val="00FA748D"/>
    <w:rsid w:val="00FA78B9"/>
    <w:rsid w:val="00FA7943"/>
    <w:rsid w:val="00FA7AD0"/>
    <w:rsid w:val="00FA7D41"/>
    <w:rsid w:val="00FA7D69"/>
    <w:rsid w:val="00FA7F8D"/>
    <w:rsid w:val="00FB0362"/>
    <w:rsid w:val="00FB038B"/>
    <w:rsid w:val="00FB04F6"/>
    <w:rsid w:val="00FB08DC"/>
    <w:rsid w:val="00FB0BA4"/>
    <w:rsid w:val="00FB0FFB"/>
    <w:rsid w:val="00FB14B5"/>
    <w:rsid w:val="00FB1B7E"/>
    <w:rsid w:val="00FB1DC5"/>
    <w:rsid w:val="00FB1E06"/>
    <w:rsid w:val="00FB20AB"/>
    <w:rsid w:val="00FB20DA"/>
    <w:rsid w:val="00FB2217"/>
    <w:rsid w:val="00FB262F"/>
    <w:rsid w:val="00FB29E7"/>
    <w:rsid w:val="00FB2A68"/>
    <w:rsid w:val="00FB32F9"/>
    <w:rsid w:val="00FB34FE"/>
    <w:rsid w:val="00FB4421"/>
    <w:rsid w:val="00FB47F6"/>
    <w:rsid w:val="00FB47F8"/>
    <w:rsid w:val="00FB52CF"/>
    <w:rsid w:val="00FB5739"/>
    <w:rsid w:val="00FB5812"/>
    <w:rsid w:val="00FB59D0"/>
    <w:rsid w:val="00FB5A16"/>
    <w:rsid w:val="00FB6275"/>
    <w:rsid w:val="00FB62F2"/>
    <w:rsid w:val="00FB645D"/>
    <w:rsid w:val="00FB6E20"/>
    <w:rsid w:val="00FB6FE2"/>
    <w:rsid w:val="00FB71EA"/>
    <w:rsid w:val="00FB73F2"/>
    <w:rsid w:val="00FB745C"/>
    <w:rsid w:val="00FB78DC"/>
    <w:rsid w:val="00FB7B34"/>
    <w:rsid w:val="00FC03A5"/>
    <w:rsid w:val="00FC0990"/>
    <w:rsid w:val="00FC09CF"/>
    <w:rsid w:val="00FC0D03"/>
    <w:rsid w:val="00FC1484"/>
    <w:rsid w:val="00FC1501"/>
    <w:rsid w:val="00FC1820"/>
    <w:rsid w:val="00FC1B50"/>
    <w:rsid w:val="00FC1BBF"/>
    <w:rsid w:val="00FC1BFE"/>
    <w:rsid w:val="00FC1C11"/>
    <w:rsid w:val="00FC2032"/>
    <w:rsid w:val="00FC2099"/>
    <w:rsid w:val="00FC22DF"/>
    <w:rsid w:val="00FC2595"/>
    <w:rsid w:val="00FC3140"/>
    <w:rsid w:val="00FC322C"/>
    <w:rsid w:val="00FC38ED"/>
    <w:rsid w:val="00FC4037"/>
    <w:rsid w:val="00FC426F"/>
    <w:rsid w:val="00FC45A0"/>
    <w:rsid w:val="00FC4777"/>
    <w:rsid w:val="00FC5411"/>
    <w:rsid w:val="00FC5860"/>
    <w:rsid w:val="00FC5C88"/>
    <w:rsid w:val="00FC6377"/>
    <w:rsid w:val="00FC6862"/>
    <w:rsid w:val="00FC6A20"/>
    <w:rsid w:val="00FC6C18"/>
    <w:rsid w:val="00FC7642"/>
    <w:rsid w:val="00FC7786"/>
    <w:rsid w:val="00FC7A79"/>
    <w:rsid w:val="00FC7A9E"/>
    <w:rsid w:val="00FC7E38"/>
    <w:rsid w:val="00FD0B89"/>
    <w:rsid w:val="00FD15E8"/>
    <w:rsid w:val="00FD1676"/>
    <w:rsid w:val="00FD19F3"/>
    <w:rsid w:val="00FD1AC3"/>
    <w:rsid w:val="00FD1C5C"/>
    <w:rsid w:val="00FD1CD5"/>
    <w:rsid w:val="00FD1E29"/>
    <w:rsid w:val="00FD1F61"/>
    <w:rsid w:val="00FD20DA"/>
    <w:rsid w:val="00FD24AC"/>
    <w:rsid w:val="00FD24AF"/>
    <w:rsid w:val="00FD251E"/>
    <w:rsid w:val="00FD3795"/>
    <w:rsid w:val="00FD39B2"/>
    <w:rsid w:val="00FD3F0C"/>
    <w:rsid w:val="00FD48D2"/>
    <w:rsid w:val="00FD4E02"/>
    <w:rsid w:val="00FD543D"/>
    <w:rsid w:val="00FD5B2B"/>
    <w:rsid w:val="00FD6009"/>
    <w:rsid w:val="00FD6085"/>
    <w:rsid w:val="00FD614B"/>
    <w:rsid w:val="00FD627E"/>
    <w:rsid w:val="00FD6556"/>
    <w:rsid w:val="00FD68EF"/>
    <w:rsid w:val="00FD6A66"/>
    <w:rsid w:val="00FD6B80"/>
    <w:rsid w:val="00FD6E10"/>
    <w:rsid w:val="00FD6E87"/>
    <w:rsid w:val="00FD76C5"/>
    <w:rsid w:val="00FD77C9"/>
    <w:rsid w:val="00FD782C"/>
    <w:rsid w:val="00FD790C"/>
    <w:rsid w:val="00FD7944"/>
    <w:rsid w:val="00FD7FE8"/>
    <w:rsid w:val="00FE02F5"/>
    <w:rsid w:val="00FE036E"/>
    <w:rsid w:val="00FE0A0B"/>
    <w:rsid w:val="00FE1301"/>
    <w:rsid w:val="00FE1332"/>
    <w:rsid w:val="00FE1B56"/>
    <w:rsid w:val="00FE1C90"/>
    <w:rsid w:val="00FE1E21"/>
    <w:rsid w:val="00FE1E23"/>
    <w:rsid w:val="00FE2006"/>
    <w:rsid w:val="00FE2358"/>
    <w:rsid w:val="00FE2B85"/>
    <w:rsid w:val="00FE31C3"/>
    <w:rsid w:val="00FE32B9"/>
    <w:rsid w:val="00FE361F"/>
    <w:rsid w:val="00FE3CFA"/>
    <w:rsid w:val="00FE45A0"/>
    <w:rsid w:val="00FE45ED"/>
    <w:rsid w:val="00FE4B82"/>
    <w:rsid w:val="00FE4C30"/>
    <w:rsid w:val="00FE4D85"/>
    <w:rsid w:val="00FE53A4"/>
    <w:rsid w:val="00FE5528"/>
    <w:rsid w:val="00FE5B72"/>
    <w:rsid w:val="00FE5B86"/>
    <w:rsid w:val="00FE5B98"/>
    <w:rsid w:val="00FE5BC4"/>
    <w:rsid w:val="00FE60EC"/>
    <w:rsid w:val="00FE62B2"/>
    <w:rsid w:val="00FE63B5"/>
    <w:rsid w:val="00FE63D1"/>
    <w:rsid w:val="00FE6405"/>
    <w:rsid w:val="00FE6568"/>
    <w:rsid w:val="00FE6673"/>
    <w:rsid w:val="00FE6ADD"/>
    <w:rsid w:val="00FE6B0B"/>
    <w:rsid w:val="00FE6F93"/>
    <w:rsid w:val="00FE737F"/>
    <w:rsid w:val="00FE77F9"/>
    <w:rsid w:val="00FE7CC5"/>
    <w:rsid w:val="00FF00D8"/>
    <w:rsid w:val="00FF0140"/>
    <w:rsid w:val="00FF0B25"/>
    <w:rsid w:val="00FF0F76"/>
    <w:rsid w:val="00FF12E0"/>
    <w:rsid w:val="00FF1577"/>
    <w:rsid w:val="00FF15B3"/>
    <w:rsid w:val="00FF16B1"/>
    <w:rsid w:val="00FF16B3"/>
    <w:rsid w:val="00FF1BDB"/>
    <w:rsid w:val="00FF1C77"/>
    <w:rsid w:val="00FF1D88"/>
    <w:rsid w:val="00FF1E07"/>
    <w:rsid w:val="00FF1E8C"/>
    <w:rsid w:val="00FF1F36"/>
    <w:rsid w:val="00FF2034"/>
    <w:rsid w:val="00FF222B"/>
    <w:rsid w:val="00FF2454"/>
    <w:rsid w:val="00FF261A"/>
    <w:rsid w:val="00FF2AFE"/>
    <w:rsid w:val="00FF2C19"/>
    <w:rsid w:val="00FF2DDE"/>
    <w:rsid w:val="00FF2FFA"/>
    <w:rsid w:val="00FF322C"/>
    <w:rsid w:val="00FF3474"/>
    <w:rsid w:val="00FF3620"/>
    <w:rsid w:val="00FF38D3"/>
    <w:rsid w:val="00FF3F31"/>
    <w:rsid w:val="00FF40CB"/>
    <w:rsid w:val="00FF43AC"/>
    <w:rsid w:val="00FF4C9B"/>
    <w:rsid w:val="00FF52B5"/>
    <w:rsid w:val="00FF54E2"/>
    <w:rsid w:val="00FF551C"/>
    <w:rsid w:val="00FF5756"/>
    <w:rsid w:val="00FF584D"/>
    <w:rsid w:val="00FF5DA6"/>
    <w:rsid w:val="00FF5DEE"/>
    <w:rsid w:val="00FF6A1B"/>
    <w:rsid w:val="00FF6DF3"/>
    <w:rsid w:val="00FF6F89"/>
    <w:rsid w:val="00FF6F93"/>
    <w:rsid w:val="00FF74BE"/>
    <w:rsid w:val="00FF778F"/>
    <w:rsid w:val="00FF78F1"/>
    <w:rsid w:val="04EE2C88"/>
    <w:rsid w:val="05B71634"/>
    <w:rsid w:val="07DD3293"/>
    <w:rsid w:val="07F254D8"/>
    <w:rsid w:val="09C90470"/>
    <w:rsid w:val="0A741947"/>
    <w:rsid w:val="0B093D05"/>
    <w:rsid w:val="0B2E7603"/>
    <w:rsid w:val="0D122722"/>
    <w:rsid w:val="0D543EB6"/>
    <w:rsid w:val="0DAF0032"/>
    <w:rsid w:val="0F3F6C8F"/>
    <w:rsid w:val="0F436D3C"/>
    <w:rsid w:val="0F5B18AA"/>
    <w:rsid w:val="0F78344D"/>
    <w:rsid w:val="117C6AD9"/>
    <w:rsid w:val="118429B7"/>
    <w:rsid w:val="12707647"/>
    <w:rsid w:val="12B27CC2"/>
    <w:rsid w:val="13A51608"/>
    <w:rsid w:val="140E09E8"/>
    <w:rsid w:val="15994AD8"/>
    <w:rsid w:val="163A0B53"/>
    <w:rsid w:val="17501B12"/>
    <w:rsid w:val="17992167"/>
    <w:rsid w:val="180C17E0"/>
    <w:rsid w:val="18134329"/>
    <w:rsid w:val="18497F5E"/>
    <w:rsid w:val="18F50B41"/>
    <w:rsid w:val="19192F92"/>
    <w:rsid w:val="19C60A13"/>
    <w:rsid w:val="19DC2F95"/>
    <w:rsid w:val="1B6497AD"/>
    <w:rsid w:val="1C7E6385"/>
    <w:rsid w:val="1D3861E9"/>
    <w:rsid w:val="1DE46BC0"/>
    <w:rsid w:val="1E000684"/>
    <w:rsid w:val="1E166AC2"/>
    <w:rsid w:val="1E75211C"/>
    <w:rsid w:val="1EBB7515"/>
    <w:rsid w:val="1EEB4DDC"/>
    <w:rsid w:val="1F0567C8"/>
    <w:rsid w:val="20DB7CA6"/>
    <w:rsid w:val="23706C01"/>
    <w:rsid w:val="2447224F"/>
    <w:rsid w:val="24D02367"/>
    <w:rsid w:val="24DD5D3C"/>
    <w:rsid w:val="257B3C1A"/>
    <w:rsid w:val="25FC4D66"/>
    <w:rsid w:val="26A604FE"/>
    <w:rsid w:val="272D0D4F"/>
    <w:rsid w:val="27A803A6"/>
    <w:rsid w:val="2858089C"/>
    <w:rsid w:val="28584AFA"/>
    <w:rsid w:val="28C10434"/>
    <w:rsid w:val="2A3B2B5D"/>
    <w:rsid w:val="2ABD40A2"/>
    <w:rsid w:val="2B457FE9"/>
    <w:rsid w:val="2B504450"/>
    <w:rsid w:val="2BBAA7F9"/>
    <w:rsid w:val="2C317A0C"/>
    <w:rsid w:val="2DBF47C2"/>
    <w:rsid w:val="2DECCC15"/>
    <w:rsid w:val="2E0C49D1"/>
    <w:rsid w:val="2F29314D"/>
    <w:rsid w:val="2F7EE651"/>
    <w:rsid w:val="2F9B5B14"/>
    <w:rsid w:val="2FA364C5"/>
    <w:rsid w:val="2FCDDE06"/>
    <w:rsid w:val="2FF6C418"/>
    <w:rsid w:val="30151F74"/>
    <w:rsid w:val="30E60889"/>
    <w:rsid w:val="31C501E3"/>
    <w:rsid w:val="328E23E3"/>
    <w:rsid w:val="32A14B7E"/>
    <w:rsid w:val="335209F8"/>
    <w:rsid w:val="33EE176C"/>
    <w:rsid w:val="35594FA0"/>
    <w:rsid w:val="36637A7D"/>
    <w:rsid w:val="368D529F"/>
    <w:rsid w:val="36DA2798"/>
    <w:rsid w:val="370F5136"/>
    <w:rsid w:val="37B37270"/>
    <w:rsid w:val="37EFA1A0"/>
    <w:rsid w:val="37F82A6B"/>
    <w:rsid w:val="3880760B"/>
    <w:rsid w:val="38D21E05"/>
    <w:rsid w:val="397F5891"/>
    <w:rsid w:val="39EF087E"/>
    <w:rsid w:val="3A0C7D80"/>
    <w:rsid w:val="3A283199"/>
    <w:rsid w:val="3A7550DE"/>
    <w:rsid w:val="3AB78F3B"/>
    <w:rsid w:val="3AB833D2"/>
    <w:rsid w:val="3CC96082"/>
    <w:rsid w:val="3D4646BB"/>
    <w:rsid w:val="3DDFF39D"/>
    <w:rsid w:val="3E8B7AD6"/>
    <w:rsid w:val="3EDB2F63"/>
    <w:rsid w:val="3F5179CB"/>
    <w:rsid w:val="3FDE87C1"/>
    <w:rsid w:val="40F66358"/>
    <w:rsid w:val="41432C30"/>
    <w:rsid w:val="4247226D"/>
    <w:rsid w:val="43347CBA"/>
    <w:rsid w:val="43B44571"/>
    <w:rsid w:val="443823F8"/>
    <w:rsid w:val="443A0B06"/>
    <w:rsid w:val="466A3A78"/>
    <w:rsid w:val="47BD33B2"/>
    <w:rsid w:val="47FA36EF"/>
    <w:rsid w:val="48707B57"/>
    <w:rsid w:val="49DD007C"/>
    <w:rsid w:val="4A615C77"/>
    <w:rsid w:val="4B1E1810"/>
    <w:rsid w:val="4B285895"/>
    <w:rsid w:val="4B5853E6"/>
    <w:rsid w:val="4B6C054A"/>
    <w:rsid w:val="4B742105"/>
    <w:rsid w:val="4BC12CDA"/>
    <w:rsid w:val="4C006CB8"/>
    <w:rsid w:val="4CE67CBF"/>
    <w:rsid w:val="4D6B5FEC"/>
    <w:rsid w:val="4DB35572"/>
    <w:rsid w:val="4DE9609E"/>
    <w:rsid w:val="4FA5726D"/>
    <w:rsid w:val="4FB66BCD"/>
    <w:rsid w:val="4FC65009"/>
    <w:rsid w:val="500A5DBA"/>
    <w:rsid w:val="508D775D"/>
    <w:rsid w:val="50A82874"/>
    <w:rsid w:val="511839CC"/>
    <w:rsid w:val="519C2046"/>
    <w:rsid w:val="522B7E0D"/>
    <w:rsid w:val="524D247E"/>
    <w:rsid w:val="526253D4"/>
    <w:rsid w:val="531A3B1E"/>
    <w:rsid w:val="5396631F"/>
    <w:rsid w:val="53E879B7"/>
    <w:rsid w:val="53FB545F"/>
    <w:rsid w:val="54396E10"/>
    <w:rsid w:val="56666EFB"/>
    <w:rsid w:val="57985290"/>
    <w:rsid w:val="587A22EA"/>
    <w:rsid w:val="5889512A"/>
    <w:rsid w:val="58E76B2C"/>
    <w:rsid w:val="59941B92"/>
    <w:rsid w:val="5AE83661"/>
    <w:rsid w:val="5B08324B"/>
    <w:rsid w:val="5BEFBA13"/>
    <w:rsid w:val="5C006A2E"/>
    <w:rsid w:val="5C1A03EC"/>
    <w:rsid w:val="5C7D1F2A"/>
    <w:rsid w:val="5E5741AE"/>
    <w:rsid w:val="5EFFE6E2"/>
    <w:rsid w:val="5F3E3F09"/>
    <w:rsid w:val="5F6787DB"/>
    <w:rsid w:val="5FE5154C"/>
    <w:rsid w:val="5FF7BB65"/>
    <w:rsid w:val="5FFA58E3"/>
    <w:rsid w:val="5FFB4525"/>
    <w:rsid w:val="60ED018F"/>
    <w:rsid w:val="60F43992"/>
    <w:rsid w:val="6174261D"/>
    <w:rsid w:val="61C52FD8"/>
    <w:rsid w:val="62405643"/>
    <w:rsid w:val="6258518C"/>
    <w:rsid w:val="62BA274D"/>
    <w:rsid w:val="63673152"/>
    <w:rsid w:val="644F1579"/>
    <w:rsid w:val="64BB3E6B"/>
    <w:rsid w:val="653450A1"/>
    <w:rsid w:val="656D5057"/>
    <w:rsid w:val="659B53C6"/>
    <w:rsid w:val="6651414C"/>
    <w:rsid w:val="66B3264C"/>
    <w:rsid w:val="66C05BD8"/>
    <w:rsid w:val="66F3456C"/>
    <w:rsid w:val="679F6868"/>
    <w:rsid w:val="67E7338E"/>
    <w:rsid w:val="67F747FC"/>
    <w:rsid w:val="686C326B"/>
    <w:rsid w:val="6881243B"/>
    <w:rsid w:val="68CB71BD"/>
    <w:rsid w:val="6A200EB2"/>
    <w:rsid w:val="6A514ECC"/>
    <w:rsid w:val="6A9FBFF9"/>
    <w:rsid w:val="6B8661DC"/>
    <w:rsid w:val="6BA76515"/>
    <w:rsid w:val="6BED6600"/>
    <w:rsid w:val="6BF10FCD"/>
    <w:rsid w:val="6C195DFA"/>
    <w:rsid w:val="6CC35ADB"/>
    <w:rsid w:val="6CFD6662"/>
    <w:rsid w:val="6D017EE8"/>
    <w:rsid w:val="6D945519"/>
    <w:rsid w:val="6DBDEEC2"/>
    <w:rsid w:val="6E323443"/>
    <w:rsid w:val="6E3441A5"/>
    <w:rsid w:val="6EC36125"/>
    <w:rsid w:val="6EE031F9"/>
    <w:rsid w:val="6EEF768D"/>
    <w:rsid w:val="6F6F092C"/>
    <w:rsid w:val="6F783A79"/>
    <w:rsid w:val="6FB09AE2"/>
    <w:rsid w:val="6FD71BE8"/>
    <w:rsid w:val="6FF07D06"/>
    <w:rsid w:val="70726B9A"/>
    <w:rsid w:val="70AF5B11"/>
    <w:rsid w:val="70FB1C13"/>
    <w:rsid w:val="71542EC6"/>
    <w:rsid w:val="71E1193D"/>
    <w:rsid w:val="72B30432"/>
    <w:rsid w:val="73073F6A"/>
    <w:rsid w:val="73197790"/>
    <w:rsid w:val="737F32B2"/>
    <w:rsid w:val="737FBD53"/>
    <w:rsid w:val="739225E8"/>
    <w:rsid w:val="739F60C1"/>
    <w:rsid w:val="73FC1833"/>
    <w:rsid w:val="74A3063E"/>
    <w:rsid w:val="74D76D16"/>
    <w:rsid w:val="75913D8E"/>
    <w:rsid w:val="75D26AD5"/>
    <w:rsid w:val="75D93263"/>
    <w:rsid w:val="75DF65F5"/>
    <w:rsid w:val="76B06CA4"/>
    <w:rsid w:val="777D68F4"/>
    <w:rsid w:val="77EE1D82"/>
    <w:rsid w:val="796E18FE"/>
    <w:rsid w:val="79DD85BF"/>
    <w:rsid w:val="79DFEC2B"/>
    <w:rsid w:val="7A056889"/>
    <w:rsid w:val="7A2A05C1"/>
    <w:rsid w:val="7ADFC20E"/>
    <w:rsid w:val="7AFBF01E"/>
    <w:rsid w:val="7B685DA5"/>
    <w:rsid w:val="7BFC19DF"/>
    <w:rsid w:val="7BFE7974"/>
    <w:rsid w:val="7BFFE0A9"/>
    <w:rsid w:val="7C0469A6"/>
    <w:rsid w:val="7CF4C396"/>
    <w:rsid w:val="7D562E6D"/>
    <w:rsid w:val="7DAB1215"/>
    <w:rsid w:val="7DBC22E6"/>
    <w:rsid w:val="7DE3070E"/>
    <w:rsid w:val="7E236063"/>
    <w:rsid w:val="7E9E368F"/>
    <w:rsid w:val="7EC9505F"/>
    <w:rsid w:val="7EF7B7E0"/>
    <w:rsid w:val="7F6F9AA6"/>
    <w:rsid w:val="7FA7CE45"/>
    <w:rsid w:val="7FABC065"/>
    <w:rsid w:val="7FD80E60"/>
    <w:rsid w:val="7FF3E090"/>
    <w:rsid w:val="7FFB38A7"/>
    <w:rsid w:val="8F7FAC6B"/>
    <w:rsid w:val="93DFFB6D"/>
    <w:rsid w:val="9C72E44A"/>
    <w:rsid w:val="9FD7F27B"/>
    <w:rsid w:val="9FE3B2F2"/>
    <w:rsid w:val="B3FE6D5A"/>
    <w:rsid w:val="B826D013"/>
    <w:rsid w:val="B9FF661A"/>
    <w:rsid w:val="BAAECB4B"/>
    <w:rsid w:val="BB6F38EB"/>
    <w:rsid w:val="BDFF6516"/>
    <w:rsid w:val="BF4F78CE"/>
    <w:rsid w:val="BF6FD595"/>
    <w:rsid w:val="BFF1872F"/>
    <w:rsid w:val="C6BF0EB8"/>
    <w:rsid w:val="CFBEC5DE"/>
    <w:rsid w:val="D3FF44CA"/>
    <w:rsid w:val="DEF369F7"/>
    <w:rsid w:val="DF7DB48B"/>
    <w:rsid w:val="DFBFF607"/>
    <w:rsid w:val="E19BDC03"/>
    <w:rsid w:val="E77FCAAB"/>
    <w:rsid w:val="E7F50804"/>
    <w:rsid w:val="ECFDD17F"/>
    <w:rsid w:val="ED3E0DE1"/>
    <w:rsid w:val="EDEE54CA"/>
    <w:rsid w:val="EF3ED5C5"/>
    <w:rsid w:val="EF8FDAD4"/>
    <w:rsid w:val="EFAFDFAF"/>
    <w:rsid w:val="EFBA3C18"/>
    <w:rsid w:val="EFBD6CD6"/>
    <w:rsid w:val="EFEF6B25"/>
    <w:rsid w:val="EFFD93AC"/>
    <w:rsid w:val="F0F9AF92"/>
    <w:rsid w:val="F1BC6A7C"/>
    <w:rsid w:val="F3BEA0D1"/>
    <w:rsid w:val="F5B5595B"/>
    <w:rsid w:val="F79E717A"/>
    <w:rsid w:val="F8B72959"/>
    <w:rsid w:val="FBFE7F91"/>
    <w:rsid w:val="FD7C6965"/>
    <w:rsid w:val="FDF823DC"/>
    <w:rsid w:val="FDFA2E5D"/>
    <w:rsid w:val="FDFC2815"/>
    <w:rsid w:val="FDFF6E18"/>
    <w:rsid w:val="FDFFA1C4"/>
    <w:rsid w:val="FDFFFB2A"/>
    <w:rsid w:val="FE3BBAE5"/>
    <w:rsid w:val="FE7B6E57"/>
    <w:rsid w:val="FEDF3BA7"/>
    <w:rsid w:val="FF4F9BA5"/>
    <w:rsid w:val="FF534F94"/>
    <w:rsid w:val="FF6D6D1D"/>
    <w:rsid w:val="FFBF6FBE"/>
    <w:rsid w:val="FFEB65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36"/>
    <w:qFormat/>
    <w:uiPriority w:val="0"/>
    <w:pPr>
      <w:keepNext/>
      <w:keepLines/>
      <w:widowControl w:val="0"/>
      <w:spacing w:before="340" w:after="330" w:line="578" w:lineRule="auto"/>
      <w:jc w:val="both"/>
      <w:outlineLvl w:val="0"/>
    </w:pPr>
    <w:rPr>
      <w:rFonts w:ascii="Calibri" w:hAnsi="Calibri" w:cs="Times New Roman"/>
      <w:b/>
      <w:bCs/>
      <w:kern w:val="44"/>
      <w:sz w:val="44"/>
      <w:szCs w:val="44"/>
    </w:rPr>
  </w:style>
  <w:style w:type="paragraph" w:styleId="3">
    <w:name w:val="heading 2"/>
    <w:basedOn w:val="1"/>
    <w:next w:val="1"/>
    <w:link w:val="50"/>
    <w:unhideWhenUsed/>
    <w:qFormat/>
    <w:uiPriority w:val="0"/>
    <w:pPr>
      <w:keepNext/>
      <w:keepLines/>
      <w:widowControl w:val="0"/>
      <w:spacing w:before="260" w:after="260" w:line="416" w:lineRule="auto"/>
      <w:jc w:val="both"/>
      <w:outlineLvl w:val="1"/>
    </w:pPr>
    <w:rPr>
      <w:rFonts w:asciiTheme="majorHAnsi" w:hAnsiTheme="majorHAnsi" w:eastAsiaTheme="majorEastAsia" w:cstheme="majorBidi"/>
      <w:b/>
      <w:bCs/>
      <w:kern w:val="2"/>
      <w:sz w:val="32"/>
      <w:szCs w:val="32"/>
    </w:rPr>
  </w:style>
  <w:style w:type="paragraph" w:styleId="4">
    <w:name w:val="heading 3"/>
    <w:basedOn w:val="1"/>
    <w:next w:val="1"/>
    <w:link w:val="43"/>
    <w:unhideWhenUsed/>
    <w:qFormat/>
    <w:uiPriority w:val="0"/>
    <w:pPr>
      <w:keepNext/>
      <w:keepLines/>
      <w:widowControl w:val="0"/>
      <w:spacing w:before="260" w:after="260" w:line="416" w:lineRule="auto"/>
      <w:jc w:val="both"/>
      <w:outlineLvl w:val="2"/>
    </w:pPr>
    <w:rPr>
      <w:rFonts w:ascii="Calibri" w:hAnsi="Calibri" w:cs="Times New Roman"/>
      <w:b/>
      <w:bCs/>
      <w:kern w:val="2"/>
      <w:sz w:val="32"/>
      <w:szCs w:val="32"/>
    </w:rPr>
  </w:style>
  <w:style w:type="paragraph" w:styleId="5">
    <w:name w:val="heading 4"/>
    <w:basedOn w:val="1"/>
    <w:next w:val="1"/>
    <w:link w:val="51"/>
    <w:unhideWhenUsed/>
    <w:qFormat/>
    <w:uiPriority w:val="9"/>
    <w:pPr>
      <w:keepNext/>
      <w:keepLines/>
      <w:widowControl w:val="0"/>
      <w:spacing w:before="280" w:after="290" w:line="376" w:lineRule="auto"/>
      <w:jc w:val="both"/>
      <w:outlineLvl w:val="3"/>
    </w:pPr>
    <w:rPr>
      <w:rFonts w:asciiTheme="majorHAnsi" w:hAnsiTheme="majorHAnsi" w:eastAsiaTheme="majorEastAsia" w:cstheme="majorBidi"/>
      <w:b/>
      <w:bCs/>
      <w:kern w:val="2"/>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widowControl w:val="0"/>
      <w:ind w:left="2520" w:leftChars="1200"/>
      <w:jc w:val="both"/>
    </w:pPr>
    <w:rPr>
      <w:rFonts w:asciiTheme="minorHAnsi" w:hAnsiTheme="minorHAnsi" w:eastAsiaTheme="minorEastAsia" w:cstheme="minorBidi"/>
      <w:kern w:val="2"/>
      <w:sz w:val="21"/>
      <w:szCs w:val="22"/>
    </w:rPr>
  </w:style>
  <w:style w:type="paragraph" w:styleId="7">
    <w:name w:val="annotation text"/>
    <w:basedOn w:val="1"/>
    <w:link w:val="31"/>
    <w:unhideWhenUsed/>
    <w:qFormat/>
    <w:uiPriority w:val="0"/>
    <w:pPr>
      <w:widowControl w:val="0"/>
    </w:pPr>
    <w:rPr>
      <w:rFonts w:ascii="Calibri" w:hAnsi="Calibri" w:cs="Times New Roman"/>
      <w:kern w:val="2"/>
      <w:sz w:val="21"/>
    </w:rPr>
  </w:style>
  <w:style w:type="paragraph" w:styleId="8">
    <w:name w:val="Body Text"/>
    <w:basedOn w:val="1"/>
    <w:link w:val="39"/>
    <w:qFormat/>
    <w:uiPriority w:val="0"/>
    <w:pPr>
      <w:widowControl w:val="0"/>
      <w:spacing w:line="480" w:lineRule="exact"/>
      <w:jc w:val="both"/>
    </w:pPr>
    <w:rPr>
      <w:rFonts w:eastAsia="仿宋_GB2312" w:cs="Times New Roman" w:asciiTheme="minorHAnsi" w:hAnsiTheme="minorHAnsi"/>
      <w:kern w:val="2"/>
    </w:rPr>
  </w:style>
  <w:style w:type="paragraph" w:styleId="9">
    <w:name w:val="toc 5"/>
    <w:basedOn w:val="1"/>
    <w:next w:val="1"/>
    <w:unhideWhenUsed/>
    <w:qFormat/>
    <w:uiPriority w:val="39"/>
    <w:pPr>
      <w:widowControl w:val="0"/>
      <w:ind w:left="1680" w:leftChars="800"/>
      <w:jc w:val="both"/>
    </w:pPr>
    <w:rPr>
      <w:rFonts w:asciiTheme="minorHAnsi" w:hAnsiTheme="minorHAnsi" w:eastAsiaTheme="minorEastAsia" w:cstheme="minorBidi"/>
      <w:kern w:val="2"/>
      <w:sz w:val="21"/>
      <w:szCs w:val="22"/>
    </w:rPr>
  </w:style>
  <w:style w:type="paragraph" w:styleId="10">
    <w:name w:val="toc 3"/>
    <w:basedOn w:val="1"/>
    <w:next w:val="1"/>
    <w:unhideWhenUsed/>
    <w:qFormat/>
    <w:uiPriority w:val="39"/>
    <w:pPr>
      <w:spacing w:after="100" w:line="276" w:lineRule="auto"/>
      <w:ind w:left="440"/>
    </w:pPr>
    <w:rPr>
      <w:rFonts w:asciiTheme="minorHAnsi" w:hAnsiTheme="minorHAnsi" w:eastAsiaTheme="minorEastAsia" w:cstheme="minorBidi"/>
      <w:sz w:val="22"/>
      <w:szCs w:val="22"/>
    </w:rPr>
  </w:style>
  <w:style w:type="paragraph" w:styleId="11">
    <w:name w:val="toc 8"/>
    <w:basedOn w:val="1"/>
    <w:next w:val="1"/>
    <w:unhideWhenUsed/>
    <w:qFormat/>
    <w:uiPriority w:val="39"/>
    <w:pPr>
      <w:widowControl w:val="0"/>
      <w:ind w:left="2940" w:leftChars="1400"/>
      <w:jc w:val="both"/>
    </w:pPr>
    <w:rPr>
      <w:rFonts w:asciiTheme="minorHAnsi" w:hAnsiTheme="minorHAnsi" w:eastAsiaTheme="minorEastAsia" w:cstheme="minorBidi"/>
      <w:kern w:val="2"/>
      <w:sz w:val="21"/>
      <w:szCs w:val="22"/>
    </w:rPr>
  </w:style>
  <w:style w:type="paragraph" w:styleId="12">
    <w:name w:val="Date"/>
    <w:basedOn w:val="1"/>
    <w:next w:val="1"/>
    <w:link w:val="93"/>
    <w:qFormat/>
    <w:uiPriority w:val="0"/>
    <w:pPr>
      <w:widowControl w:val="0"/>
      <w:ind w:left="100" w:leftChars="2500"/>
      <w:jc w:val="both"/>
    </w:pPr>
    <w:rPr>
      <w:rFonts w:ascii="Calibri" w:hAnsi="Calibri" w:cs="Times New Roman"/>
      <w:kern w:val="2"/>
      <w:sz w:val="21"/>
    </w:rPr>
  </w:style>
  <w:style w:type="paragraph" w:styleId="13">
    <w:name w:val="Balloon Text"/>
    <w:basedOn w:val="1"/>
    <w:link w:val="40"/>
    <w:unhideWhenUsed/>
    <w:qFormat/>
    <w:uiPriority w:val="0"/>
    <w:pPr>
      <w:widowControl w:val="0"/>
      <w:jc w:val="both"/>
    </w:pPr>
    <w:rPr>
      <w:rFonts w:ascii="Calibri" w:hAnsi="Calibri" w:cs="Times New Roman"/>
      <w:kern w:val="2"/>
      <w:sz w:val="18"/>
      <w:szCs w:val="18"/>
    </w:rPr>
  </w:style>
  <w:style w:type="paragraph" w:styleId="14">
    <w:name w:val="footer"/>
    <w:basedOn w:val="1"/>
    <w:link w:val="38"/>
    <w:unhideWhenUsed/>
    <w:qFormat/>
    <w:uiPriority w:val="0"/>
    <w:pPr>
      <w:widowControl w:val="0"/>
      <w:tabs>
        <w:tab w:val="center" w:pos="4153"/>
        <w:tab w:val="right" w:pos="8306"/>
      </w:tabs>
      <w:snapToGrid w:val="0"/>
    </w:pPr>
    <w:rPr>
      <w:rFonts w:ascii="Calibri" w:hAnsi="Calibri" w:cs="Times New Roman"/>
      <w:kern w:val="2"/>
      <w:sz w:val="18"/>
      <w:szCs w:val="18"/>
    </w:rPr>
  </w:style>
  <w:style w:type="paragraph" w:styleId="15">
    <w:name w:val="header"/>
    <w:basedOn w:val="1"/>
    <w:link w:val="37"/>
    <w:unhideWhenUsed/>
    <w:qFormat/>
    <w:uiPriority w:val="0"/>
    <w:pPr>
      <w:widowControl w:val="0"/>
      <w:pBdr>
        <w:bottom w:val="single" w:color="auto" w:sz="6" w:space="1"/>
      </w:pBdr>
      <w:tabs>
        <w:tab w:val="center" w:pos="4153"/>
        <w:tab w:val="right" w:pos="8306"/>
      </w:tabs>
      <w:snapToGrid w:val="0"/>
      <w:jc w:val="center"/>
    </w:pPr>
    <w:rPr>
      <w:rFonts w:ascii="Calibri" w:hAnsi="Calibri" w:cs="Times New Roman"/>
      <w:kern w:val="2"/>
      <w:sz w:val="18"/>
      <w:szCs w:val="18"/>
    </w:rPr>
  </w:style>
  <w:style w:type="paragraph" w:styleId="16">
    <w:name w:val="toc 1"/>
    <w:basedOn w:val="1"/>
    <w:next w:val="1"/>
    <w:unhideWhenUsed/>
    <w:qFormat/>
    <w:uiPriority w:val="39"/>
    <w:pPr>
      <w:spacing w:after="100" w:line="276" w:lineRule="auto"/>
    </w:pPr>
    <w:rPr>
      <w:rFonts w:asciiTheme="minorHAnsi" w:hAnsiTheme="minorHAnsi" w:eastAsiaTheme="minorEastAsia" w:cstheme="minorBidi"/>
      <w:sz w:val="22"/>
      <w:szCs w:val="22"/>
    </w:rPr>
  </w:style>
  <w:style w:type="paragraph" w:styleId="17">
    <w:name w:val="toc 4"/>
    <w:basedOn w:val="1"/>
    <w:next w:val="1"/>
    <w:unhideWhenUsed/>
    <w:qFormat/>
    <w:uiPriority w:val="39"/>
    <w:pPr>
      <w:widowControl w:val="0"/>
      <w:ind w:left="1260" w:leftChars="600"/>
      <w:jc w:val="both"/>
    </w:pPr>
    <w:rPr>
      <w:rFonts w:ascii="Calibri" w:hAnsi="Calibri" w:cs="Times New Roman"/>
      <w:kern w:val="2"/>
      <w:sz w:val="21"/>
    </w:rPr>
  </w:style>
  <w:style w:type="paragraph" w:styleId="18">
    <w:name w:val="toc 6"/>
    <w:basedOn w:val="1"/>
    <w:next w:val="1"/>
    <w:unhideWhenUsed/>
    <w:qFormat/>
    <w:uiPriority w:val="39"/>
    <w:pPr>
      <w:widowControl w:val="0"/>
      <w:ind w:left="2100" w:leftChars="1000"/>
      <w:jc w:val="both"/>
    </w:pPr>
    <w:rPr>
      <w:rFonts w:asciiTheme="minorHAnsi" w:hAnsiTheme="minorHAnsi" w:eastAsiaTheme="minorEastAsia" w:cstheme="minorBidi"/>
      <w:kern w:val="2"/>
      <w:sz w:val="21"/>
      <w:szCs w:val="22"/>
    </w:rPr>
  </w:style>
  <w:style w:type="paragraph" w:styleId="19">
    <w:name w:val="toc 2"/>
    <w:basedOn w:val="1"/>
    <w:next w:val="1"/>
    <w:unhideWhenUsed/>
    <w:qFormat/>
    <w:uiPriority w:val="39"/>
    <w:pPr>
      <w:spacing w:after="100" w:line="276" w:lineRule="auto"/>
      <w:ind w:left="220"/>
    </w:pPr>
    <w:rPr>
      <w:rFonts w:asciiTheme="minorHAnsi" w:hAnsiTheme="minorHAnsi" w:eastAsiaTheme="minorEastAsia" w:cstheme="minorBidi"/>
      <w:sz w:val="22"/>
      <w:szCs w:val="22"/>
    </w:rPr>
  </w:style>
  <w:style w:type="paragraph" w:styleId="20">
    <w:name w:val="toc 9"/>
    <w:basedOn w:val="1"/>
    <w:next w:val="1"/>
    <w:unhideWhenUsed/>
    <w:qFormat/>
    <w:uiPriority w:val="39"/>
    <w:pPr>
      <w:widowControl w:val="0"/>
      <w:ind w:left="3360" w:leftChars="1600"/>
      <w:jc w:val="both"/>
    </w:pPr>
    <w:rPr>
      <w:rFonts w:asciiTheme="minorHAnsi" w:hAnsiTheme="minorHAnsi" w:eastAsiaTheme="minorEastAsia" w:cstheme="minorBidi"/>
      <w:kern w:val="2"/>
      <w:sz w:val="21"/>
      <w:szCs w:val="22"/>
    </w:rPr>
  </w:style>
  <w:style w:type="paragraph" w:styleId="21">
    <w:name w:val="Normal (Web)"/>
    <w:basedOn w:val="1"/>
    <w:qFormat/>
    <w:uiPriority w:val="99"/>
    <w:pPr>
      <w:widowControl w:val="0"/>
      <w:jc w:val="both"/>
    </w:pPr>
    <w:rPr>
      <w:rFonts w:ascii="Calibri" w:hAnsi="Calibri" w:cs="Times New Roman"/>
      <w:kern w:val="2"/>
    </w:rPr>
  </w:style>
  <w:style w:type="paragraph" w:styleId="22">
    <w:name w:val="annotation subject"/>
    <w:basedOn w:val="7"/>
    <w:next w:val="7"/>
    <w:link w:val="41"/>
    <w:semiHidden/>
    <w:unhideWhenUsed/>
    <w:qFormat/>
    <w:uiPriority w:val="99"/>
    <w:rPr>
      <w:b/>
      <w:bCs/>
    </w:rPr>
  </w:style>
  <w:style w:type="table" w:styleId="24">
    <w:name w:val="Table Grid"/>
    <w:basedOn w:val="23"/>
    <w:qFormat/>
    <w:uiPriority w:val="59"/>
    <w:pPr>
      <w:widowControl w:val="0"/>
      <w:jc w:val="both"/>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semiHidden/>
    <w:unhideWhenUsed/>
    <w:qFormat/>
    <w:uiPriority w:val="99"/>
  </w:style>
  <w:style w:type="character" w:styleId="27">
    <w:name w:val="FollowedHyperlink"/>
    <w:basedOn w:val="25"/>
    <w:semiHidden/>
    <w:unhideWhenUsed/>
    <w:qFormat/>
    <w:uiPriority w:val="99"/>
    <w:rPr>
      <w:color w:val="800080"/>
      <w:u w:val="single"/>
    </w:rPr>
  </w:style>
  <w:style w:type="character" w:styleId="28">
    <w:name w:val="Emphasis"/>
    <w:basedOn w:val="25"/>
    <w:qFormat/>
    <w:uiPriority w:val="20"/>
    <w:rPr>
      <w:i/>
      <w:iCs/>
    </w:rPr>
  </w:style>
  <w:style w:type="character" w:styleId="29">
    <w:name w:val="Hyperlink"/>
    <w:basedOn w:val="25"/>
    <w:unhideWhenUsed/>
    <w:qFormat/>
    <w:uiPriority w:val="99"/>
    <w:rPr>
      <w:color w:val="0563C1" w:themeColor="hyperlink"/>
      <w:u w:val="single"/>
      <w14:textFill>
        <w14:solidFill>
          <w14:schemeClr w14:val="hlink"/>
        </w14:solidFill>
      </w14:textFill>
    </w:rPr>
  </w:style>
  <w:style w:type="character" w:styleId="30">
    <w:name w:val="annotation reference"/>
    <w:basedOn w:val="25"/>
    <w:semiHidden/>
    <w:unhideWhenUsed/>
    <w:qFormat/>
    <w:uiPriority w:val="99"/>
    <w:rPr>
      <w:sz w:val="21"/>
      <w:szCs w:val="21"/>
    </w:rPr>
  </w:style>
  <w:style w:type="character" w:customStyle="1" w:styleId="31">
    <w:name w:val="批注文字 字符"/>
    <w:basedOn w:val="25"/>
    <w:link w:val="7"/>
    <w:qFormat/>
    <w:uiPriority w:val="99"/>
    <w:rPr>
      <w:rFonts w:ascii="Calibri" w:hAnsi="Calibri" w:eastAsia="宋体" w:cs="Times New Roman"/>
      <w:szCs w:val="24"/>
    </w:rPr>
  </w:style>
  <w:style w:type="paragraph" w:styleId="32">
    <w:name w:val="List Paragraph"/>
    <w:basedOn w:val="1"/>
    <w:qFormat/>
    <w:uiPriority w:val="34"/>
    <w:pPr>
      <w:widowControl w:val="0"/>
      <w:ind w:firstLine="420" w:firstLineChars="200"/>
      <w:jc w:val="both"/>
    </w:pPr>
    <w:rPr>
      <w:rFonts w:ascii="Calibri" w:hAnsi="Calibri" w:cs="Times New Roman"/>
      <w:kern w:val="2"/>
      <w:sz w:val="21"/>
    </w:rPr>
  </w:style>
  <w:style w:type="paragraph" w:customStyle="1" w:styleId="3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paragraph" w:styleId="34">
    <w:name w:val="No Spacing"/>
    <w:link w:val="35"/>
    <w:qFormat/>
    <w:uiPriority w:val="1"/>
    <w:rPr>
      <w:rFonts w:asciiTheme="minorHAnsi" w:hAnsiTheme="minorHAnsi" w:eastAsiaTheme="minorEastAsia" w:cstheme="minorBidi"/>
      <w:sz w:val="22"/>
      <w:szCs w:val="22"/>
      <w:lang w:val="en-US" w:eastAsia="zh-CN" w:bidi="ar-SA"/>
    </w:rPr>
  </w:style>
  <w:style w:type="character" w:customStyle="1" w:styleId="35">
    <w:name w:val="无间隔 字符"/>
    <w:basedOn w:val="25"/>
    <w:link w:val="34"/>
    <w:qFormat/>
    <w:uiPriority w:val="1"/>
    <w:rPr>
      <w:kern w:val="0"/>
      <w:sz w:val="22"/>
    </w:rPr>
  </w:style>
  <w:style w:type="character" w:customStyle="1" w:styleId="36">
    <w:name w:val="标题 1 字符"/>
    <w:basedOn w:val="25"/>
    <w:link w:val="2"/>
    <w:qFormat/>
    <w:uiPriority w:val="9"/>
    <w:rPr>
      <w:rFonts w:ascii="Calibri" w:hAnsi="Calibri" w:eastAsia="宋体" w:cs="Times New Roman"/>
      <w:b/>
      <w:bCs/>
      <w:kern w:val="44"/>
      <w:sz w:val="44"/>
      <w:szCs w:val="44"/>
    </w:rPr>
  </w:style>
  <w:style w:type="character" w:customStyle="1" w:styleId="37">
    <w:name w:val="页眉 字符"/>
    <w:basedOn w:val="25"/>
    <w:link w:val="15"/>
    <w:qFormat/>
    <w:uiPriority w:val="99"/>
    <w:rPr>
      <w:rFonts w:ascii="Calibri" w:hAnsi="Calibri" w:eastAsia="宋体" w:cs="Times New Roman"/>
      <w:sz w:val="18"/>
      <w:szCs w:val="18"/>
    </w:rPr>
  </w:style>
  <w:style w:type="character" w:customStyle="1" w:styleId="38">
    <w:name w:val="页脚 字符"/>
    <w:basedOn w:val="25"/>
    <w:link w:val="14"/>
    <w:qFormat/>
    <w:uiPriority w:val="99"/>
    <w:rPr>
      <w:rFonts w:ascii="Calibri" w:hAnsi="Calibri" w:eastAsia="宋体" w:cs="Times New Roman"/>
      <w:sz w:val="18"/>
      <w:szCs w:val="18"/>
    </w:rPr>
  </w:style>
  <w:style w:type="character" w:customStyle="1" w:styleId="39">
    <w:name w:val="正文文本 字符"/>
    <w:basedOn w:val="25"/>
    <w:link w:val="8"/>
    <w:qFormat/>
    <w:uiPriority w:val="0"/>
    <w:rPr>
      <w:rFonts w:eastAsia="仿宋_GB2312" w:cs="Times New Roman"/>
      <w:sz w:val="24"/>
      <w:szCs w:val="24"/>
    </w:rPr>
  </w:style>
  <w:style w:type="character" w:customStyle="1" w:styleId="40">
    <w:name w:val="批注框文本 字符"/>
    <w:basedOn w:val="25"/>
    <w:link w:val="13"/>
    <w:semiHidden/>
    <w:qFormat/>
    <w:uiPriority w:val="99"/>
    <w:rPr>
      <w:rFonts w:ascii="Calibri" w:hAnsi="Calibri" w:eastAsia="宋体" w:cs="Times New Roman"/>
      <w:sz w:val="18"/>
      <w:szCs w:val="18"/>
    </w:rPr>
  </w:style>
  <w:style w:type="character" w:customStyle="1" w:styleId="41">
    <w:name w:val="批注主题 字符"/>
    <w:basedOn w:val="31"/>
    <w:link w:val="22"/>
    <w:semiHidden/>
    <w:qFormat/>
    <w:uiPriority w:val="99"/>
    <w:rPr>
      <w:rFonts w:ascii="Calibri" w:hAnsi="Calibri" w:eastAsia="宋体" w:cs="Times New Roman"/>
      <w:b/>
      <w:bCs/>
      <w:szCs w:val="24"/>
    </w:rPr>
  </w:style>
  <w:style w:type="character" w:customStyle="1" w:styleId="42">
    <w:name w:val="正文文本 Char"/>
    <w:basedOn w:val="25"/>
    <w:semiHidden/>
    <w:qFormat/>
    <w:uiPriority w:val="99"/>
    <w:rPr>
      <w:rFonts w:ascii="Calibri" w:hAnsi="Calibri" w:eastAsia="宋体" w:cs="Times New Roman"/>
      <w:szCs w:val="24"/>
    </w:rPr>
  </w:style>
  <w:style w:type="character" w:customStyle="1" w:styleId="43">
    <w:name w:val="标题 3 字符"/>
    <w:basedOn w:val="25"/>
    <w:link w:val="4"/>
    <w:qFormat/>
    <w:uiPriority w:val="9"/>
    <w:rPr>
      <w:rFonts w:ascii="Calibri" w:hAnsi="Calibri" w:eastAsia="宋体" w:cs="Times New Roman"/>
      <w:b/>
      <w:bCs/>
      <w:sz w:val="32"/>
      <w:szCs w:val="32"/>
    </w:rPr>
  </w:style>
  <w:style w:type="paragraph" w:customStyle="1" w:styleId="44">
    <w:name w:val="列出段落1"/>
    <w:basedOn w:val="1"/>
    <w:qFormat/>
    <w:uiPriority w:val="0"/>
    <w:pPr>
      <w:widowControl w:val="0"/>
      <w:ind w:firstLine="420" w:firstLineChars="200"/>
      <w:jc w:val="both"/>
    </w:pPr>
    <w:rPr>
      <w:rFonts w:ascii="Calibri" w:hAnsi="Calibri" w:cs="Calibri"/>
      <w:kern w:val="2"/>
      <w:sz w:val="21"/>
      <w:szCs w:val="21"/>
    </w:rPr>
  </w:style>
  <w:style w:type="character" w:customStyle="1" w:styleId="45">
    <w:name w:val="标题 3 Char"/>
    <w:basedOn w:val="25"/>
    <w:qFormat/>
    <w:uiPriority w:val="0"/>
    <w:rPr>
      <w:rFonts w:eastAsia="宋体"/>
      <w:b/>
      <w:bCs/>
      <w:kern w:val="2"/>
      <w:sz w:val="32"/>
      <w:szCs w:val="32"/>
      <w:lang w:val="en-US" w:eastAsia="zh-CN" w:bidi="ar-SA"/>
    </w:rPr>
  </w:style>
  <w:style w:type="paragraph" w:customStyle="1" w:styleId="46">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7">
    <w:name w:val="Char"/>
    <w:basedOn w:val="1"/>
    <w:qFormat/>
    <w:uiPriority w:val="0"/>
    <w:pPr>
      <w:spacing w:after="160" w:line="240" w:lineRule="exact"/>
    </w:pPr>
    <w:rPr>
      <w:rFonts w:ascii="Times New Roman" w:hAnsi="Times New Roman" w:cs="Times New Roman"/>
      <w:kern w:val="2"/>
      <w:sz w:val="21"/>
      <w:szCs w:val="20"/>
    </w:rPr>
  </w:style>
  <w:style w:type="paragraph" w:customStyle="1" w:styleId="48">
    <w:name w:val="_Style 38"/>
    <w:basedOn w:val="1"/>
    <w:next w:val="32"/>
    <w:qFormat/>
    <w:uiPriority w:val="34"/>
    <w:pPr>
      <w:ind w:firstLine="420" w:firstLineChars="200"/>
    </w:pPr>
    <w:rPr>
      <w:rFonts w:ascii="Times New Roman" w:hAnsi="Times New Roman" w:cs="Times New Roman"/>
    </w:rPr>
  </w:style>
  <w:style w:type="paragraph" w:customStyle="1" w:styleId="4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character" w:customStyle="1" w:styleId="50">
    <w:name w:val="标题 2 字符"/>
    <w:basedOn w:val="25"/>
    <w:link w:val="3"/>
    <w:qFormat/>
    <w:uiPriority w:val="0"/>
    <w:rPr>
      <w:rFonts w:asciiTheme="majorHAnsi" w:hAnsiTheme="majorHAnsi" w:eastAsiaTheme="majorEastAsia" w:cstheme="majorBidi"/>
      <w:b/>
      <w:bCs/>
      <w:sz w:val="32"/>
      <w:szCs w:val="32"/>
    </w:rPr>
  </w:style>
  <w:style w:type="character" w:customStyle="1" w:styleId="51">
    <w:name w:val="标题 4 字符"/>
    <w:basedOn w:val="25"/>
    <w:link w:val="5"/>
    <w:qFormat/>
    <w:uiPriority w:val="9"/>
    <w:rPr>
      <w:rFonts w:asciiTheme="majorHAnsi" w:hAnsiTheme="majorHAnsi" w:eastAsiaTheme="majorEastAsia" w:cstheme="majorBidi"/>
      <w:b/>
      <w:bCs/>
      <w:sz w:val="28"/>
      <w:szCs w:val="28"/>
    </w:rPr>
  </w:style>
  <w:style w:type="paragraph" w:customStyle="1" w:styleId="52">
    <w:name w:val="msonormal"/>
    <w:basedOn w:val="1"/>
    <w:qFormat/>
    <w:uiPriority w:val="0"/>
    <w:pPr>
      <w:spacing w:before="100" w:beforeAutospacing="1" w:after="100" w:afterAutospacing="1"/>
    </w:pPr>
  </w:style>
  <w:style w:type="paragraph" w:customStyle="1" w:styleId="53">
    <w:name w:val="font5"/>
    <w:basedOn w:val="1"/>
    <w:qFormat/>
    <w:uiPriority w:val="0"/>
    <w:pPr>
      <w:spacing w:before="100" w:beforeAutospacing="1" w:after="100" w:afterAutospacing="1"/>
    </w:pPr>
    <w:rPr>
      <w:color w:val="000000"/>
      <w:sz w:val="20"/>
      <w:szCs w:val="20"/>
    </w:rPr>
  </w:style>
  <w:style w:type="paragraph" w:customStyle="1" w:styleId="54">
    <w:name w:val="font6"/>
    <w:basedOn w:val="1"/>
    <w:qFormat/>
    <w:uiPriority w:val="0"/>
    <w:pPr>
      <w:spacing w:before="100" w:beforeAutospacing="1" w:after="100" w:afterAutospacing="1"/>
    </w:pPr>
    <w:rPr>
      <w:sz w:val="18"/>
      <w:szCs w:val="18"/>
    </w:rPr>
  </w:style>
  <w:style w:type="paragraph" w:customStyle="1" w:styleId="55">
    <w:name w:val="xl66"/>
    <w:basedOn w:val="1"/>
    <w:qFormat/>
    <w:uiPriority w:val="0"/>
    <w:pPr>
      <w:spacing w:before="100" w:beforeAutospacing="1" w:after="100" w:afterAutospacing="1"/>
    </w:pPr>
    <w:rPr>
      <w:color w:val="000000"/>
      <w:sz w:val="20"/>
      <w:szCs w:val="20"/>
    </w:rPr>
  </w:style>
  <w:style w:type="paragraph" w:customStyle="1" w:styleId="56">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sz w:val="20"/>
      <w:szCs w:val="20"/>
    </w:rPr>
  </w:style>
  <w:style w:type="paragraph" w:customStyle="1" w:styleId="57">
    <w:name w:val="xl68"/>
    <w:basedOn w:val="1"/>
    <w:qFormat/>
    <w:uiPriority w:val="0"/>
    <w:pPr>
      <w:spacing w:before="100" w:beforeAutospacing="1" w:after="100" w:afterAutospacing="1"/>
    </w:pPr>
    <w:rPr>
      <w:color w:val="FF0000"/>
      <w:sz w:val="20"/>
      <w:szCs w:val="20"/>
    </w:rPr>
  </w:style>
  <w:style w:type="paragraph" w:customStyle="1" w:styleId="58">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sz w:val="20"/>
      <w:szCs w:val="20"/>
    </w:rPr>
  </w:style>
  <w:style w:type="paragraph" w:customStyle="1" w:styleId="59">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sz w:val="20"/>
      <w:szCs w:val="20"/>
    </w:rPr>
  </w:style>
  <w:style w:type="paragraph" w:customStyle="1" w:styleId="60">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sz w:val="20"/>
      <w:szCs w:val="20"/>
    </w:rPr>
  </w:style>
  <w:style w:type="paragraph" w:customStyle="1" w:styleId="61">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sz w:val="20"/>
      <w:szCs w:val="20"/>
    </w:rPr>
  </w:style>
  <w:style w:type="paragraph" w:customStyle="1" w:styleId="62">
    <w:name w:val="xl73"/>
    <w:basedOn w:val="1"/>
    <w:qFormat/>
    <w:uiPriority w:val="0"/>
    <w:pPr>
      <w:spacing w:before="100" w:beforeAutospacing="1" w:after="100" w:afterAutospacing="1"/>
    </w:pPr>
    <w:rPr>
      <w:sz w:val="20"/>
      <w:szCs w:val="20"/>
    </w:rPr>
  </w:style>
  <w:style w:type="paragraph" w:customStyle="1" w:styleId="63">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64">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65">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sz w:val="20"/>
      <w:szCs w:val="20"/>
    </w:rPr>
  </w:style>
  <w:style w:type="paragraph" w:customStyle="1" w:styleId="66">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sz w:val="20"/>
      <w:szCs w:val="20"/>
    </w:rPr>
  </w:style>
  <w:style w:type="paragraph" w:customStyle="1" w:styleId="67">
    <w:name w:val="xl78"/>
    <w:basedOn w:val="1"/>
    <w:qFormat/>
    <w:uiPriority w:val="0"/>
    <w:pPr>
      <w:spacing w:before="100" w:beforeAutospacing="1" w:after="100" w:afterAutospacing="1"/>
      <w:jc w:val="center"/>
    </w:pPr>
    <w:rPr>
      <w:color w:val="000000"/>
      <w:sz w:val="20"/>
      <w:szCs w:val="20"/>
    </w:rPr>
  </w:style>
  <w:style w:type="paragraph" w:customStyle="1" w:styleId="68">
    <w:name w:val="xl79"/>
    <w:basedOn w:val="1"/>
    <w:qFormat/>
    <w:uiPriority w:val="0"/>
    <w:pPr>
      <w:spacing w:before="100" w:beforeAutospacing="1" w:after="100" w:afterAutospacing="1"/>
    </w:pPr>
    <w:rPr>
      <w:color w:val="000000"/>
    </w:rPr>
  </w:style>
  <w:style w:type="paragraph" w:customStyle="1" w:styleId="69">
    <w:name w:val="xl80"/>
    <w:basedOn w:val="1"/>
    <w:qFormat/>
    <w:uiPriority w:val="0"/>
    <w:pPr>
      <w:spacing w:before="100" w:beforeAutospacing="1" w:after="100" w:afterAutospacing="1"/>
      <w:jc w:val="center"/>
    </w:pPr>
    <w:rPr>
      <w:sz w:val="20"/>
      <w:szCs w:val="20"/>
    </w:rPr>
  </w:style>
  <w:style w:type="paragraph" w:customStyle="1" w:styleId="70">
    <w:name w:val="xl81"/>
    <w:basedOn w:val="1"/>
    <w:qFormat/>
    <w:uiPriority w:val="0"/>
    <w:pPr>
      <w:spacing w:before="100" w:beforeAutospacing="1" w:after="100" w:afterAutospacing="1"/>
    </w:pPr>
    <w:rPr>
      <w:color w:val="000000"/>
      <w:sz w:val="20"/>
      <w:szCs w:val="20"/>
    </w:rPr>
  </w:style>
  <w:style w:type="paragraph" w:customStyle="1" w:styleId="71">
    <w:name w:val="xl82"/>
    <w:basedOn w:val="1"/>
    <w:qFormat/>
    <w:uiPriority w:val="0"/>
    <w:pPr>
      <w:spacing w:before="100" w:beforeAutospacing="1" w:after="100" w:afterAutospacing="1"/>
      <w:jc w:val="both"/>
    </w:pPr>
    <w:rPr>
      <w:color w:val="000000"/>
      <w:sz w:val="20"/>
      <w:szCs w:val="20"/>
    </w:rPr>
  </w:style>
  <w:style w:type="paragraph" w:customStyle="1" w:styleId="72">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rPr>
  </w:style>
  <w:style w:type="paragraph" w:customStyle="1" w:styleId="73">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74">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sz w:val="20"/>
      <w:szCs w:val="20"/>
    </w:rPr>
  </w:style>
  <w:style w:type="paragraph" w:customStyle="1" w:styleId="75">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76">
    <w:name w:val="xl87"/>
    <w:basedOn w:val="1"/>
    <w:qFormat/>
    <w:uiPriority w:val="0"/>
    <w:pPr>
      <w:spacing w:before="100" w:beforeAutospacing="1" w:after="100" w:afterAutospacing="1"/>
    </w:pPr>
  </w:style>
  <w:style w:type="paragraph" w:customStyle="1" w:styleId="77">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sz w:val="20"/>
      <w:szCs w:val="20"/>
    </w:rPr>
  </w:style>
  <w:style w:type="paragraph" w:customStyle="1" w:styleId="78">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color w:val="FF0000"/>
      <w:sz w:val="20"/>
      <w:szCs w:val="20"/>
    </w:rPr>
  </w:style>
  <w:style w:type="paragraph" w:customStyle="1" w:styleId="79">
    <w:name w:val="xl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sz w:val="20"/>
      <w:szCs w:val="20"/>
    </w:rPr>
  </w:style>
  <w:style w:type="paragraph" w:customStyle="1" w:styleId="80">
    <w:name w:val="xl91"/>
    <w:basedOn w:val="1"/>
    <w:qFormat/>
    <w:uiPriority w:val="0"/>
    <w:pPr>
      <w:spacing w:before="100" w:beforeAutospacing="1" w:after="100" w:afterAutospacing="1"/>
      <w:jc w:val="center"/>
    </w:pPr>
    <w:rPr>
      <w:sz w:val="20"/>
      <w:szCs w:val="20"/>
    </w:rPr>
  </w:style>
  <w:style w:type="paragraph" w:customStyle="1" w:styleId="81">
    <w:name w:val="font7"/>
    <w:basedOn w:val="1"/>
    <w:qFormat/>
    <w:uiPriority w:val="0"/>
    <w:pPr>
      <w:spacing w:before="100" w:beforeAutospacing="1" w:after="100" w:afterAutospacing="1"/>
    </w:pPr>
    <w:rPr>
      <w:sz w:val="20"/>
      <w:szCs w:val="20"/>
    </w:rPr>
  </w:style>
  <w:style w:type="paragraph" w:customStyle="1" w:styleId="82">
    <w:name w:val="font8"/>
    <w:basedOn w:val="1"/>
    <w:qFormat/>
    <w:uiPriority w:val="0"/>
    <w:pPr>
      <w:spacing w:before="100" w:beforeAutospacing="1" w:after="100" w:afterAutospacing="1"/>
    </w:pPr>
    <w:rPr>
      <w:rFonts w:ascii="Calibri" w:hAnsi="Calibri"/>
      <w:sz w:val="20"/>
      <w:szCs w:val="20"/>
    </w:rPr>
  </w:style>
  <w:style w:type="paragraph" w:customStyle="1" w:styleId="83">
    <w:name w:val="font9"/>
    <w:basedOn w:val="1"/>
    <w:qFormat/>
    <w:uiPriority w:val="0"/>
    <w:pPr>
      <w:spacing w:before="100" w:beforeAutospacing="1" w:after="100" w:afterAutospacing="1"/>
    </w:pPr>
    <w:rPr>
      <w:sz w:val="18"/>
      <w:szCs w:val="18"/>
    </w:rPr>
  </w:style>
  <w:style w:type="paragraph" w:customStyle="1" w:styleId="84">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rFonts w:ascii="Calibri" w:hAnsi="Calibri"/>
      <w:sz w:val="20"/>
      <w:szCs w:val="20"/>
    </w:rPr>
  </w:style>
  <w:style w:type="paragraph" w:customStyle="1" w:styleId="85">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pPr>
    <w:rPr>
      <w:sz w:val="20"/>
      <w:szCs w:val="20"/>
    </w:rPr>
  </w:style>
  <w:style w:type="paragraph" w:customStyle="1" w:styleId="86">
    <w:name w:val="xl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sz w:val="20"/>
      <w:szCs w:val="20"/>
    </w:rPr>
  </w:style>
  <w:style w:type="character" w:customStyle="1" w:styleId="87">
    <w:name w:val="批注框文本 Char"/>
    <w:qFormat/>
    <w:uiPriority w:val="0"/>
    <w:rPr>
      <w:rFonts w:ascii="Calibri" w:hAnsi="Calibri" w:eastAsia="宋体" w:cs="Times New Roman"/>
      <w:kern w:val="2"/>
      <w:sz w:val="18"/>
      <w:szCs w:val="18"/>
    </w:rPr>
  </w:style>
  <w:style w:type="paragraph" w:customStyle="1" w:styleId="88">
    <w:name w:val="_Style 80"/>
    <w:basedOn w:val="1"/>
    <w:next w:val="1"/>
    <w:qFormat/>
    <w:uiPriority w:val="39"/>
    <w:pPr>
      <w:widowControl w:val="0"/>
      <w:ind w:left="840" w:leftChars="400"/>
      <w:jc w:val="both"/>
    </w:pPr>
    <w:rPr>
      <w:rFonts w:ascii="Calibri" w:hAnsi="Calibri" w:cs="Times New Roman"/>
      <w:kern w:val="2"/>
      <w:sz w:val="21"/>
    </w:rPr>
  </w:style>
  <w:style w:type="paragraph" w:customStyle="1" w:styleId="89">
    <w:name w:val="TOC 标题21"/>
    <w:basedOn w:val="2"/>
    <w:next w:val="1"/>
    <w:qFormat/>
    <w:uiPriority w:val="0"/>
    <w:pPr>
      <w:widowControl/>
      <w:spacing w:before="240" w:after="0" w:line="259" w:lineRule="auto"/>
      <w:jc w:val="left"/>
      <w:outlineLvl w:val="9"/>
    </w:pPr>
    <w:rPr>
      <w:rFonts w:ascii="Calibri Light" w:hAnsi="Calibri Light"/>
      <w:b w:val="0"/>
      <w:bCs w:val="0"/>
      <w:color w:val="2E75B5"/>
      <w:kern w:val="0"/>
      <w:sz w:val="32"/>
      <w:szCs w:val="32"/>
    </w:rPr>
  </w:style>
  <w:style w:type="table" w:customStyle="1" w:styleId="90">
    <w:name w:val="网格型1"/>
    <w:basedOn w:val="2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1">
    <w:name w:val="标题 1 Char"/>
    <w:qFormat/>
    <w:uiPriority w:val="0"/>
    <w:rPr>
      <w:rFonts w:ascii="Times New Roman" w:hAnsi="Times New Roman"/>
      <w:b/>
      <w:bCs/>
      <w:kern w:val="44"/>
      <w:sz w:val="44"/>
      <w:szCs w:val="44"/>
    </w:rPr>
  </w:style>
  <w:style w:type="character" w:customStyle="1" w:styleId="92">
    <w:name w:val="日期 字符"/>
    <w:basedOn w:val="25"/>
    <w:semiHidden/>
    <w:qFormat/>
    <w:uiPriority w:val="99"/>
    <w:rPr>
      <w:rFonts w:ascii="Calibri" w:hAnsi="Calibri" w:eastAsia="宋体" w:cs="Times New Roman"/>
      <w:szCs w:val="24"/>
    </w:rPr>
  </w:style>
  <w:style w:type="character" w:customStyle="1" w:styleId="93">
    <w:name w:val="日期 字符1"/>
    <w:link w:val="12"/>
    <w:qFormat/>
    <w:uiPriority w:val="0"/>
    <w:rPr>
      <w:rFonts w:ascii="Calibri" w:hAnsi="Calibri" w:eastAsia="宋体" w:cs="Times New Roman"/>
      <w:szCs w:val="24"/>
    </w:rPr>
  </w:style>
  <w:style w:type="character" w:customStyle="1" w:styleId="94">
    <w:name w:val="标题 2 Char"/>
    <w:semiHidden/>
    <w:qFormat/>
    <w:uiPriority w:val="0"/>
    <w:rPr>
      <w:rFonts w:ascii="Cambria" w:hAnsi="Cambria" w:eastAsia="宋体" w:cs="Times New Roman"/>
      <w:b/>
      <w:bCs/>
      <w:kern w:val="2"/>
      <w:sz w:val="32"/>
      <w:szCs w:val="32"/>
    </w:rPr>
  </w:style>
  <w:style w:type="character" w:customStyle="1" w:styleId="95">
    <w:name w:val="未处理的提及1"/>
    <w:basedOn w:val="25"/>
    <w:semiHidden/>
    <w:unhideWhenUsed/>
    <w:qFormat/>
    <w:uiPriority w:val="99"/>
    <w:rPr>
      <w:color w:val="605E5C"/>
      <w:shd w:val="clear" w:color="auto" w:fill="E1DFDD"/>
    </w:rPr>
  </w:style>
  <w:style w:type="paragraph" w:customStyle="1" w:styleId="9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97">
    <w:name w:val="_Style 381"/>
    <w:basedOn w:val="1"/>
    <w:next w:val="32"/>
    <w:qFormat/>
    <w:uiPriority w:val="34"/>
    <w:pPr>
      <w:ind w:firstLine="420" w:firstLineChars="200"/>
    </w:pPr>
    <w:rPr>
      <w:rFonts w:ascii="Times New Roman" w:hAnsi="Times New Roman" w:cs="Times New Roman"/>
    </w:rPr>
  </w:style>
  <w:style w:type="paragraph" w:customStyle="1" w:styleId="98">
    <w:name w:val="_Style 801"/>
    <w:basedOn w:val="1"/>
    <w:next w:val="1"/>
    <w:qFormat/>
    <w:uiPriority w:val="39"/>
    <w:pPr>
      <w:widowControl w:val="0"/>
      <w:ind w:left="840" w:leftChars="400"/>
      <w:jc w:val="both"/>
    </w:pPr>
    <w:rPr>
      <w:rFonts w:ascii="Calibri" w:hAnsi="Calibri" w:cs="Times New Roman"/>
      <w:kern w:val="2"/>
      <w:sz w:val="21"/>
    </w:rPr>
  </w:style>
  <w:style w:type="paragraph" w:customStyle="1" w:styleId="99">
    <w:name w:val="修订1"/>
    <w:hidden/>
    <w:semiHidden/>
    <w:qFormat/>
    <w:uiPriority w:val="99"/>
    <w:rPr>
      <w:rFonts w:ascii="宋体" w:hAnsi="宋体" w:eastAsia="宋体" w:cs="宋体"/>
      <w:sz w:val="24"/>
      <w:szCs w:val="24"/>
      <w:lang w:val="en-US" w:eastAsia="zh-CN" w:bidi="ar-SA"/>
    </w:rPr>
  </w:style>
  <w:style w:type="paragraph" w:customStyle="1" w:styleId="100">
    <w:name w:val="修订2"/>
    <w:hidden/>
    <w:semiHidden/>
    <w:qFormat/>
    <w:uiPriority w:val="99"/>
    <w:rPr>
      <w:rFonts w:ascii="宋体" w:hAnsi="宋体" w:eastAsia="宋体" w:cs="宋体"/>
      <w:sz w:val="24"/>
      <w:szCs w:val="24"/>
      <w:lang w:val="en-US" w:eastAsia="zh-CN" w:bidi="ar-SA"/>
    </w:rPr>
  </w:style>
  <w:style w:type="paragraph" w:customStyle="1" w:styleId="101">
    <w:name w:val="修订3"/>
    <w:hidden/>
    <w:semiHidden/>
    <w:qFormat/>
    <w:uiPriority w:val="99"/>
    <w:rPr>
      <w:rFonts w:ascii="宋体" w:hAnsi="宋体" w:eastAsia="宋体" w:cs="宋体"/>
      <w:sz w:val="24"/>
      <w:szCs w:val="24"/>
      <w:lang w:val="en-US" w:eastAsia="zh-CN" w:bidi="ar-SA"/>
    </w:rPr>
  </w:style>
  <w:style w:type="paragraph" w:customStyle="1" w:styleId="102">
    <w:name w:val="contenttitle"/>
    <w:basedOn w:val="1"/>
    <w:qFormat/>
    <w:uiPriority w:val="0"/>
    <w:pPr>
      <w:spacing w:before="100" w:beforeAutospacing="1" w:after="100" w:afterAutospacing="1"/>
    </w:pPr>
  </w:style>
  <w:style w:type="character" w:customStyle="1" w:styleId="103">
    <w:name w:val="ref"/>
    <w:basedOn w:val="2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22</Pages>
  <Words>1612</Words>
  <Characters>9192</Characters>
  <Lines>76</Lines>
  <Paragraphs>21</Paragraphs>
  <TotalTime>34</TotalTime>
  <ScaleCrop>false</ScaleCrop>
  <LinksUpToDate>false</LinksUpToDate>
  <CharactersWithSpaces>10783</CharactersWithSpaces>
  <Application>WPS Office_11.8.0.12357_F1E327BC-269C-435d-A152-05C5408002CA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2026-04-14T02:26:00Z</dcterms:created>
  <dc:creator>许 益清</dc:creator>
  <cp:lastModifiedBy>greatwall</cp:lastModifiedBy>
  <cp:lastPrinted>2026-03-30T20:29:00Z</cp:lastPrinted>
  <dcterms:modified xsi:type="dcterms:W3CDTF">2026-08-18T09:25:29Z</dcterms:modified>
  <dc:title>水果制品生产许可审查细则</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2052-11.8.0.12357</vt:lpwstr>
  </property>
  <property fmtid="{D5CDD505-2E9C-101B-9397-08002B2CF9AE}" pid="3" name="ICV">
    <vt:lpwstr>BCE87DDE0EF2243C4C4B5F6A53931524</vt:lpwstr>
  </property>
</Properties>
</file>