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0" w:firstLineChars="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附件</w:t>
      </w:r>
      <w:r>
        <w:rPr>
          <w:rFonts w:hint="default" w:eastAsia="黑体" w:cs="Times New Roman"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《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可可及焙炒咖啡产品</w:t>
      </w: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</w:rPr>
        <w:t>生产许可审查</w:t>
      </w: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lang w:eastAsia="zh-CN"/>
        </w:rPr>
        <w:t>细则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 w:val="0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lang w:eastAsia="zh-CN"/>
        </w:rPr>
        <w:t>征求意见稿</w:t>
      </w: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</w:rPr>
        <w:t>）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》</w:t>
      </w:r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kern w:val="0"/>
          <w:sz w:val="44"/>
          <w:szCs w:val="44"/>
          <w:lang w:val="en-US" w:eastAsia="zh-CN"/>
        </w:rPr>
        <w:t>编制</w:t>
      </w:r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kern w:val="0"/>
          <w:sz w:val="44"/>
          <w:szCs w:val="44"/>
        </w:rPr>
        <w:t>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规范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可可及焙炒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咖啡产品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生产许可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，加强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对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可可及焙炒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咖啡产品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生产企业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，依据《中华人民共和国食品安全法》及其实施条例、《食品生产许可管理办法》等法律法规规章和食品安全标准有关规定，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市场监管总局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组织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开展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可可及焙炒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咖啡产品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生产许可审查细则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修订工作，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形成《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可可及焙炒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咖啡产品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生产许可审查细则（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征求意见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稿）》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（以下简称《细则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征求意见稿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》）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。现就修订的有关问题说明如下。</w:t>
      </w:r>
    </w:p>
    <w:p>
      <w:pPr>
        <w:adjustRightInd/>
        <w:snapToGrid/>
        <w:spacing w:line="594" w:lineRule="exact"/>
        <w:ind w:firstLine="640" w:firstLineChars="200"/>
        <w:outlineLvl w:val="9"/>
        <w:rPr>
          <w:rFonts w:hint="default" w:ascii="黑体" w:hAnsi="黑体" w:eastAsia="黑体" w:cs="黑体"/>
          <w:snapToGrid w:val="0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color w:val="auto"/>
          <w:kern w:val="0"/>
          <w:sz w:val="32"/>
          <w:szCs w:val="32"/>
        </w:rPr>
        <w:t>一、修订必要性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近年来，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我国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可可及焙炒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咖啡产品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产业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发展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迅速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，新产品、新工艺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、新业态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不断涌现，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原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《可可制品生产许可证审查细则》《焙炒咖啡生产许可证审查细则》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（以下简称《细则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》已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不能完全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适应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可可及焙炒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咖啡产品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行业发展现状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无法充分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满足生产许可与监管工作的需要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为贯彻落实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食品安全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法律法规要求，督促企业落实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食品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安全主体责任，推动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可可及焙炒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咖啡产品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产业高质量发展，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修订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《细则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对保障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可可及焙炒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咖啡产品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质量安全、规范行业秩序、推进产业升级具有重要意义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/>
        </w:rPr>
        <w:t>加强风险识别与防控</w:t>
      </w: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《细则（200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版）》在风险识别和防控要求方面存在不足，需要进一步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完善产品分类，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强化对场所设施、生产过程、人员、检验、管理制度的规定和落实企业主体责任的要求，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指导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各地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监管部门聚焦高风险环节，提高许可、监管的针对性和有效性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。</w:t>
      </w:r>
    </w:p>
    <w:p>
      <w:pPr>
        <w:pStyle w:val="4"/>
        <w:spacing w:after="0" w:line="594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/>
        </w:rPr>
        <w:t>加强法规标准体系衔接</w:t>
      </w: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《细则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200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》已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发布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实施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20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年。在此期间，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《中华人民共和国食品安全法》《中华人民共和国食品安全法实施条例》《食品生产许可管理办法》《食品生产许可审查通则》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以及相关食品安全标准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均进行了修订，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食品安全法律、法规、规章以及食品安全标准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对食品生产许可提出了新的要求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《细则（200</w:t>
      </w:r>
      <w:r>
        <w:rPr>
          <w:rFonts w:hint="eastAsia" w:cs="Times New Roman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版）》需要修订与上述法律法规、标准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保持协调一致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>
      <w:pPr>
        <w:adjustRightInd/>
        <w:snapToGrid/>
        <w:spacing w:line="594" w:lineRule="exact"/>
        <w:ind w:firstLine="640" w:firstLineChars="200"/>
        <w:outlineLvl w:val="9"/>
        <w:rPr>
          <w:rFonts w:hint="eastAsia" w:ascii="黑体" w:hAnsi="黑体" w:eastAsia="黑体" w:cs="黑体"/>
          <w:snapToGrid w:val="0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color w:val="auto"/>
          <w:kern w:val="0"/>
          <w:sz w:val="32"/>
          <w:szCs w:val="32"/>
        </w:rPr>
        <w:t>二、修订过程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年，启动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可可及焙炒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咖啡产品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生产许可条件审查细则修订研究工作。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年至20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通过文献研究、实地调研、座谈讨论、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发放调查问卷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征求意见表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等形式，广泛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征集各地食品安全监管部门及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可可及焙炒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咖啡产品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生产企业的意见建议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，起草了《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可可及焙炒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咖啡产品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生产许可审查细则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（初稿）》（以下简称《细则（初稿）》）。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年，多次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组织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可可及焙炒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咖啡产品产业较为集中的地方市场监管部门、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中国焙烤食品糖制品工业协会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部分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可可及焙炒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咖啡产品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生产企业等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召开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专题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研讨会，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《细则（初稿）》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文本进行修改完善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2026年3月，组织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相关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可可及焙炒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咖啡产品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生产企业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行业协会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、有关专家和部分基层监管许可人员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召开细则修订研讨会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，2026年4月，征求各省（市、区）市场监管部门意见后，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可可及焙炒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咖啡产品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生产许可审查细则（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征求意见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稿）》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（以下简称《细则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征求意见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稿）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》）。</w:t>
      </w:r>
    </w:p>
    <w:p>
      <w:pPr>
        <w:adjustRightInd/>
        <w:snapToGrid/>
        <w:spacing w:line="594" w:lineRule="exact"/>
        <w:ind w:firstLine="640" w:firstLineChars="200"/>
        <w:outlineLvl w:val="9"/>
        <w:rPr>
          <w:rFonts w:hint="eastAsia" w:ascii="黑体" w:hAnsi="黑体" w:eastAsia="黑体" w:cs="黑体"/>
          <w:snapToGrid w:val="0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color w:val="auto"/>
          <w:kern w:val="0"/>
          <w:sz w:val="32"/>
          <w:szCs w:val="32"/>
        </w:rPr>
        <w:t>三、主要</w:t>
      </w:r>
      <w:r>
        <w:rPr>
          <w:rFonts w:hint="eastAsia" w:ascii="黑体" w:hAnsi="黑体" w:eastAsia="黑体" w:cs="黑体"/>
          <w:snapToGrid w:val="0"/>
          <w:color w:val="auto"/>
          <w:kern w:val="0"/>
          <w:sz w:val="32"/>
          <w:szCs w:val="32"/>
          <w:lang w:val="en-US" w:eastAsia="zh-CN"/>
        </w:rPr>
        <w:t>修订</w:t>
      </w:r>
      <w:r>
        <w:rPr>
          <w:rFonts w:hint="eastAsia" w:ascii="黑体" w:hAnsi="黑体" w:eastAsia="黑体" w:cs="黑体"/>
          <w:snapToGrid w:val="0"/>
          <w:color w:val="auto"/>
          <w:kern w:val="0"/>
          <w:sz w:val="32"/>
          <w:szCs w:val="32"/>
        </w:rPr>
        <w:t>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shd w:val="clear" w:color="auto" w:fill="auto"/>
        </w:rPr>
        <w:t>（一）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shd w:val="clear" w:color="auto" w:fill="auto"/>
          <w:lang w:eastAsia="zh-CN"/>
        </w:rPr>
        <w:t>合并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shd w:val="clear" w:color="auto" w:fill="auto"/>
        </w:rPr>
        <w:t>修改名称。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根据《食品生产许可管理办法》第八条规定：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国家市场监督管理总局负责制定食品生产许可审查通则和细则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，将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《可可制品生产许可证审查细则》《焙炒咖啡生产许可证审查细则》</w:t>
      </w:r>
      <w:r>
        <w:rPr>
          <w:rFonts w:ascii="Times New Roman" w:hAnsi="Times New Roman" w:eastAsia="仿宋_GB2312"/>
          <w:kern w:val="0"/>
          <w:sz w:val="32"/>
          <w:szCs w:val="32"/>
        </w:rPr>
        <w:t>中相同的部分合并简化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，并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修改为《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可可及焙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炒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咖啡产品生产许可审查细则</w:t>
      </w:r>
      <w:r>
        <w:rPr>
          <w:rFonts w:ascii="Times New Roman" w:hAnsi="Times New Roman" w:eastAsia="仿宋_GB2312"/>
          <w:kern w:val="0"/>
          <w:sz w:val="32"/>
          <w:szCs w:val="32"/>
        </w:rPr>
        <w:t>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spacing w:line="594" w:lineRule="exact"/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shd w:val="clear" w:color="auto" w:fill="auto"/>
        </w:rPr>
        <w:t>（二）调整结构。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按照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《食品生产许可审查通则》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的要求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《细则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征求意见稿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框架结构调整为：总则、生产场所、设备设施、设备布局和工艺流程、人员管理、管理制度、试制产品检验、附则等8个章节。结构调整后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《食品生产许可审查通则》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所附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的评分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表逐章对应，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层次更加清晰，内容更加完整，许可审查条件更加严谨。</w:t>
      </w:r>
    </w:p>
    <w:p>
      <w:pPr>
        <w:pStyle w:val="6"/>
        <w:spacing w:after="0" w:line="594" w:lineRule="exact"/>
        <w:ind w:firstLine="640" w:firstLineChars="200"/>
        <w:rPr>
          <w:rFonts w:hint="default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shd w:val="clear" w:color="auto" w:fill="auto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shd w:val="clear" w:color="auto" w:fill="auto"/>
          <w:lang w:eastAsia="zh-CN"/>
        </w:rPr>
        <w:t>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shd w:val="clear" w:color="auto" w:fill="auto"/>
        </w:rPr>
        <w:t>）</w:t>
      </w:r>
      <w:r>
        <w:rPr>
          <w:rFonts w:hint="eastAsia" w:ascii="楷体_GB2312" w:hAnsi="楷体_GB2312" w:eastAsia="楷体_GB2312" w:cs="楷体_GB2312"/>
          <w:bCs/>
          <w:color w:val="auto"/>
          <w:kern w:val="0"/>
          <w:sz w:val="32"/>
          <w:szCs w:val="32"/>
          <w:shd w:val="clear" w:color="auto" w:fill="auto"/>
          <w:lang w:val="en-US" w:eastAsia="zh-CN" w:bidi="ar"/>
        </w:rPr>
        <w:t>明确原料和生产要求。</w:t>
      </w:r>
      <w:r>
        <w:rPr>
          <w:rFonts w:hint="default" w:cs="Times New Roman"/>
          <w:color w:val="auto"/>
          <w:kern w:val="2"/>
          <w:sz w:val="32"/>
          <w:szCs w:val="32"/>
          <w:lang w:val="en-US" w:eastAsia="zh-CN"/>
        </w:rPr>
        <w:t>本次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《细则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（</w:t>
      </w:r>
      <w:r>
        <w:rPr>
          <w:rFonts w:hint="eastAsia" w:cs="Times New Roman"/>
          <w:color w:val="auto"/>
          <w:kern w:val="2"/>
          <w:sz w:val="32"/>
          <w:szCs w:val="32"/>
          <w:lang w:val="en-US" w:eastAsia="zh-CN"/>
        </w:rPr>
        <w:t>征求意见稿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》</w:t>
      </w:r>
      <w:r>
        <w:rPr>
          <w:rFonts w:hint="eastAsia" w:ascii="Times New Roman" w:hAnsi="Times New Roman" w:cs="仿宋_GB2312"/>
          <w:color w:val="000000"/>
          <w:sz w:val="32"/>
          <w:szCs w:val="32"/>
        </w:rPr>
        <w:t>在突出问题处理上，明确</w:t>
      </w:r>
      <w:r>
        <w:rPr>
          <w:rFonts w:hint="eastAsia" w:ascii="Times New Roman" w:hAnsi="Times New Roman"/>
          <w:kern w:val="0"/>
          <w:sz w:val="32"/>
          <w:szCs w:val="32"/>
        </w:rPr>
        <w:t>可可制品</w:t>
      </w:r>
      <w:r>
        <w:rPr>
          <w:rFonts w:ascii="Times New Roman" w:hAnsi="Times New Roman"/>
          <w:kern w:val="0"/>
          <w:sz w:val="32"/>
          <w:szCs w:val="32"/>
        </w:rPr>
        <w:t>生产</w:t>
      </w:r>
      <w:r>
        <w:rPr>
          <w:rFonts w:hint="eastAsia" w:ascii="Times New Roman" w:hAnsi="Times New Roman"/>
          <w:kern w:val="0"/>
          <w:sz w:val="32"/>
          <w:szCs w:val="32"/>
        </w:rPr>
        <w:t>不得以可可壳作为原料，焙炒咖啡生产</w:t>
      </w:r>
      <w:r>
        <w:rPr>
          <w:rFonts w:ascii="Times New Roman" w:hAnsi="Times New Roman"/>
          <w:kern w:val="0"/>
          <w:sz w:val="32"/>
          <w:szCs w:val="32"/>
        </w:rPr>
        <w:t>不得添加</w:t>
      </w:r>
      <w:r>
        <w:rPr>
          <w:rFonts w:hint="eastAsia" w:ascii="Times New Roman" w:hAnsi="Times New Roman"/>
          <w:kern w:val="0"/>
          <w:sz w:val="32"/>
          <w:szCs w:val="32"/>
        </w:rPr>
        <w:t>食品用香料、</w:t>
      </w:r>
      <w:r>
        <w:rPr>
          <w:rFonts w:ascii="Times New Roman" w:hAnsi="Times New Roman"/>
          <w:kern w:val="0"/>
          <w:sz w:val="32"/>
          <w:szCs w:val="32"/>
        </w:rPr>
        <w:t>香精。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Cs/>
          <w:color w:val="auto"/>
          <w:kern w:val="0"/>
          <w:sz w:val="32"/>
          <w:szCs w:val="32"/>
          <w:shd w:val="clear" w:color="auto" w:fill="auto"/>
          <w:lang w:bidi="ar"/>
        </w:rPr>
        <w:t>（</w:t>
      </w:r>
      <w:r>
        <w:rPr>
          <w:rFonts w:hint="eastAsia" w:ascii="楷体_GB2312" w:hAnsi="楷体_GB2312" w:eastAsia="楷体_GB2312" w:cs="楷体_GB2312"/>
          <w:bCs/>
          <w:color w:val="auto"/>
          <w:kern w:val="0"/>
          <w:sz w:val="32"/>
          <w:szCs w:val="32"/>
          <w:shd w:val="clear" w:color="auto" w:fill="auto"/>
          <w:lang w:val="en-US" w:eastAsia="zh-CN" w:bidi="ar"/>
        </w:rPr>
        <w:t>四</w:t>
      </w:r>
      <w:r>
        <w:rPr>
          <w:rFonts w:hint="eastAsia" w:ascii="楷体_GB2312" w:hAnsi="楷体_GB2312" w:eastAsia="楷体_GB2312" w:cs="楷体_GB2312"/>
          <w:bCs/>
          <w:color w:val="auto"/>
          <w:kern w:val="0"/>
          <w:sz w:val="32"/>
          <w:szCs w:val="32"/>
          <w:shd w:val="clear" w:color="auto" w:fill="auto"/>
          <w:lang w:bidi="ar"/>
        </w:rPr>
        <w:t>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kern w:val="0"/>
          <w:sz w:val="32"/>
          <w:szCs w:val="32"/>
          <w:lang w:eastAsia="zh-CN" w:bidi="ar"/>
        </w:rPr>
        <w:t>修订</w:t>
      </w:r>
      <w:r>
        <w:rPr>
          <w:rFonts w:hint="eastAsia" w:ascii="楷体_GB2312" w:hAnsi="楷体_GB2312" w:eastAsia="楷体_GB2312" w:cs="楷体_GB2312"/>
          <w:b w:val="0"/>
          <w:bCs/>
          <w:color w:val="auto"/>
          <w:kern w:val="0"/>
          <w:sz w:val="32"/>
          <w:szCs w:val="32"/>
          <w:lang w:bidi="ar"/>
        </w:rPr>
        <w:t>生产场所</w:t>
      </w:r>
      <w:r>
        <w:rPr>
          <w:rFonts w:hint="eastAsia" w:ascii="楷体_GB2312" w:hAnsi="楷体_GB2312" w:eastAsia="楷体_GB2312" w:cs="楷体_GB2312"/>
          <w:b w:val="0"/>
          <w:bCs/>
          <w:color w:val="auto"/>
          <w:kern w:val="0"/>
          <w:sz w:val="32"/>
          <w:szCs w:val="32"/>
          <w:lang w:eastAsia="zh-CN" w:bidi="ar"/>
        </w:rPr>
        <w:t>、设备设施、</w:t>
      </w:r>
      <w:r>
        <w:rPr>
          <w:rFonts w:hint="eastAsia" w:ascii="楷体_GB2312" w:hAnsi="楷体_GB2312" w:eastAsia="楷体_GB2312" w:cs="楷体_GB2312"/>
          <w:b w:val="0"/>
          <w:bCs/>
          <w:color w:val="auto"/>
          <w:kern w:val="0"/>
          <w:sz w:val="32"/>
          <w:szCs w:val="32"/>
          <w:lang w:val="en-US" w:eastAsia="zh-CN" w:bidi="ar"/>
        </w:rPr>
        <w:t>设备布局和</w:t>
      </w:r>
      <w:r>
        <w:rPr>
          <w:rFonts w:hint="eastAsia" w:ascii="楷体_GB2312" w:hAnsi="楷体_GB2312" w:eastAsia="楷体_GB2312" w:cs="楷体_GB2312"/>
          <w:b w:val="0"/>
          <w:bCs/>
          <w:color w:val="auto"/>
          <w:kern w:val="0"/>
          <w:sz w:val="32"/>
          <w:szCs w:val="32"/>
          <w:lang w:bidi="ar"/>
        </w:rPr>
        <w:t>工艺流程</w:t>
      </w:r>
      <w:r>
        <w:rPr>
          <w:rFonts w:hint="eastAsia" w:ascii="楷体_GB2312" w:hAnsi="楷体_GB2312" w:eastAsia="楷体_GB2312" w:cs="楷体_GB2312"/>
          <w:b w:val="0"/>
          <w:bCs/>
          <w:color w:val="auto"/>
          <w:kern w:val="0"/>
          <w:sz w:val="32"/>
          <w:szCs w:val="32"/>
          <w:lang w:eastAsia="zh-CN" w:bidi="ar"/>
        </w:rPr>
        <w:t>、</w:t>
      </w:r>
      <w:r>
        <w:rPr>
          <w:rFonts w:hint="eastAsia" w:ascii="楷体_GB2312" w:hAnsi="楷体_GB2312" w:eastAsia="楷体_GB2312" w:cs="楷体_GB2312"/>
          <w:b w:val="0"/>
          <w:bCs/>
          <w:color w:val="auto"/>
          <w:kern w:val="0"/>
          <w:sz w:val="32"/>
          <w:szCs w:val="32"/>
          <w:lang w:bidi="ar"/>
        </w:rPr>
        <w:t>人员管理</w:t>
      </w:r>
      <w:r>
        <w:rPr>
          <w:rFonts w:hint="eastAsia" w:ascii="楷体_GB2312" w:hAnsi="楷体_GB2312" w:eastAsia="楷体_GB2312" w:cs="楷体_GB2312"/>
          <w:b w:val="0"/>
          <w:bCs/>
          <w:color w:val="auto"/>
          <w:kern w:val="0"/>
          <w:sz w:val="32"/>
          <w:szCs w:val="32"/>
          <w:lang w:eastAsia="zh-CN" w:bidi="ar"/>
        </w:rPr>
        <w:t>及</w:t>
      </w:r>
      <w:r>
        <w:rPr>
          <w:rFonts w:hint="eastAsia" w:ascii="楷体_GB2312" w:hAnsi="楷体_GB2312" w:eastAsia="楷体_GB2312" w:cs="楷体_GB2312"/>
          <w:b w:val="0"/>
          <w:bCs/>
          <w:color w:val="auto"/>
          <w:kern w:val="0"/>
          <w:sz w:val="32"/>
          <w:szCs w:val="32"/>
          <w:lang w:bidi="ar"/>
        </w:rPr>
        <w:t>管理制度的要求。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根据《食品安全国家标准 食品生产通用卫生规范》（GB 14881）等相关规定，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修订生产场所、设备设施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设备布局和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工艺流程、人员管理及管理制度的要求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一是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明确生产的基本条件和要求。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落实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生产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企业主体责任，要求企业建立健全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管理制度，配备符合规定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且能满足企业需求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的食品安全管理人员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和专业技术人员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加强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从业人员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岗位考核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培训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并开展班前健康检查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完善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细化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可可及焙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炒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咖啡产品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生产全链条管理制度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等要求，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实现对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可可及焙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炒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咖啡产品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生产全流程的覆盖管理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提升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风险管控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和防范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能力。</w:t>
      </w:r>
    </w:p>
    <w:p>
      <w:pPr>
        <w:numPr>
          <w:ilvl w:val="0"/>
          <w:numId w:val="0"/>
        </w:numPr>
        <w:adjustRightInd/>
        <w:snapToGrid/>
        <w:spacing w:line="594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sectPr>
      <w:footerReference r:id="rId3" w:type="default"/>
      <w:pgSz w:w="11906" w:h="16838"/>
      <w:pgMar w:top="1984" w:right="1474" w:bottom="1644" w:left="147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M+L3UTQAAAAAgEAAA8AAAAAAAAAAQAgAAAAOAAAAGRycy9kb3ducmV2LnhtbFBLAQIUABQA&#10;AAAIAIdO4kCgHE/f4gEAALsDAAAOAAAAAAAAAAEAIAAAADUBAABkcnMvZTJvRG9jLnhtbFBLBQYA&#10;AAAABgAGAFkBAACJ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9"/>
      <w:rPr>
        <w:color w:val="FFFF00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 w:val="1"/>
  <w:documentProtection w:enforcement="0"/>
  <w:defaultTabStop w:val="420"/>
  <w:hyphenationZone w:val="36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5YzE1NWQ0MWJiMGU2NzVhYjNjODU5Zjk4NzA4YWYifQ=="/>
  </w:docVars>
  <w:rsids>
    <w:rsidRoot w:val="00172A27"/>
    <w:rsid w:val="00055F36"/>
    <w:rsid w:val="00102376"/>
    <w:rsid w:val="001250DE"/>
    <w:rsid w:val="001601AC"/>
    <w:rsid w:val="001E29F0"/>
    <w:rsid w:val="00362C15"/>
    <w:rsid w:val="0037601B"/>
    <w:rsid w:val="005E251D"/>
    <w:rsid w:val="00672ADC"/>
    <w:rsid w:val="0067331D"/>
    <w:rsid w:val="0071101A"/>
    <w:rsid w:val="0088473F"/>
    <w:rsid w:val="00955751"/>
    <w:rsid w:val="0097427C"/>
    <w:rsid w:val="00BD0B82"/>
    <w:rsid w:val="00D85EEF"/>
    <w:rsid w:val="00DA024A"/>
    <w:rsid w:val="00E52479"/>
    <w:rsid w:val="00F713B3"/>
    <w:rsid w:val="018B6894"/>
    <w:rsid w:val="04372FFB"/>
    <w:rsid w:val="07E35995"/>
    <w:rsid w:val="08385709"/>
    <w:rsid w:val="086D76C9"/>
    <w:rsid w:val="088F2F32"/>
    <w:rsid w:val="09A50E99"/>
    <w:rsid w:val="0B0B42AD"/>
    <w:rsid w:val="0CC6435F"/>
    <w:rsid w:val="0DC71BA8"/>
    <w:rsid w:val="0EF33893"/>
    <w:rsid w:val="11B17C1D"/>
    <w:rsid w:val="137101E2"/>
    <w:rsid w:val="13714F19"/>
    <w:rsid w:val="13920429"/>
    <w:rsid w:val="16E82BC8"/>
    <w:rsid w:val="176DF967"/>
    <w:rsid w:val="17C31108"/>
    <w:rsid w:val="183D2FD1"/>
    <w:rsid w:val="1953639C"/>
    <w:rsid w:val="1A03218D"/>
    <w:rsid w:val="1A743DFE"/>
    <w:rsid w:val="1BC63638"/>
    <w:rsid w:val="1CE44F73"/>
    <w:rsid w:val="1DC558E6"/>
    <w:rsid w:val="1E9E1436"/>
    <w:rsid w:val="20857668"/>
    <w:rsid w:val="213C4232"/>
    <w:rsid w:val="233A44A5"/>
    <w:rsid w:val="256839EE"/>
    <w:rsid w:val="267351A5"/>
    <w:rsid w:val="27BD3EC2"/>
    <w:rsid w:val="29583A35"/>
    <w:rsid w:val="29FA405D"/>
    <w:rsid w:val="2A5E570F"/>
    <w:rsid w:val="2AFC53D4"/>
    <w:rsid w:val="2B4D5018"/>
    <w:rsid w:val="2BC82053"/>
    <w:rsid w:val="2C824A27"/>
    <w:rsid w:val="2C894C7A"/>
    <w:rsid w:val="2DA851F7"/>
    <w:rsid w:val="2DE75E2C"/>
    <w:rsid w:val="2E3164D6"/>
    <w:rsid w:val="30E40FE9"/>
    <w:rsid w:val="30F7043A"/>
    <w:rsid w:val="31740730"/>
    <w:rsid w:val="332B2000"/>
    <w:rsid w:val="333C759D"/>
    <w:rsid w:val="357D4862"/>
    <w:rsid w:val="366C7DAE"/>
    <w:rsid w:val="36A754AE"/>
    <w:rsid w:val="36DA422F"/>
    <w:rsid w:val="37091B93"/>
    <w:rsid w:val="37BB021D"/>
    <w:rsid w:val="37F16A56"/>
    <w:rsid w:val="387D7E30"/>
    <w:rsid w:val="38D90F52"/>
    <w:rsid w:val="390C2A26"/>
    <w:rsid w:val="395A27A5"/>
    <w:rsid w:val="39E96B90"/>
    <w:rsid w:val="3A0719C4"/>
    <w:rsid w:val="3BD16A31"/>
    <w:rsid w:val="3C3304AE"/>
    <w:rsid w:val="3C811941"/>
    <w:rsid w:val="3D220D29"/>
    <w:rsid w:val="3E012549"/>
    <w:rsid w:val="3FDD808A"/>
    <w:rsid w:val="43625B18"/>
    <w:rsid w:val="44E43A96"/>
    <w:rsid w:val="45E82C62"/>
    <w:rsid w:val="45EA3344"/>
    <w:rsid w:val="46132E83"/>
    <w:rsid w:val="46C816AD"/>
    <w:rsid w:val="49A941A0"/>
    <w:rsid w:val="4AA25505"/>
    <w:rsid w:val="4AFE2097"/>
    <w:rsid w:val="4CA702C0"/>
    <w:rsid w:val="4EF26794"/>
    <w:rsid w:val="4FE73811"/>
    <w:rsid w:val="50691BB7"/>
    <w:rsid w:val="512F7C09"/>
    <w:rsid w:val="513769CE"/>
    <w:rsid w:val="51AC3A8A"/>
    <w:rsid w:val="51EC51F8"/>
    <w:rsid w:val="53D423A8"/>
    <w:rsid w:val="54B13782"/>
    <w:rsid w:val="55CB6445"/>
    <w:rsid w:val="55E4067E"/>
    <w:rsid w:val="58425BDC"/>
    <w:rsid w:val="58BC5F3F"/>
    <w:rsid w:val="58EF7EF3"/>
    <w:rsid w:val="591F30DD"/>
    <w:rsid w:val="598061FA"/>
    <w:rsid w:val="5AE454CC"/>
    <w:rsid w:val="5C882FDD"/>
    <w:rsid w:val="5D1D7FC5"/>
    <w:rsid w:val="5D291A28"/>
    <w:rsid w:val="5E0C440F"/>
    <w:rsid w:val="5F3F7E5E"/>
    <w:rsid w:val="5F59087D"/>
    <w:rsid w:val="5FEF814F"/>
    <w:rsid w:val="5FF17AF7"/>
    <w:rsid w:val="60C26B4A"/>
    <w:rsid w:val="617F52BE"/>
    <w:rsid w:val="61FA594E"/>
    <w:rsid w:val="62115573"/>
    <w:rsid w:val="62537C42"/>
    <w:rsid w:val="626B55FD"/>
    <w:rsid w:val="62BD7466"/>
    <w:rsid w:val="63E044E9"/>
    <w:rsid w:val="643C1380"/>
    <w:rsid w:val="64A7046F"/>
    <w:rsid w:val="666D3A87"/>
    <w:rsid w:val="6695025A"/>
    <w:rsid w:val="6710699A"/>
    <w:rsid w:val="6762412B"/>
    <w:rsid w:val="67662B31"/>
    <w:rsid w:val="67CC15DC"/>
    <w:rsid w:val="69341E28"/>
    <w:rsid w:val="69787099"/>
    <w:rsid w:val="6A0B09D6"/>
    <w:rsid w:val="6AC37FB5"/>
    <w:rsid w:val="6BCD5CBD"/>
    <w:rsid w:val="6BF73280"/>
    <w:rsid w:val="6D85303B"/>
    <w:rsid w:val="6DA4006D"/>
    <w:rsid w:val="6F5C19F5"/>
    <w:rsid w:val="6FE62BA6"/>
    <w:rsid w:val="713F364B"/>
    <w:rsid w:val="714A2B8F"/>
    <w:rsid w:val="72771BDA"/>
    <w:rsid w:val="735FA264"/>
    <w:rsid w:val="73CC0673"/>
    <w:rsid w:val="740857E9"/>
    <w:rsid w:val="74C71E65"/>
    <w:rsid w:val="75807FCD"/>
    <w:rsid w:val="768B35FA"/>
    <w:rsid w:val="76A9613C"/>
    <w:rsid w:val="775C533C"/>
    <w:rsid w:val="77E2133C"/>
    <w:rsid w:val="77FE2259"/>
    <w:rsid w:val="79096BA0"/>
    <w:rsid w:val="79BE31CC"/>
    <w:rsid w:val="7B0A53EC"/>
    <w:rsid w:val="7B2F310E"/>
    <w:rsid w:val="7C60211A"/>
    <w:rsid w:val="7C8C4263"/>
    <w:rsid w:val="7DD72030"/>
    <w:rsid w:val="7DF9D9CA"/>
    <w:rsid w:val="7DFD9A0D"/>
    <w:rsid w:val="7EDEE721"/>
    <w:rsid w:val="7EF8215F"/>
    <w:rsid w:val="7F317881"/>
    <w:rsid w:val="7F47795F"/>
    <w:rsid w:val="7F7FC938"/>
    <w:rsid w:val="7FFDE6E3"/>
    <w:rsid w:val="7FFFC051"/>
    <w:rsid w:val="9DDF8734"/>
    <w:rsid w:val="9FFFA13D"/>
    <w:rsid w:val="AFEEB1B8"/>
    <w:rsid w:val="BCF7DCA5"/>
    <w:rsid w:val="BFBF52CD"/>
    <w:rsid w:val="BFDE21FC"/>
    <w:rsid w:val="BFFF77C2"/>
    <w:rsid w:val="C77FE731"/>
    <w:rsid w:val="CEFBA2ED"/>
    <w:rsid w:val="D3EFF042"/>
    <w:rsid w:val="DEBE0D25"/>
    <w:rsid w:val="EA6FE1AC"/>
    <w:rsid w:val="EEFA2F3E"/>
    <w:rsid w:val="EF1F4B36"/>
    <w:rsid w:val="EFAB0FE9"/>
    <w:rsid w:val="EFE9AB6E"/>
    <w:rsid w:val="F7EECA01"/>
    <w:rsid w:val="F9BEA368"/>
    <w:rsid w:val="F9FAAFC9"/>
    <w:rsid w:val="FBEDFD78"/>
    <w:rsid w:val="FDBF1589"/>
    <w:rsid w:val="FEFBA4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Body Text 3"/>
    <w:basedOn w:val="1"/>
    <w:next w:val="5"/>
    <w:qFormat/>
    <w:uiPriority w:val="99"/>
    <w:pPr>
      <w:spacing w:after="120"/>
    </w:pPr>
    <w:rPr>
      <w:rFonts w:ascii="Times New Roman" w:hAnsi="Times New Roman" w:eastAsia="仿宋_GB2312"/>
      <w:kern w:val="0"/>
      <w:sz w:val="16"/>
      <w:szCs w:val="16"/>
    </w:rPr>
  </w:style>
  <w:style w:type="paragraph" w:customStyle="1" w:styleId="5">
    <w:name w:val="Char1"/>
    <w:basedOn w:val="1"/>
    <w:qFormat/>
    <w:uiPriority w:val="99"/>
    <w:pPr>
      <w:ind w:left="840" w:hanging="420"/>
    </w:pPr>
    <w:rPr>
      <w:rFonts w:ascii="Times New Roman" w:hAnsi="Times New Roman" w:eastAsia="仿宋_GB2312"/>
      <w:sz w:val="24"/>
    </w:rPr>
  </w:style>
  <w:style w:type="paragraph" w:styleId="6">
    <w:name w:val="Body Text"/>
    <w:basedOn w:val="1"/>
    <w:unhideWhenUsed/>
    <w:qFormat/>
    <w:uiPriority w:val="99"/>
    <w:pPr>
      <w:spacing w:line="480" w:lineRule="exact"/>
    </w:pPr>
    <w:rPr>
      <w:rFonts w:eastAsia="仿宋_GB2312"/>
      <w:sz w:val="32"/>
    </w:rPr>
  </w:style>
  <w:style w:type="paragraph" w:styleId="7">
    <w:name w:val="Plain Text"/>
    <w:basedOn w:val="1"/>
    <w:link w:val="14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3">
    <w:name w:val="Emphasis"/>
    <w:basedOn w:val="12"/>
    <w:qFormat/>
    <w:uiPriority w:val="20"/>
    <w:rPr>
      <w:i/>
    </w:rPr>
  </w:style>
  <w:style w:type="character" w:customStyle="1" w:styleId="14">
    <w:name w:val="纯文本 Char"/>
    <w:basedOn w:val="12"/>
    <w:link w:val="7"/>
    <w:qFormat/>
    <w:uiPriority w:val="0"/>
    <w:rPr>
      <w:rFonts w:ascii="宋体" w:hAnsi="宋体" w:cs="宋体"/>
      <w:sz w:val="24"/>
      <w:szCs w:val="24"/>
    </w:rPr>
  </w:style>
  <w:style w:type="character" w:customStyle="1" w:styleId="15">
    <w:name w:val="批注框文本 Char"/>
    <w:link w:val="8"/>
    <w:semiHidden/>
    <w:qFormat/>
    <w:uiPriority w:val="99"/>
    <w:rPr>
      <w:kern w:val="2"/>
      <w:sz w:val="18"/>
      <w:szCs w:val="18"/>
    </w:rPr>
  </w:style>
  <w:style w:type="character" w:customStyle="1" w:styleId="16">
    <w:name w:val="页脚 Char"/>
    <w:link w:val="9"/>
    <w:qFormat/>
    <w:uiPriority w:val="99"/>
    <w:rPr>
      <w:kern w:val="2"/>
      <w:sz w:val="18"/>
      <w:szCs w:val="18"/>
    </w:rPr>
  </w:style>
  <w:style w:type="character" w:customStyle="1" w:styleId="17">
    <w:name w:val="页眉 Char"/>
    <w:link w:val="10"/>
    <w:qFormat/>
    <w:uiPriority w:val="99"/>
    <w:rPr>
      <w:kern w:val="2"/>
      <w:sz w:val="18"/>
      <w:szCs w:val="18"/>
    </w:rPr>
  </w:style>
  <w:style w:type="character" w:customStyle="1" w:styleId="18">
    <w:name w:val="页码1"/>
    <w:basedOn w:val="12"/>
    <w:qFormat/>
    <w:uiPriority w:val="0"/>
    <w:rPr>
      <w:rFonts w:cs="Times New Roman"/>
    </w:rPr>
  </w:style>
  <w:style w:type="paragraph" w:customStyle="1" w:styleId="19">
    <w:name w:val="封面标准名称"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szCs w:val="22"/>
      <w:lang w:val="en-US" w:eastAsia="zh-CN" w:bidi="ar-SA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_Style 1"/>
    <w:basedOn w:val="1"/>
    <w:qFormat/>
    <w:uiPriority w:val="34"/>
    <w:pPr>
      <w:ind w:firstLine="420" w:firstLineChars="200"/>
    </w:pPr>
  </w:style>
  <w:style w:type="paragraph" w:customStyle="1" w:styleId="22">
    <w:name w:val="List Paragraph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1829</Words>
  <Characters>1879</Characters>
  <Lines>22</Lines>
  <Paragraphs>6</Paragraphs>
  <TotalTime>16</TotalTime>
  <ScaleCrop>false</ScaleCrop>
  <LinksUpToDate>false</LinksUpToDate>
  <CharactersWithSpaces>1883</CharactersWithSpaces>
  <Application>WPS Office_11.8.0.12357_F1E327BC-269C-435d-A152-05C5408002CA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2017-05-23T17:29:00Z</dcterms:created>
  <dc:creator>zhiqiang e</dc:creator>
  <cp:lastModifiedBy>greatwall</cp:lastModifiedBy>
  <cp:lastPrinted>2026-04-28T22:29:00Z</cp:lastPrinted>
  <dcterms:modified xsi:type="dcterms:W3CDTF">2026-08-18T09:25:43Z</dcterms:modified>
  <dc:title>《饮料生产许可审查细则(2013版)》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2052-11.8.0.12357</vt:lpwstr>
  </property>
  <property fmtid="{D5CDD505-2E9C-101B-9397-08002B2CF9AE}" pid="3" name="ICV">
    <vt:lpwstr>C189B068FF8EE41D711E5F6AE515CC08</vt:lpwstr>
  </property>
  <property fmtid="{D5CDD505-2E9C-101B-9397-08002B2CF9AE}" pid="4" name="KSOTemplateDocerSaveRecord">
    <vt:lpwstr>eyJoZGlkIjoiYmEwMmI0YmZjYjdiZDVhMGZmMDBhNWQ4NmYxZTliMWEiLCJ1c2VySWQiOiIxMDI2OTc5OTIzIn0=</vt:lpwstr>
  </property>
</Properties>
</file>