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line="240" w:lineRule="auto"/>
        <w:jc w:val="center"/>
        <w:rPr>
          <w:rFonts w:ascii="黑体" w:hAnsi="黑体" w:eastAsia="黑体" w:cs="黑体"/>
          <w:bCs/>
          <w:sz w:val="36"/>
          <w:szCs w:val="36"/>
          <w:lang w:val="en-GB" w:bidi="ar-AE"/>
        </w:rPr>
      </w:pPr>
      <w:r>
        <w:rPr>
          <w:rFonts w:ascii="黑体" w:hAnsi="黑体" w:eastAsia="黑体" w:cs="黑体"/>
          <w:bCs/>
          <w:sz w:val="36"/>
          <w:szCs w:val="36"/>
          <w:lang w:val="en-GB" w:bidi="ar-AE"/>
        </w:rPr>
        <w:t>经营者集中简易案件公示表</w:t>
      </w:r>
    </w:p>
    <w:tbl>
      <w:tblPr>
        <w:tblStyle w:val="9"/>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2050"/>
        <w:gridCol w:w="5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555" w:type="dxa"/>
            <w:shd w:val="clear" w:color="auto" w:fill="D9D9D9"/>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案件名称</w:t>
            </w:r>
          </w:p>
        </w:tc>
        <w:tc>
          <w:tcPr>
            <w:tcW w:w="7203" w:type="dxa"/>
            <w:gridSpan w:val="2"/>
            <w:vAlign w:val="center"/>
          </w:tcPr>
          <w:p>
            <w:pPr>
              <w:spacing w:after="0" w:line="240" w:lineRule="auto"/>
              <w:jc w:val="both"/>
              <w:rPr>
                <w:rFonts w:cs="Times New Roman" w:asciiTheme="minorEastAsia" w:hAnsiTheme="minorEastAsia"/>
                <w:bCs/>
                <w:sz w:val="24"/>
                <w:szCs w:val="24"/>
              </w:rPr>
            </w:pPr>
            <w:r>
              <w:rPr>
                <w:rFonts w:hint="eastAsia" w:cs="Times New Roman" w:asciiTheme="minorEastAsia" w:hAnsiTheme="minorEastAsia"/>
                <w:bCs/>
                <w:sz w:val="24"/>
                <w:szCs w:val="24"/>
              </w:rPr>
              <w:t>浙江省旅游投资集团有限公司收购浙江祥源文旅股份有限公司股权案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8" w:hRule="atLeast"/>
        </w:trPr>
        <w:tc>
          <w:tcPr>
            <w:tcW w:w="1555" w:type="dxa"/>
            <w:shd w:val="clear" w:color="auto" w:fill="D9D9D9"/>
            <w:vAlign w:val="center"/>
          </w:tcPr>
          <w:p>
            <w:pPr>
              <w:spacing w:after="0" w:line="240" w:lineRule="auto"/>
              <w:rPr>
                <w:rFonts w:cs="Times New Roman" w:asciiTheme="minorEastAsia" w:hAnsiTheme="minorEastAsia"/>
                <w:bCs/>
                <w:sz w:val="24"/>
                <w:szCs w:val="24"/>
              </w:rPr>
            </w:pPr>
            <w:r>
              <w:rPr>
                <w:rFonts w:cs="Times New Roman" w:asciiTheme="minorEastAsia" w:hAnsiTheme="minorEastAsia"/>
                <w:bCs/>
                <w:sz w:val="24"/>
                <w:szCs w:val="24"/>
              </w:rPr>
              <w:t>交易概况（限200字内）</w:t>
            </w:r>
          </w:p>
        </w:tc>
        <w:tc>
          <w:tcPr>
            <w:tcW w:w="7203" w:type="dxa"/>
            <w:gridSpan w:val="2"/>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202</w:t>
            </w:r>
            <w:r>
              <w:rPr>
                <w:rFonts w:hint="eastAsia" w:cs="Times New Roman" w:asciiTheme="minorEastAsia" w:hAnsiTheme="minorEastAsia"/>
                <w:bCs/>
                <w:sz w:val="24"/>
                <w:szCs w:val="24"/>
              </w:rPr>
              <w:t>6年7月30日，浙江省旅游投资集团有限公司（以下简称“浙江旅投”）</w:t>
            </w:r>
            <w:r>
              <w:rPr>
                <w:rFonts w:cs="Times New Roman" w:asciiTheme="minorEastAsia" w:hAnsiTheme="minorEastAsia"/>
                <w:bCs/>
                <w:sz w:val="24"/>
                <w:szCs w:val="24"/>
              </w:rPr>
              <w:t>通过司法竞拍取得</w:t>
            </w:r>
            <w:r>
              <w:rPr>
                <w:rFonts w:hint="eastAsia" w:cs="Times New Roman" w:asciiTheme="minorEastAsia" w:hAnsiTheme="minorEastAsia"/>
                <w:bCs/>
                <w:sz w:val="24"/>
                <w:szCs w:val="24"/>
              </w:rPr>
              <w:t>浙江祥源文旅股份有限公司（以下简称“祥源文旅”）</w:t>
            </w:r>
            <w:r>
              <w:rPr>
                <w:rFonts w:cs="Times New Roman" w:asciiTheme="minorEastAsia" w:hAnsiTheme="minorEastAsia"/>
                <w:bCs/>
                <w:sz w:val="24"/>
                <w:szCs w:val="24"/>
              </w:rPr>
              <w:t>10%</w:t>
            </w:r>
            <w:r>
              <w:rPr>
                <w:rFonts w:hint="eastAsia" w:cs="Times New Roman" w:asciiTheme="minorEastAsia" w:hAnsiTheme="minorEastAsia"/>
                <w:bCs/>
                <w:sz w:val="24"/>
                <w:szCs w:val="24"/>
              </w:rPr>
              <w:t>股份。交易前，自然人直接及间接通过祥源控股合计</w:t>
            </w:r>
            <w:r>
              <w:rPr>
                <w:rFonts w:hint="eastAsia" w:cs="Times New Roman" w:asciiTheme="minorEastAsia" w:hAnsiTheme="minorEastAsia"/>
                <w:bCs/>
                <w:sz w:val="24"/>
                <w:szCs w:val="24"/>
                <w:lang w:eastAsia="zh-CN"/>
              </w:rPr>
              <w:t>持有</w:t>
            </w:r>
            <w:r>
              <w:rPr>
                <w:rFonts w:hint="eastAsia" w:cs="Times New Roman" w:asciiTheme="minorEastAsia" w:hAnsiTheme="minorEastAsia"/>
                <w:bCs/>
                <w:sz w:val="24"/>
                <w:szCs w:val="24"/>
              </w:rPr>
              <w:t>祥源文旅</w:t>
            </w:r>
            <w:r>
              <w:rPr>
                <w:rFonts w:hint="eastAsia" w:cs="Times New Roman" w:asciiTheme="minorEastAsia" w:hAnsiTheme="minorEastAsia"/>
                <w:bCs/>
                <w:sz w:val="24"/>
                <w:szCs w:val="24"/>
                <w:lang w:val="en-US" w:eastAsia="zh-CN"/>
              </w:rPr>
              <w:t>58.08%股份</w:t>
            </w:r>
            <w:bookmarkStart w:id="0" w:name="_GoBack"/>
            <w:bookmarkEnd w:id="0"/>
            <w:r>
              <w:rPr>
                <w:rFonts w:hint="eastAsia" w:cs="Times New Roman" w:asciiTheme="minorEastAsia" w:hAnsiTheme="minorEastAsia"/>
                <w:bCs/>
                <w:sz w:val="24"/>
                <w:szCs w:val="24"/>
              </w:rPr>
              <w:t>。</w:t>
            </w:r>
            <w:r>
              <w:rPr>
                <w:rFonts w:cs="Times New Roman" w:asciiTheme="minorEastAsia" w:hAnsiTheme="minorEastAsia"/>
                <w:bCs/>
                <w:sz w:val="24"/>
                <w:szCs w:val="24"/>
              </w:rPr>
              <w:t>交易后，</w:t>
            </w:r>
            <w:r>
              <w:rPr>
                <w:rFonts w:hint="eastAsia" w:cs="Times New Roman" w:asciiTheme="minorEastAsia" w:hAnsiTheme="minorEastAsia"/>
                <w:bCs/>
                <w:sz w:val="24"/>
                <w:szCs w:val="24"/>
              </w:rPr>
              <w:t>浙江旅投持有</w:t>
            </w:r>
            <w:r>
              <w:rPr>
                <w:rFonts w:cs="Times New Roman" w:asciiTheme="minorEastAsia" w:hAnsiTheme="minorEastAsia"/>
                <w:bCs/>
                <w:sz w:val="24"/>
                <w:szCs w:val="24"/>
              </w:rPr>
              <w:t>祥源</w:t>
            </w:r>
            <w:r>
              <w:rPr>
                <w:rFonts w:hint="eastAsia" w:cs="Times New Roman" w:asciiTheme="minorEastAsia" w:hAnsiTheme="minorEastAsia"/>
                <w:bCs/>
                <w:sz w:val="24"/>
                <w:szCs w:val="24"/>
              </w:rPr>
              <w:t>文旅14.78%股份，自然人直接及间接通过祥源控股合计</w:t>
            </w:r>
            <w:r>
              <w:rPr>
                <w:rFonts w:hint="eastAsia" w:cs="Times New Roman" w:asciiTheme="minorEastAsia" w:hAnsiTheme="minorEastAsia"/>
                <w:bCs/>
                <w:sz w:val="24"/>
                <w:szCs w:val="24"/>
                <w:lang w:eastAsia="zh-CN"/>
              </w:rPr>
              <w:t>持有</w:t>
            </w:r>
            <w:r>
              <w:rPr>
                <w:rFonts w:hint="eastAsia" w:cs="Times New Roman" w:asciiTheme="minorEastAsia" w:hAnsiTheme="minorEastAsia"/>
                <w:bCs/>
                <w:sz w:val="24"/>
                <w:szCs w:val="24"/>
              </w:rPr>
              <w:t>祥源文旅48.07%股份</w:t>
            </w:r>
            <w:r>
              <w:rPr>
                <w:rFonts w:cs="Times New Roman" w:asciiTheme="minorEastAsia" w:hAnsiTheme="minorEastAsia"/>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1555" w:type="dxa"/>
            <w:vMerge w:val="restart"/>
            <w:shd w:val="clear" w:color="auto" w:fill="D9D9D9"/>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参与集中的经营者简介</w:t>
            </w:r>
          </w:p>
        </w:tc>
        <w:tc>
          <w:tcPr>
            <w:tcW w:w="2050" w:type="dxa"/>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1、</w:t>
            </w:r>
            <w:r>
              <w:rPr>
                <w:rFonts w:hint="eastAsia" w:cs="Times New Roman" w:asciiTheme="minorEastAsia" w:hAnsiTheme="minorEastAsia"/>
                <w:bCs/>
                <w:sz w:val="24"/>
                <w:szCs w:val="24"/>
              </w:rPr>
              <w:t>浙江旅投</w:t>
            </w:r>
          </w:p>
        </w:tc>
        <w:tc>
          <w:tcPr>
            <w:tcW w:w="5153" w:type="dxa"/>
            <w:vAlign w:val="center"/>
          </w:tcPr>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浙江旅投</w:t>
            </w:r>
            <w:r>
              <w:rPr>
                <w:rFonts w:cs="Times New Roman" w:asciiTheme="minorEastAsia" w:hAnsiTheme="minorEastAsia"/>
                <w:bCs/>
                <w:sz w:val="24"/>
                <w:szCs w:val="24"/>
              </w:rPr>
              <w:t>于</w:t>
            </w:r>
            <w:r>
              <w:rPr>
                <w:rFonts w:hint="eastAsia" w:cs="Times New Roman" w:asciiTheme="minorEastAsia" w:hAnsiTheme="minorEastAsia"/>
                <w:bCs/>
                <w:sz w:val="24"/>
                <w:szCs w:val="24"/>
              </w:rPr>
              <w:t>1999</w:t>
            </w:r>
            <w:r>
              <w:rPr>
                <w:rFonts w:cs="Times New Roman" w:asciiTheme="minorEastAsia" w:hAnsiTheme="minorEastAsia"/>
                <w:bCs/>
                <w:sz w:val="24"/>
                <w:szCs w:val="24"/>
              </w:rPr>
              <w:t>年</w:t>
            </w:r>
            <w:r>
              <w:rPr>
                <w:rFonts w:hint="eastAsia" w:cs="Times New Roman" w:asciiTheme="minorEastAsia" w:hAnsiTheme="minorEastAsia"/>
                <w:bCs/>
                <w:sz w:val="24"/>
                <w:szCs w:val="24"/>
              </w:rPr>
              <w:t>12</w:t>
            </w:r>
            <w:r>
              <w:rPr>
                <w:rFonts w:cs="Times New Roman" w:asciiTheme="minorEastAsia" w:hAnsiTheme="minorEastAsia"/>
                <w:bCs/>
                <w:sz w:val="24"/>
                <w:szCs w:val="24"/>
              </w:rPr>
              <w:t>月</w:t>
            </w:r>
            <w:r>
              <w:rPr>
                <w:rFonts w:hint="eastAsia" w:cs="Times New Roman" w:asciiTheme="minorEastAsia" w:hAnsiTheme="minorEastAsia"/>
                <w:bCs/>
                <w:sz w:val="24"/>
                <w:szCs w:val="24"/>
              </w:rPr>
              <w:t>28</w:t>
            </w:r>
            <w:r>
              <w:rPr>
                <w:rFonts w:cs="Times New Roman" w:asciiTheme="minorEastAsia" w:hAnsiTheme="minorEastAsia"/>
                <w:bCs/>
                <w:sz w:val="24"/>
                <w:szCs w:val="24"/>
              </w:rPr>
              <w:t>日成立于</w:t>
            </w:r>
            <w:r>
              <w:rPr>
                <w:rFonts w:hint="eastAsia" w:cs="Times New Roman" w:asciiTheme="minorEastAsia" w:hAnsiTheme="minorEastAsia"/>
                <w:bCs/>
                <w:sz w:val="24"/>
                <w:szCs w:val="24"/>
              </w:rPr>
              <w:t>浙江省杭州市，</w:t>
            </w:r>
            <w:r>
              <w:rPr>
                <w:rFonts w:cs="Times New Roman" w:asciiTheme="minorEastAsia" w:hAnsiTheme="minorEastAsia"/>
                <w:bCs/>
                <w:sz w:val="24"/>
                <w:szCs w:val="24"/>
              </w:rPr>
              <w:t>主要业务为酒店板块、旅游目的地开发与运营板块、商务与后勤服务板块、医疗健康板块、人力资源服务板块</w:t>
            </w:r>
            <w:r>
              <w:rPr>
                <w:rFonts w:hint="eastAsia" w:cs="Times New Roman" w:asciiTheme="minorEastAsia" w:hAnsiTheme="minorEastAsia"/>
                <w:bCs/>
                <w:sz w:val="24"/>
                <w:szCs w:val="24"/>
              </w:rPr>
              <w:t>业务。</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浙江旅投为</w:t>
            </w:r>
            <w:r>
              <w:rPr>
                <w:rFonts w:cs="Times New Roman" w:asciiTheme="minorEastAsia" w:hAnsiTheme="minorEastAsia"/>
                <w:bCs/>
                <w:sz w:val="24"/>
                <w:szCs w:val="24"/>
              </w:rPr>
              <w:t>浙江省人民政府国有资产监督管理委员会</w:t>
            </w:r>
            <w:r>
              <w:rPr>
                <w:rFonts w:hint="eastAsia" w:cs="Times New Roman" w:asciiTheme="minorEastAsia" w:hAnsiTheme="minorEastAsia"/>
                <w:bCs/>
                <w:sz w:val="24"/>
                <w:szCs w:val="24"/>
              </w:rPr>
              <w:t>下属企业。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555" w:type="dxa"/>
            <w:vMerge w:val="continue"/>
            <w:shd w:val="clear" w:color="auto" w:fill="D9D9D9"/>
            <w:vAlign w:val="center"/>
          </w:tcPr>
          <w:p>
            <w:pPr>
              <w:spacing w:after="0" w:line="240" w:lineRule="auto"/>
              <w:jc w:val="both"/>
              <w:rPr>
                <w:rFonts w:cs="Times New Roman" w:asciiTheme="minorEastAsia" w:hAnsiTheme="minorEastAsia"/>
                <w:bCs/>
                <w:sz w:val="24"/>
                <w:szCs w:val="24"/>
              </w:rPr>
            </w:pPr>
          </w:p>
        </w:tc>
        <w:tc>
          <w:tcPr>
            <w:tcW w:w="2050" w:type="dxa"/>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2、</w:t>
            </w:r>
            <w:r>
              <w:rPr>
                <w:rFonts w:hint="eastAsia" w:cs="Times New Roman" w:asciiTheme="minorEastAsia" w:hAnsiTheme="minorEastAsia"/>
                <w:bCs/>
                <w:sz w:val="24"/>
                <w:szCs w:val="24"/>
              </w:rPr>
              <w:t>祥源控股</w:t>
            </w:r>
          </w:p>
        </w:tc>
        <w:tc>
          <w:tcPr>
            <w:tcW w:w="5153" w:type="dxa"/>
            <w:vAlign w:val="center"/>
          </w:tcPr>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祥源控股</w:t>
            </w:r>
            <w:r>
              <w:rPr>
                <w:rFonts w:cs="Times New Roman" w:asciiTheme="minorEastAsia" w:hAnsiTheme="minorEastAsia"/>
                <w:bCs/>
                <w:sz w:val="24"/>
                <w:szCs w:val="24"/>
              </w:rPr>
              <w:t>于</w:t>
            </w:r>
            <w:r>
              <w:rPr>
                <w:rFonts w:hint="eastAsia" w:cs="Times New Roman" w:asciiTheme="minorEastAsia" w:hAnsiTheme="minorEastAsia"/>
                <w:bCs/>
                <w:sz w:val="24"/>
                <w:szCs w:val="24"/>
              </w:rPr>
              <w:t>2002</w:t>
            </w:r>
            <w:r>
              <w:rPr>
                <w:rFonts w:cs="Times New Roman" w:asciiTheme="minorEastAsia" w:hAnsiTheme="minorEastAsia"/>
                <w:bCs/>
                <w:sz w:val="24"/>
                <w:szCs w:val="24"/>
              </w:rPr>
              <w:t>年</w:t>
            </w:r>
            <w:r>
              <w:rPr>
                <w:rFonts w:hint="eastAsia" w:cs="Times New Roman" w:asciiTheme="minorEastAsia" w:hAnsiTheme="minorEastAsia"/>
                <w:bCs/>
                <w:sz w:val="24"/>
                <w:szCs w:val="24"/>
              </w:rPr>
              <w:t>4</w:t>
            </w:r>
            <w:r>
              <w:rPr>
                <w:rFonts w:cs="Times New Roman" w:asciiTheme="minorEastAsia" w:hAnsiTheme="minorEastAsia"/>
                <w:bCs/>
                <w:sz w:val="24"/>
                <w:szCs w:val="24"/>
              </w:rPr>
              <w:t>月</w:t>
            </w:r>
            <w:r>
              <w:rPr>
                <w:rFonts w:hint="eastAsia" w:cs="Times New Roman" w:asciiTheme="minorEastAsia" w:hAnsiTheme="minorEastAsia"/>
                <w:bCs/>
                <w:sz w:val="24"/>
                <w:szCs w:val="24"/>
              </w:rPr>
              <w:t>29</w:t>
            </w:r>
            <w:r>
              <w:rPr>
                <w:rFonts w:cs="Times New Roman" w:asciiTheme="minorEastAsia" w:hAnsiTheme="minorEastAsia"/>
                <w:bCs/>
                <w:sz w:val="24"/>
                <w:szCs w:val="24"/>
              </w:rPr>
              <w:t>日成立于</w:t>
            </w:r>
            <w:r>
              <w:rPr>
                <w:rFonts w:hint="eastAsia" w:cs="Times New Roman" w:asciiTheme="minorEastAsia" w:hAnsiTheme="minorEastAsia"/>
                <w:bCs/>
                <w:sz w:val="24"/>
                <w:szCs w:val="24"/>
              </w:rPr>
              <w:t>浙江省绍兴市</w:t>
            </w:r>
            <w:r>
              <w:rPr>
                <w:rFonts w:cs="Times New Roman" w:asciiTheme="minorEastAsia" w:hAnsiTheme="minorEastAsia"/>
                <w:bCs/>
                <w:sz w:val="24"/>
                <w:szCs w:val="24"/>
              </w:rPr>
              <w:t>，主要业务为</w:t>
            </w:r>
            <w:r>
              <w:rPr>
                <w:rFonts w:hint="eastAsia" w:cs="Times New Roman" w:asciiTheme="minorEastAsia" w:hAnsiTheme="minorEastAsia"/>
                <w:bCs/>
                <w:sz w:val="24"/>
                <w:szCs w:val="24"/>
              </w:rPr>
              <w:t>文化旅游投资与运营、基础设施建设、房地产开发与运营、商业运营管理、酒店与营地管理、股权投资等。</w:t>
            </w:r>
          </w:p>
          <w:p>
            <w:pPr>
              <w:spacing w:after="0" w:line="240" w:lineRule="auto"/>
              <w:jc w:val="both"/>
              <w:rPr>
                <w:rFonts w:cs="Times New Roman" w:asciiTheme="minorEastAsia" w:hAnsiTheme="minorEastAsia"/>
                <w:bCs/>
                <w:sz w:val="24"/>
                <w:szCs w:val="24"/>
              </w:rPr>
            </w:pPr>
            <w:r>
              <w:rPr>
                <w:rFonts w:hint="eastAsia" w:cs="Times New Roman" w:asciiTheme="minorEastAsia" w:hAnsiTheme="minorEastAsia"/>
                <w:bCs/>
                <w:sz w:val="24"/>
                <w:szCs w:val="24"/>
              </w:rPr>
              <w:t>祥源控股最终控制人为自然人，主要业务为文化旅游投资与运营、基础设施建设、房地产开发与运营、商业运营管理、酒店与营地管理、股权投资等。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555" w:type="dxa"/>
            <w:vMerge w:val="restart"/>
            <w:shd w:val="clear" w:color="auto" w:fill="D9D9D9"/>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简易案件理由（可以单选，也可以多选）</w:t>
            </w:r>
          </w:p>
        </w:tc>
        <w:tc>
          <w:tcPr>
            <w:tcW w:w="7203" w:type="dxa"/>
            <w:gridSpan w:val="2"/>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sym w:font="Wingdings" w:char="F0FE"/>
            </w:r>
            <w:r>
              <w:rPr>
                <w:rFonts w:cs="Times New Roman" w:asciiTheme="minorEastAsia" w:hAnsiTheme="minorEastAsia"/>
                <w:bCs/>
                <w:sz w:val="24"/>
                <w:szCs w:val="24"/>
              </w:rPr>
              <w:t xml:space="preserve"> 1、在同一相关市场，所有参与集中的经营者所占市场份额之和小于15%。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555" w:type="dxa"/>
            <w:vMerge w:val="continue"/>
            <w:shd w:val="clear" w:color="auto" w:fill="D9D9D9"/>
            <w:vAlign w:val="center"/>
          </w:tcPr>
          <w:p>
            <w:pPr>
              <w:spacing w:after="0" w:line="240" w:lineRule="auto"/>
              <w:jc w:val="both"/>
              <w:rPr>
                <w:rFonts w:cs="Times New Roman" w:asciiTheme="minorEastAsia" w:hAnsiTheme="minorEastAsia"/>
                <w:bCs/>
                <w:sz w:val="24"/>
                <w:szCs w:val="24"/>
              </w:rPr>
            </w:pPr>
          </w:p>
        </w:tc>
        <w:tc>
          <w:tcPr>
            <w:tcW w:w="7203" w:type="dxa"/>
            <w:gridSpan w:val="2"/>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sym w:font="Wingdings" w:char="F0FE"/>
            </w:r>
            <w:r>
              <w:rPr>
                <w:rFonts w:cs="Times New Roman" w:asciiTheme="minorEastAsia" w:hAnsiTheme="minorEastAsia"/>
                <w:bCs/>
                <w:sz w:val="24"/>
                <w:szCs w:val="24"/>
              </w:rPr>
              <w:t xml:space="preserve"> 2、存在上下游关系的参与集中的经营者，在上下游市场所占的市场份额均小于25%。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55" w:type="dxa"/>
            <w:vMerge w:val="continue"/>
            <w:shd w:val="clear" w:color="auto" w:fill="D9D9D9"/>
            <w:vAlign w:val="center"/>
          </w:tcPr>
          <w:p>
            <w:pPr>
              <w:spacing w:after="0" w:line="240" w:lineRule="auto"/>
              <w:jc w:val="both"/>
              <w:rPr>
                <w:rFonts w:cs="Times New Roman" w:asciiTheme="minorEastAsia" w:hAnsiTheme="minorEastAsia"/>
                <w:bCs/>
                <w:sz w:val="24"/>
                <w:szCs w:val="24"/>
              </w:rPr>
            </w:pPr>
          </w:p>
        </w:tc>
        <w:tc>
          <w:tcPr>
            <w:tcW w:w="7203" w:type="dxa"/>
            <w:gridSpan w:val="2"/>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sym w:font="Wingdings" w:char="F0A8"/>
            </w:r>
            <w:r>
              <w:rPr>
                <w:rFonts w:cs="Times New Roman" w:asciiTheme="minorEastAsia" w:hAnsiTheme="minorEastAsia"/>
                <w:bCs/>
                <w:sz w:val="24"/>
                <w:szCs w:val="24"/>
              </w:rPr>
              <w:t xml:space="preserve"> 3、不在同一相关市场、也不存在上下游关系的参与集中的经营者，在与交易有关的每个市场所占的份额均小于25%。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55" w:type="dxa"/>
            <w:vMerge w:val="continue"/>
            <w:shd w:val="clear" w:color="auto" w:fill="D9D9D9"/>
            <w:vAlign w:val="center"/>
          </w:tcPr>
          <w:p>
            <w:pPr>
              <w:spacing w:after="0" w:line="240" w:lineRule="auto"/>
              <w:jc w:val="both"/>
              <w:rPr>
                <w:rFonts w:cs="Times New Roman" w:asciiTheme="minorEastAsia" w:hAnsiTheme="minorEastAsia"/>
                <w:bCs/>
                <w:sz w:val="24"/>
                <w:szCs w:val="24"/>
              </w:rPr>
            </w:pPr>
          </w:p>
        </w:tc>
        <w:tc>
          <w:tcPr>
            <w:tcW w:w="7203" w:type="dxa"/>
            <w:gridSpan w:val="2"/>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sym w:font="Wingdings" w:char="F0A8"/>
            </w:r>
            <w:r>
              <w:rPr>
                <w:rFonts w:cs="Times New Roman" w:asciiTheme="minorEastAsia" w:hAnsiTheme="minorEastAsia"/>
                <w:bCs/>
                <w:sz w:val="24"/>
                <w:szCs w:val="24"/>
              </w:rPr>
              <w:t xml:space="preserve"> 4、参与集中的经营者在中国境外设立合营企业，合营企业不在中国境内从事经济活动。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555" w:type="dxa"/>
            <w:vMerge w:val="continue"/>
            <w:shd w:val="clear" w:color="auto" w:fill="D9D9D9"/>
            <w:vAlign w:val="center"/>
          </w:tcPr>
          <w:p>
            <w:pPr>
              <w:spacing w:after="0" w:line="240" w:lineRule="auto"/>
              <w:jc w:val="both"/>
              <w:rPr>
                <w:rFonts w:cs="Times New Roman" w:asciiTheme="minorEastAsia" w:hAnsiTheme="minorEastAsia"/>
                <w:bCs/>
                <w:sz w:val="24"/>
                <w:szCs w:val="24"/>
              </w:rPr>
            </w:pPr>
          </w:p>
        </w:tc>
        <w:tc>
          <w:tcPr>
            <w:tcW w:w="7203" w:type="dxa"/>
            <w:gridSpan w:val="2"/>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sym w:font="Wingdings" w:char="F0A8"/>
            </w:r>
            <w:r>
              <w:rPr>
                <w:rFonts w:cs="Times New Roman" w:asciiTheme="minorEastAsia" w:hAnsiTheme="minorEastAsia"/>
                <w:bCs/>
                <w:sz w:val="24"/>
                <w:szCs w:val="24"/>
              </w:rPr>
              <w:t xml:space="preserve"> 5、参与集中的经营者收购境外企业股权或资产的，该境外企业不在中国境内从事经济活动。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555" w:type="dxa"/>
            <w:vMerge w:val="continue"/>
            <w:shd w:val="clear" w:color="auto" w:fill="D9D9D9"/>
            <w:vAlign w:val="center"/>
          </w:tcPr>
          <w:p>
            <w:pPr>
              <w:spacing w:after="0" w:line="240" w:lineRule="auto"/>
              <w:jc w:val="both"/>
              <w:rPr>
                <w:rFonts w:cs="Times New Roman" w:asciiTheme="minorEastAsia" w:hAnsiTheme="minorEastAsia"/>
                <w:bCs/>
                <w:sz w:val="24"/>
                <w:szCs w:val="24"/>
              </w:rPr>
            </w:pPr>
          </w:p>
        </w:tc>
        <w:tc>
          <w:tcPr>
            <w:tcW w:w="7203" w:type="dxa"/>
            <w:gridSpan w:val="2"/>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sym w:font="Wingdings" w:char="F0A8"/>
            </w:r>
            <w:r>
              <w:rPr>
                <w:rFonts w:cs="Times New Roman" w:asciiTheme="minorEastAsia" w:hAnsiTheme="minorEastAsia"/>
                <w:bCs/>
                <w:sz w:val="24"/>
                <w:szCs w:val="24"/>
              </w:rPr>
              <w:t xml:space="preserve"> 6、由两个以上的经营者共同控制的合营企业，通过集中被其中一个或一个以上经营者控制。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9" w:hRule="atLeast"/>
        </w:trPr>
        <w:tc>
          <w:tcPr>
            <w:tcW w:w="1555" w:type="dxa"/>
            <w:shd w:val="clear" w:color="auto" w:fill="D9D9D9"/>
            <w:vAlign w:val="center"/>
          </w:tcPr>
          <w:p>
            <w:pPr>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备注</w:t>
            </w:r>
          </w:p>
        </w:tc>
        <w:tc>
          <w:tcPr>
            <w:tcW w:w="7203" w:type="dxa"/>
            <w:gridSpan w:val="2"/>
            <w:vAlign w:val="center"/>
          </w:tcPr>
          <w:p>
            <w:pPr>
              <w:spacing w:after="0" w:line="240" w:lineRule="auto"/>
              <w:rPr>
                <w:rFonts w:cs="Times New Roman" w:asciiTheme="minorEastAsia" w:hAnsiTheme="minorEastAsia"/>
                <w:b/>
                <w:sz w:val="24"/>
                <w:szCs w:val="24"/>
              </w:rPr>
            </w:pPr>
            <w:r>
              <w:rPr>
                <w:rFonts w:hint="eastAsia" w:cs="Times New Roman" w:asciiTheme="minorEastAsia" w:hAnsiTheme="minorEastAsia"/>
                <w:b/>
                <w:sz w:val="24"/>
                <w:szCs w:val="24"/>
              </w:rPr>
              <w:t>横向重叠：</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2025年中国境内出境组团旅游服务市场：</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浙江旅投：0-5%</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祥源控股：0-5%</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各方合计：0-5%</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2025年中国境内入境组团旅游服务市场：</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浙江旅投：0-5%</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祥源控股：0-5%</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各方合计：0-5%</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2025年中国境内国内组团旅游服务市场：</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浙江旅投：0-5%</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祥源控股：0-5%</w:t>
            </w:r>
          </w:p>
          <w:p>
            <w:pPr>
              <w:spacing w:after="0" w:line="240" w:lineRule="auto"/>
              <w:rPr>
                <w:rFonts w:hint="eastAsia" w:cs="Times New Roman" w:asciiTheme="minorEastAsia" w:hAnsiTheme="minorEastAsia"/>
                <w:bCs/>
                <w:sz w:val="24"/>
                <w:szCs w:val="24"/>
              </w:rPr>
            </w:pPr>
            <w:r>
              <w:rPr>
                <w:rFonts w:hint="eastAsia" w:cs="Times New Roman" w:asciiTheme="minorEastAsia" w:hAnsiTheme="minorEastAsia"/>
                <w:bCs/>
                <w:sz w:val="24"/>
                <w:szCs w:val="24"/>
              </w:rPr>
              <w:t>各方合计：0-5%</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2025年浙江省旅游景区运营市场：</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浙江旅投：0-5%</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祥源控股：0-5%</w:t>
            </w:r>
          </w:p>
          <w:p>
            <w:pPr>
              <w:spacing w:after="0" w:line="240" w:lineRule="auto"/>
              <w:rPr>
                <w:rFonts w:cs="Times New Roman" w:asciiTheme="minorEastAsia" w:hAnsiTheme="minorEastAsia"/>
                <w:bCs/>
                <w:sz w:val="24"/>
                <w:szCs w:val="24"/>
              </w:rPr>
            </w:pPr>
            <w:r>
              <w:rPr>
                <w:rFonts w:hint="eastAsia" w:cs="Times New Roman" w:asciiTheme="minorEastAsia" w:hAnsiTheme="minorEastAsia"/>
                <w:bCs/>
                <w:sz w:val="24"/>
                <w:szCs w:val="24"/>
              </w:rPr>
              <w:t>各方合计：0-5%</w:t>
            </w:r>
          </w:p>
          <w:p>
            <w:pPr>
              <w:spacing w:after="0" w:line="240" w:lineRule="auto"/>
              <w:rPr>
                <w:rFonts w:cs="Times New Roman" w:asciiTheme="minorEastAsia" w:hAnsiTheme="minorEastAsia"/>
                <w:b/>
                <w:sz w:val="24"/>
                <w:szCs w:val="24"/>
              </w:rPr>
            </w:pPr>
            <w:r>
              <w:rPr>
                <w:rFonts w:hint="eastAsia" w:cs="Times New Roman" w:asciiTheme="minorEastAsia" w:hAnsiTheme="minorEastAsia"/>
                <w:b/>
                <w:sz w:val="24"/>
                <w:szCs w:val="24"/>
              </w:rPr>
              <w:t>纵向关联：</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6"/>
              <w:gridCol w:w="1945"/>
              <w:gridCol w:w="2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center"/>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相关商品市场</w:t>
                  </w:r>
                </w:p>
              </w:tc>
              <w:tc>
                <w:tcPr>
                  <w:tcW w:w="1945" w:type="dxa"/>
                  <w:vAlign w:val="center"/>
                </w:tcPr>
                <w:p>
                  <w:pPr>
                    <w:adjustRightInd w:val="0"/>
                    <w:snapToGrid w:val="0"/>
                    <w:spacing w:after="0" w:line="240" w:lineRule="auto"/>
                    <w:jc w:val="center"/>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相关地域市场</w:t>
                  </w:r>
                </w:p>
              </w:tc>
              <w:tc>
                <w:tcPr>
                  <w:tcW w:w="2592" w:type="dxa"/>
                  <w:vAlign w:val="center"/>
                </w:tcPr>
                <w:p>
                  <w:pPr>
                    <w:adjustRightInd w:val="0"/>
                    <w:snapToGrid w:val="0"/>
                    <w:spacing w:after="0" w:line="240" w:lineRule="auto"/>
                    <w:jc w:val="center"/>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202</w:t>
                  </w:r>
                  <w:r>
                    <w:rPr>
                      <w:rFonts w:hint="eastAsia" w:cs="Times New Roman" w:asciiTheme="minorEastAsia" w:hAnsiTheme="minorEastAsia"/>
                      <w:bCs/>
                      <w:color w:val="000000"/>
                      <w:sz w:val="24"/>
                      <w:szCs w:val="24"/>
                      <w:lang w:bidi="ar-AE"/>
                    </w:rPr>
                    <w:t>5</w:t>
                  </w:r>
                  <w:r>
                    <w:rPr>
                      <w:rFonts w:cs="Times New Roman" w:asciiTheme="minorEastAsia" w:hAnsiTheme="minorEastAsia"/>
                      <w:bCs/>
                      <w:color w:val="000000"/>
                      <w:sz w:val="24"/>
                      <w:szCs w:val="24"/>
                      <w:lang w:bidi="ar-AE"/>
                    </w:rPr>
                    <w:t>年市场份额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hint="eastAsia"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上游：湖南省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上游：湖南省</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上游：湖南省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上游：湖南省</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安徽</w:t>
                  </w:r>
                  <w:r>
                    <w:rPr>
                      <w:rFonts w:cs="Times New Roman" w:asciiTheme="minorEastAsia" w:hAnsiTheme="minorEastAsia"/>
                      <w:bCs/>
                      <w:color w:val="000000"/>
                      <w:sz w:val="24"/>
                      <w:szCs w:val="24"/>
                      <w:lang w:bidi="ar-AE"/>
                    </w:rPr>
                    <w:t>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安徽</w:t>
                  </w:r>
                  <w:r>
                    <w:rPr>
                      <w:rFonts w:cs="Times New Roman" w:asciiTheme="minorEastAsia" w:hAnsiTheme="minorEastAsia"/>
                      <w:bCs/>
                      <w:color w:val="000000"/>
                      <w:sz w:val="24"/>
                      <w:szCs w:val="24"/>
                      <w:lang w:bidi="ar-AE"/>
                    </w:rPr>
                    <w:t>省</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安徽</w:t>
                  </w:r>
                  <w:r>
                    <w:rPr>
                      <w:rFonts w:cs="Times New Roman" w:asciiTheme="minorEastAsia" w:hAnsiTheme="minorEastAsia"/>
                      <w:bCs/>
                      <w:color w:val="000000"/>
                      <w:sz w:val="24"/>
                      <w:szCs w:val="24"/>
                      <w:lang w:bidi="ar-AE"/>
                    </w:rPr>
                    <w:t>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安徽</w:t>
                  </w:r>
                  <w:r>
                    <w:rPr>
                      <w:rFonts w:cs="Times New Roman" w:asciiTheme="minorEastAsia" w:hAnsiTheme="minorEastAsia"/>
                      <w:bCs/>
                      <w:color w:val="000000"/>
                      <w:sz w:val="24"/>
                      <w:szCs w:val="24"/>
                      <w:lang w:bidi="ar-AE"/>
                    </w:rPr>
                    <w:t>省</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四川省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四川</w:t>
                  </w:r>
                  <w:r>
                    <w:rPr>
                      <w:rFonts w:cs="Times New Roman" w:asciiTheme="minorEastAsia" w:hAnsiTheme="minorEastAsia"/>
                      <w:bCs/>
                      <w:color w:val="000000"/>
                      <w:sz w:val="24"/>
                      <w:szCs w:val="24"/>
                      <w:lang w:bidi="ar-AE"/>
                    </w:rPr>
                    <w:t>省</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四川省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四川</w:t>
                  </w:r>
                  <w:r>
                    <w:rPr>
                      <w:rFonts w:cs="Times New Roman" w:asciiTheme="minorEastAsia" w:hAnsiTheme="minorEastAsia"/>
                      <w:bCs/>
                      <w:color w:val="000000"/>
                      <w:sz w:val="24"/>
                      <w:szCs w:val="24"/>
                      <w:lang w:bidi="ar-AE"/>
                    </w:rPr>
                    <w:t>省</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广东</w:t>
                  </w:r>
                  <w:r>
                    <w:rPr>
                      <w:rFonts w:cs="Times New Roman" w:asciiTheme="minorEastAsia" w:hAnsiTheme="minorEastAsia"/>
                      <w:bCs/>
                      <w:color w:val="000000"/>
                      <w:sz w:val="24"/>
                      <w:szCs w:val="24"/>
                      <w:lang w:bidi="ar-AE"/>
                    </w:rPr>
                    <w:t>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广东</w:t>
                  </w:r>
                  <w:r>
                    <w:rPr>
                      <w:rFonts w:cs="Times New Roman" w:asciiTheme="minorEastAsia" w:hAnsiTheme="minorEastAsia"/>
                      <w:bCs/>
                      <w:color w:val="000000"/>
                      <w:sz w:val="24"/>
                      <w:szCs w:val="24"/>
                      <w:lang w:bidi="ar-AE"/>
                    </w:rPr>
                    <w:t>省</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广东</w:t>
                  </w:r>
                  <w:r>
                    <w:rPr>
                      <w:rFonts w:cs="Times New Roman" w:asciiTheme="minorEastAsia" w:hAnsiTheme="minorEastAsia"/>
                      <w:bCs/>
                      <w:color w:val="000000"/>
                      <w:sz w:val="24"/>
                      <w:szCs w:val="24"/>
                      <w:lang w:bidi="ar-AE"/>
                    </w:rPr>
                    <w:t>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广东</w:t>
                  </w:r>
                  <w:r>
                    <w:rPr>
                      <w:rFonts w:cs="Times New Roman" w:asciiTheme="minorEastAsia" w:hAnsiTheme="minorEastAsia"/>
                      <w:bCs/>
                      <w:color w:val="000000"/>
                      <w:sz w:val="24"/>
                      <w:szCs w:val="24"/>
                      <w:lang w:bidi="ar-AE"/>
                    </w:rPr>
                    <w:t>省</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广西壮族自治区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广西壮族自治区</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广西壮族自治区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广西壮族自治区</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浙江省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浙江省旅游景区</w:t>
                  </w:r>
                  <w:r>
                    <w:rPr>
                      <w:rFonts w:hint="eastAsia" w:cs="Times New Roman" w:asciiTheme="minorEastAsia" w:hAnsiTheme="minorEastAsia"/>
                      <w:bCs/>
                      <w:sz w:val="24"/>
                      <w:szCs w:val="24"/>
                    </w:rPr>
                    <w:t>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浙江省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浙江省旅游景区</w:t>
                  </w:r>
                  <w:r>
                    <w:rPr>
                      <w:rFonts w:hint="eastAsia" w:cs="Times New Roman" w:asciiTheme="minorEastAsia" w:hAnsiTheme="minorEastAsia"/>
                      <w:bCs/>
                      <w:sz w:val="24"/>
                      <w:szCs w:val="24"/>
                    </w:rPr>
                    <w:t>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河北省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河北省旅游景区</w:t>
                  </w:r>
                  <w:r>
                    <w:rPr>
                      <w:rFonts w:hint="eastAsia" w:cs="Times New Roman" w:asciiTheme="minorEastAsia" w:hAnsiTheme="minorEastAsia"/>
                      <w:bCs/>
                      <w:sz w:val="24"/>
                      <w:szCs w:val="24"/>
                    </w:rPr>
                    <w:t>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旅游景区运营市场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河北省</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河北省旅游景区</w:t>
                  </w:r>
                  <w:r>
                    <w:rPr>
                      <w:rFonts w:hint="eastAsia" w:cs="Times New Roman" w:asciiTheme="minorEastAsia" w:hAnsiTheme="minorEastAsia"/>
                      <w:bCs/>
                      <w:sz w:val="24"/>
                      <w:szCs w:val="24"/>
                    </w:rPr>
                    <w:t>运营市场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黄山市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黄山市</w:t>
                  </w:r>
                  <w:r>
                    <w:rPr>
                      <w:rFonts w:cs="Times New Roman" w:asciiTheme="minorEastAsia" w:hAnsiTheme="minorEastAsia"/>
                      <w:bCs/>
                      <w:sz w:val="24"/>
                      <w:szCs w:val="24"/>
                    </w:rPr>
                    <w:t>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黄山市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黄山市</w:t>
                  </w:r>
                  <w:r>
                    <w:rPr>
                      <w:rFonts w:cs="Times New Roman" w:asciiTheme="minorEastAsia" w:hAnsiTheme="minorEastAsia"/>
                      <w:bCs/>
                      <w:sz w:val="24"/>
                      <w:szCs w:val="24"/>
                    </w:rPr>
                    <w:t>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杭州市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杭州市</w:t>
                  </w:r>
                  <w:r>
                    <w:rPr>
                      <w:rFonts w:cs="Times New Roman" w:asciiTheme="minorEastAsia" w:hAnsiTheme="minorEastAsia"/>
                      <w:bCs/>
                      <w:sz w:val="24"/>
                      <w:szCs w:val="24"/>
                    </w:rPr>
                    <w:t>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杭州市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杭州市</w:t>
                  </w:r>
                  <w:r>
                    <w:rPr>
                      <w:rFonts w:cs="Times New Roman" w:asciiTheme="minorEastAsia" w:hAnsiTheme="minorEastAsia"/>
                      <w:bCs/>
                      <w:sz w:val="24"/>
                      <w:szCs w:val="24"/>
                    </w:rPr>
                    <w:t>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嘉兴市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嘉兴市</w:t>
                  </w:r>
                  <w:r>
                    <w:rPr>
                      <w:rFonts w:cs="Times New Roman" w:asciiTheme="minorEastAsia" w:hAnsiTheme="minorEastAsia"/>
                      <w:bCs/>
                      <w:sz w:val="24"/>
                      <w:szCs w:val="24"/>
                    </w:rPr>
                    <w:t>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嘉兴市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嘉兴市</w:t>
                  </w:r>
                  <w:r>
                    <w:rPr>
                      <w:rFonts w:cs="Times New Roman" w:asciiTheme="minorEastAsia" w:hAnsiTheme="minorEastAsia"/>
                      <w:bCs/>
                      <w:sz w:val="24"/>
                      <w:szCs w:val="24"/>
                    </w:rPr>
                    <w:t>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厦门市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厦门市</w:t>
                  </w:r>
                  <w:r>
                    <w:rPr>
                      <w:rFonts w:cs="Times New Roman" w:asciiTheme="minorEastAsia" w:hAnsiTheme="minorEastAsia"/>
                      <w:bCs/>
                      <w:sz w:val="24"/>
                      <w:szCs w:val="24"/>
                    </w:rPr>
                    <w:t>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厦门市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厦门市</w:t>
                  </w:r>
                  <w:r>
                    <w:rPr>
                      <w:rFonts w:cs="Times New Roman" w:asciiTheme="minorEastAsia" w:hAnsiTheme="minorEastAsia"/>
                      <w:bCs/>
                      <w:sz w:val="24"/>
                      <w:szCs w:val="24"/>
                    </w:rPr>
                    <w:t>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上海市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上海市</w:t>
                  </w:r>
                  <w:r>
                    <w:rPr>
                      <w:rFonts w:cs="Times New Roman" w:asciiTheme="minorEastAsia" w:hAnsiTheme="minorEastAsia"/>
                      <w:bCs/>
                      <w:sz w:val="24"/>
                      <w:szCs w:val="24"/>
                    </w:rPr>
                    <w:t>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上海市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上海市</w:t>
                  </w:r>
                  <w:r>
                    <w:rPr>
                      <w:rFonts w:cs="Times New Roman" w:asciiTheme="minorEastAsia" w:hAnsiTheme="minorEastAsia"/>
                      <w:bCs/>
                      <w:sz w:val="24"/>
                      <w:szCs w:val="24"/>
                    </w:rPr>
                    <w:t>五星级/豪华型酒店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黄山市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黄山市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入境组团旅游服务市场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黄山市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黄山市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雅安市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雅安市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雅安市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雅安市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hint="eastAsia" w:cs="Times New Roman" w:asciiTheme="minorEastAsia" w:hAnsiTheme="minorEastAsia"/>
                      <w:bCs/>
                      <w:color w:val="000000"/>
                      <w:sz w:val="24"/>
                      <w:szCs w:val="24"/>
                      <w:lang w:bidi="ar-AE"/>
                    </w:rPr>
                    <w:t>：</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杭州市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杭州市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杭州市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杭州市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金华市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金华市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金华市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金华市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台州市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台州市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台州市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台州市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广州市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广州市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w:t>
                  </w:r>
                  <w:r>
                    <w:rPr>
                      <w:rFonts w:hint="eastAsia" w:cs="Times New Roman" w:asciiTheme="minorEastAsia" w:hAnsiTheme="minorEastAsia"/>
                      <w:bCs/>
                      <w:sz w:val="24"/>
                      <w:szCs w:val="24"/>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广州市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广州市</w:t>
                  </w:r>
                  <w:r>
                    <w:rPr>
                      <w:rFonts w:cs="Times New Roman" w:asciiTheme="minorEastAsia" w:hAnsiTheme="minorEastAsia"/>
                      <w:bCs/>
                      <w:sz w:val="24"/>
                      <w:szCs w:val="24"/>
                    </w:rPr>
                    <w:t>四星级/高档型酒店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浙江旅投</w:t>
                  </w:r>
                  <w:r>
                    <w:rPr>
                      <w:rFonts w:hint="eastAsia" w:cs="Times New Roman" w:asciiTheme="minorEastAsia" w:hAnsiTheme="minorEastAsia"/>
                      <w:bCs/>
                      <w:color w:val="000000"/>
                      <w:sz w:val="24"/>
                      <w:szCs w:val="24"/>
                      <w:lang w:bidi="ar-AE"/>
                    </w:rPr>
                    <w:t>：如上所述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上游：三星级/舒适型酒店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北京市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北京市</w:t>
                  </w:r>
                  <w:r>
                    <w:rPr>
                      <w:rFonts w:cs="Times New Roman" w:asciiTheme="minorEastAsia" w:hAnsiTheme="minorEastAsia"/>
                      <w:bCs/>
                      <w:color w:val="000000"/>
                      <w:sz w:val="24"/>
                      <w:szCs w:val="24"/>
                      <w:lang w:bidi="ar-AE"/>
                    </w:rPr>
                    <w:t>三星级/舒适型酒店</w:t>
                  </w:r>
                  <w:r>
                    <w:rPr>
                      <w:rFonts w:hint="eastAsia" w:cs="Times New Roman" w:asciiTheme="minorEastAsia" w:hAnsiTheme="minorEastAsia"/>
                      <w:bCs/>
                      <w:color w:val="000000"/>
                      <w:sz w:val="24"/>
                      <w:szCs w:val="24"/>
                      <w:lang w:bidi="ar-AE"/>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上游：三星级/舒适型酒店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北京市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北京市</w:t>
                  </w:r>
                  <w:r>
                    <w:rPr>
                      <w:rFonts w:cs="Times New Roman" w:asciiTheme="minorEastAsia" w:hAnsiTheme="minorEastAsia"/>
                      <w:bCs/>
                      <w:color w:val="000000"/>
                      <w:sz w:val="24"/>
                      <w:szCs w:val="24"/>
                      <w:lang w:bidi="ar-AE"/>
                    </w:rPr>
                    <w:t>三星级/舒适型酒店</w:t>
                  </w:r>
                  <w:r>
                    <w:rPr>
                      <w:rFonts w:hint="eastAsia" w:cs="Times New Roman" w:asciiTheme="minorEastAsia" w:hAnsiTheme="minorEastAsia"/>
                      <w:bCs/>
                      <w:color w:val="000000"/>
                      <w:sz w:val="24"/>
                      <w:szCs w:val="24"/>
                      <w:lang w:bidi="ar-AE"/>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w:t>
                  </w:r>
                  <w:r>
                    <w:rPr>
                      <w:rFonts w:hint="eastAsia" w:cs="Times New Roman" w:asciiTheme="minorEastAsia" w:hAnsiTheme="minorEastAsia"/>
                      <w:bCs/>
                      <w:color w:val="000000"/>
                      <w:sz w:val="24"/>
                      <w:szCs w:val="24"/>
                      <w:lang w:bidi="ar-AE"/>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上游：三星级/舒适型酒店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舟山市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舟山市</w:t>
                  </w:r>
                  <w:r>
                    <w:rPr>
                      <w:rFonts w:cs="Times New Roman" w:asciiTheme="minorEastAsia" w:hAnsiTheme="minorEastAsia"/>
                      <w:bCs/>
                      <w:color w:val="000000"/>
                      <w:sz w:val="24"/>
                      <w:szCs w:val="24"/>
                      <w:lang w:bidi="ar-AE"/>
                    </w:rPr>
                    <w:t>三星级/舒适型酒店</w:t>
                  </w:r>
                  <w:r>
                    <w:rPr>
                      <w:rFonts w:hint="eastAsia" w:cs="Times New Roman" w:asciiTheme="minorEastAsia" w:hAnsiTheme="minorEastAsia"/>
                      <w:bCs/>
                      <w:color w:val="000000"/>
                      <w:sz w:val="24"/>
                      <w:szCs w:val="24"/>
                      <w:lang w:bidi="ar-AE"/>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color w:val="000000"/>
                      <w:sz w:val="24"/>
                      <w:szCs w:val="24"/>
                      <w:lang w:bidi="ar-AE"/>
                    </w:rPr>
                    <w:t>入境组团旅游服务市场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上游：三星级/舒适型酒店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舟山市</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上游：</w:t>
                  </w:r>
                  <w:r>
                    <w:rPr>
                      <w:rFonts w:hint="eastAsia" w:cs="Times New Roman" w:asciiTheme="minorEastAsia" w:hAnsiTheme="minorEastAsia"/>
                      <w:bCs/>
                      <w:color w:val="000000"/>
                      <w:sz w:val="24"/>
                      <w:szCs w:val="24"/>
                      <w:lang w:bidi="ar-AE"/>
                    </w:rPr>
                    <w:t>舟山市</w:t>
                  </w:r>
                  <w:r>
                    <w:rPr>
                      <w:rFonts w:cs="Times New Roman" w:asciiTheme="minorEastAsia" w:hAnsiTheme="minorEastAsia"/>
                      <w:bCs/>
                      <w:color w:val="000000"/>
                      <w:sz w:val="24"/>
                      <w:szCs w:val="24"/>
                      <w:lang w:bidi="ar-AE"/>
                    </w:rPr>
                    <w:t>三星级/舒适型酒店</w:t>
                  </w:r>
                  <w:r>
                    <w:rPr>
                      <w:rFonts w:hint="eastAsia" w:cs="Times New Roman" w:asciiTheme="minorEastAsia" w:hAnsiTheme="minorEastAsia"/>
                      <w:bCs/>
                      <w:color w:val="000000"/>
                      <w:sz w:val="24"/>
                      <w:szCs w:val="24"/>
                      <w:lang w:bidi="ar-AE"/>
                    </w:rPr>
                    <w:t>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w:t>
                  </w:r>
                  <w:r>
                    <w:rPr>
                      <w:rFonts w:hint="eastAsia" w:cs="Times New Roman" w:asciiTheme="minorEastAsia" w:hAnsiTheme="minorEastAsia"/>
                      <w:bCs/>
                      <w:sz w:val="24"/>
                      <w:szCs w:val="24"/>
                    </w:rPr>
                    <w:t>0-5%</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cs="Times New Roman" w:asciiTheme="minorEastAsia" w:hAnsiTheme="minorEastAsia"/>
                      <w:bCs/>
                      <w:color w:val="000000"/>
                      <w:sz w:val="24"/>
                      <w:szCs w:val="24"/>
                      <w:lang w:bidi="ar-AE"/>
                    </w:rPr>
                    <w:t>下游：中国境内</w:t>
                  </w:r>
                  <w:r>
                    <w:rPr>
                      <w:rFonts w:hint="eastAsia" w:cs="Times New Roman" w:asciiTheme="minorEastAsia" w:hAnsiTheme="minorEastAsia"/>
                      <w:bCs/>
                      <w:sz w:val="24"/>
                      <w:szCs w:val="24"/>
                    </w:rPr>
                    <w:t>国内</w:t>
                  </w:r>
                  <w:r>
                    <w:rPr>
                      <w:rFonts w:hint="eastAsia" w:cs="Times New Roman" w:asciiTheme="minorEastAsia" w:hAnsiTheme="minorEastAsia"/>
                      <w:bCs/>
                      <w:color w:val="000000"/>
                      <w:sz w:val="24"/>
                      <w:szCs w:val="24"/>
                      <w:lang w:bidi="ar-AE"/>
                    </w:rPr>
                    <w:t>组团旅游服务市场</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color w:val="000000"/>
                      <w:sz w:val="24"/>
                      <w:szCs w:val="24"/>
                      <w:lang w:bidi="ar-AE"/>
                    </w:rPr>
                    <w:t>浙江旅投：如上所述</w:t>
                  </w:r>
                </w:p>
                <w:p>
                  <w:pPr>
                    <w:adjustRightInd w:val="0"/>
                    <w:snapToGrid w:val="0"/>
                    <w:spacing w:after="0" w:line="240" w:lineRule="auto"/>
                    <w:jc w:val="both"/>
                    <w:rPr>
                      <w:rFonts w:cs="Times New Roman" w:asciiTheme="minorEastAsia" w:hAnsiTheme="minorEastAsia"/>
                      <w:bCs/>
                      <w:color w:val="000000"/>
                      <w:sz w:val="24"/>
                      <w:szCs w:val="24"/>
                      <w:lang w:bidi="ar-AE"/>
                    </w:rPr>
                  </w:pPr>
                  <w:r>
                    <w:rPr>
                      <w:rFonts w:hint="eastAsia" w:cs="Times New Roman" w:asciiTheme="minorEastAsia" w:hAnsiTheme="minorEastAsia"/>
                      <w:bCs/>
                      <w:sz w:val="24"/>
                      <w:szCs w:val="24"/>
                    </w:rPr>
                    <w:t>祥源控股</w:t>
                  </w:r>
                  <w:r>
                    <w:rPr>
                      <w:rFonts w:cs="Times New Roman" w:asciiTheme="minorEastAsia" w:hAnsiTheme="minorEastAsia"/>
                      <w:bCs/>
                      <w:color w:val="000000"/>
                      <w:sz w:val="24"/>
                      <w:szCs w:val="24"/>
                      <w:lang w:bidi="ar-AE"/>
                    </w:rPr>
                    <w:t>：</w:t>
                  </w:r>
                  <w:r>
                    <w:rPr>
                      <w:rFonts w:hint="eastAsia" w:cs="Times New Roman" w:asciiTheme="minorEastAsia" w:hAnsiTheme="minorEastAsia"/>
                      <w:bCs/>
                      <w:color w:val="000000"/>
                      <w:sz w:val="24"/>
                      <w:szCs w:val="24"/>
                      <w:lang w:bidi="ar-AE"/>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上游：二星级及以下/经济型酒店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入境组团旅游服务市场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杭州市</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杭州市</w:t>
                  </w:r>
                  <w:r>
                    <w:rPr>
                      <w:rFonts w:cs="Times New Roman" w:asciiTheme="minorEastAsia" w:hAnsiTheme="minorEastAsia"/>
                      <w:bCs/>
                      <w:sz w:val="24"/>
                      <w:szCs w:val="24"/>
                    </w:rPr>
                    <w:t>二星级及以下/经济型酒店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hint="eastAsia" w:cs="Times New Roman" w:asciiTheme="minorEastAsia" w:hAnsiTheme="minorEastAsia"/>
                      <w:bCs/>
                      <w:sz w:val="24"/>
                      <w:szCs w:val="24"/>
                    </w:rPr>
                    <w:t>浙江旅投：0-5%</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下游：中国境内</w:t>
                  </w:r>
                  <w:r>
                    <w:rPr>
                      <w:rFonts w:hint="eastAsia" w:cs="Times New Roman" w:asciiTheme="minorEastAsia" w:hAnsiTheme="minorEastAsia"/>
                      <w:bCs/>
                      <w:sz w:val="24"/>
                      <w:szCs w:val="24"/>
                    </w:rPr>
                    <w:t>入境组团旅游服务市场</w:t>
                  </w:r>
                </w:p>
                <w:p>
                  <w:pPr>
                    <w:adjustRightInd w:val="0"/>
                    <w:snapToGrid w:val="0"/>
                    <w:spacing w:after="0" w:line="240" w:lineRule="auto"/>
                    <w:jc w:val="both"/>
                    <w:rPr>
                      <w:rFonts w:cs="Times New Roman" w:asciiTheme="minorEastAsia" w:hAnsiTheme="minorEastAsia"/>
                      <w:bCs/>
                      <w:sz w:val="24"/>
                      <w:szCs w:val="24"/>
                    </w:rPr>
                  </w:pPr>
                  <w:r>
                    <w:rPr>
                      <w:rFonts w:hint="eastAsia" w:cs="Times New Roman" w:asciiTheme="minorEastAsia" w:hAnsiTheme="minorEastAsia"/>
                      <w:bCs/>
                      <w:sz w:val="24"/>
                      <w:szCs w:val="24"/>
                    </w:rPr>
                    <w:t>浙江旅投：如上所述</w:t>
                  </w:r>
                </w:p>
                <w:p>
                  <w:pPr>
                    <w:adjustRightInd w:val="0"/>
                    <w:snapToGrid w:val="0"/>
                    <w:spacing w:after="0" w:line="240" w:lineRule="auto"/>
                    <w:jc w:val="both"/>
                    <w:rPr>
                      <w:rFonts w:cs="Times New Roman" w:asciiTheme="minorEastAsia" w:hAnsiTheme="minorEastAsia"/>
                      <w:bCs/>
                      <w:sz w:val="24"/>
                      <w:szCs w:val="24"/>
                    </w:rPr>
                  </w:pPr>
                  <w:r>
                    <w:rPr>
                      <w:rFonts w:hint="eastAsia" w:cs="Times New Roman" w:asciiTheme="minorEastAsia" w:hAnsiTheme="minorEastAsia"/>
                      <w:bCs/>
                      <w:sz w:val="24"/>
                      <w:szCs w:val="24"/>
                    </w:rPr>
                    <w:t>祥源控股</w:t>
                  </w:r>
                  <w:r>
                    <w:rPr>
                      <w:rFonts w:cs="Times New Roman" w:asciiTheme="minorEastAsia" w:hAnsiTheme="minorEastAsia"/>
                      <w:bCs/>
                      <w:sz w:val="24"/>
                      <w:szCs w:val="24"/>
                    </w:rPr>
                    <w:t>：</w:t>
                  </w:r>
                  <w:r>
                    <w:rPr>
                      <w:rFonts w:hint="eastAsia" w:cs="Times New Roman" w:asciiTheme="minorEastAsia" w:hAnsiTheme="minorEastAsia"/>
                      <w:bCs/>
                      <w:sz w:val="24"/>
                      <w:szCs w:val="24"/>
                    </w:rPr>
                    <w:t>如上所述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6"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上游：二星级及以下/经济型酒店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w:t>
                  </w:r>
                  <w:r>
                    <w:rPr>
                      <w:rFonts w:hint="eastAsia" w:cs="Times New Roman" w:asciiTheme="minorEastAsia" w:hAnsiTheme="minorEastAsia"/>
                      <w:bCs/>
                      <w:sz w:val="24"/>
                      <w:szCs w:val="24"/>
                    </w:rPr>
                    <w:t>国内组团旅游服务市场</w:t>
                  </w:r>
                </w:p>
              </w:tc>
              <w:tc>
                <w:tcPr>
                  <w:tcW w:w="1945"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杭州市</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下游：中国境内</w:t>
                  </w:r>
                </w:p>
              </w:tc>
              <w:tc>
                <w:tcPr>
                  <w:tcW w:w="2592" w:type="dxa"/>
                  <w:vAlign w:val="center"/>
                </w:tcPr>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上游：</w:t>
                  </w:r>
                  <w:r>
                    <w:rPr>
                      <w:rFonts w:hint="eastAsia" w:cs="Times New Roman" w:asciiTheme="minorEastAsia" w:hAnsiTheme="minorEastAsia"/>
                      <w:bCs/>
                      <w:sz w:val="24"/>
                      <w:szCs w:val="24"/>
                    </w:rPr>
                    <w:t>杭州市</w:t>
                  </w:r>
                  <w:r>
                    <w:rPr>
                      <w:rFonts w:cs="Times New Roman" w:asciiTheme="minorEastAsia" w:hAnsiTheme="minorEastAsia"/>
                      <w:bCs/>
                      <w:sz w:val="24"/>
                      <w:szCs w:val="24"/>
                    </w:rPr>
                    <w:t>二星级及以下/经济型酒店</w:t>
                  </w:r>
                  <w:r>
                    <w:rPr>
                      <w:rFonts w:hint="eastAsia" w:cs="Times New Roman" w:asciiTheme="minorEastAsia" w:hAnsiTheme="minorEastAsia"/>
                      <w:bCs/>
                      <w:sz w:val="24"/>
                      <w:szCs w:val="24"/>
                    </w:rPr>
                    <w:t>市场</w:t>
                  </w:r>
                </w:p>
                <w:p>
                  <w:pPr>
                    <w:adjustRightInd w:val="0"/>
                    <w:snapToGrid w:val="0"/>
                    <w:spacing w:after="0" w:line="240" w:lineRule="auto"/>
                    <w:jc w:val="both"/>
                    <w:rPr>
                      <w:rFonts w:cs="Times New Roman" w:asciiTheme="minorEastAsia" w:hAnsiTheme="minorEastAsia"/>
                      <w:bCs/>
                      <w:sz w:val="24"/>
                      <w:szCs w:val="24"/>
                    </w:rPr>
                  </w:pPr>
                  <w:r>
                    <w:rPr>
                      <w:rFonts w:hint="eastAsia" w:cs="Times New Roman" w:asciiTheme="minorEastAsia" w:hAnsiTheme="minorEastAsia"/>
                      <w:bCs/>
                      <w:sz w:val="24"/>
                      <w:szCs w:val="24"/>
                    </w:rPr>
                    <w:t>浙江旅投：0-5%</w:t>
                  </w:r>
                </w:p>
                <w:p>
                  <w:pPr>
                    <w:adjustRightInd w:val="0"/>
                    <w:snapToGrid w:val="0"/>
                    <w:spacing w:after="0" w:line="240" w:lineRule="auto"/>
                    <w:jc w:val="both"/>
                    <w:rPr>
                      <w:rFonts w:cs="Times New Roman" w:asciiTheme="minorEastAsia" w:hAnsiTheme="minorEastAsia"/>
                      <w:bCs/>
                      <w:sz w:val="24"/>
                      <w:szCs w:val="24"/>
                    </w:rPr>
                  </w:pPr>
                  <w:r>
                    <w:rPr>
                      <w:rFonts w:cs="Times New Roman" w:asciiTheme="minorEastAsia" w:hAnsiTheme="minorEastAsia"/>
                      <w:bCs/>
                      <w:sz w:val="24"/>
                      <w:szCs w:val="24"/>
                    </w:rPr>
                    <w:t>下游：中国境内</w:t>
                  </w:r>
                  <w:r>
                    <w:rPr>
                      <w:rFonts w:hint="eastAsia" w:cs="Times New Roman" w:asciiTheme="minorEastAsia" w:hAnsiTheme="minorEastAsia"/>
                      <w:bCs/>
                      <w:sz w:val="24"/>
                      <w:szCs w:val="24"/>
                    </w:rPr>
                    <w:t>国内组团旅游服务市场</w:t>
                  </w:r>
                </w:p>
                <w:p>
                  <w:pPr>
                    <w:adjustRightInd w:val="0"/>
                    <w:snapToGrid w:val="0"/>
                    <w:spacing w:after="0" w:line="240" w:lineRule="auto"/>
                    <w:jc w:val="both"/>
                    <w:rPr>
                      <w:rFonts w:cs="Times New Roman" w:asciiTheme="minorEastAsia" w:hAnsiTheme="minorEastAsia"/>
                      <w:bCs/>
                      <w:sz w:val="24"/>
                      <w:szCs w:val="24"/>
                    </w:rPr>
                  </w:pPr>
                  <w:r>
                    <w:rPr>
                      <w:rFonts w:hint="eastAsia" w:cs="Times New Roman" w:asciiTheme="minorEastAsia" w:hAnsiTheme="minorEastAsia"/>
                      <w:bCs/>
                      <w:sz w:val="24"/>
                      <w:szCs w:val="24"/>
                    </w:rPr>
                    <w:t>浙江旅投：如上所述</w:t>
                  </w:r>
                </w:p>
                <w:p>
                  <w:pPr>
                    <w:adjustRightInd w:val="0"/>
                    <w:snapToGrid w:val="0"/>
                    <w:spacing w:after="0" w:line="240" w:lineRule="auto"/>
                    <w:jc w:val="both"/>
                    <w:rPr>
                      <w:rFonts w:cs="Times New Roman" w:asciiTheme="minorEastAsia" w:hAnsiTheme="minorEastAsia"/>
                      <w:bCs/>
                      <w:sz w:val="24"/>
                      <w:szCs w:val="24"/>
                    </w:rPr>
                  </w:pPr>
                  <w:r>
                    <w:rPr>
                      <w:rFonts w:hint="eastAsia" w:cs="Times New Roman" w:asciiTheme="minorEastAsia" w:hAnsiTheme="minorEastAsia"/>
                      <w:bCs/>
                      <w:sz w:val="24"/>
                      <w:szCs w:val="24"/>
                    </w:rPr>
                    <w:t>祥源控股</w:t>
                  </w:r>
                  <w:r>
                    <w:rPr>
                      <w:rFonts w:cs="Times New Roman" w:asciiTheme="minorEastAsia" w:hAnsiTheme="minorEastAsia"/>
                      <w:bCs/>
                      <w:sz w:val="24"/>
                      <w:szCs w:val="24"/>
                    </w:rPr>
                    <w:t>：</w:t>
                  </w:r>
                  <w:r>
                    <w:rPr>
                      <w:rFonts w:hint="eastAsia" w:cs="Times New Roman" w:asciiTheme="minorEastAsia" w:hAnsiTheme="minorEastAsia"/>
                      <w:bCs/>
                      <w:sz w:val="24"/>
                      <w:szCs w:val="24"/>
                    </w:rPr>
                    <w:t>如上所述</w:t>
                  </w:r>
                </w:p>
              </w:tc>
            </w:tr>
          </w:tbl>
          <w:p>
            <w:pPr>
              <w:spacing w:after="0" w:line="240" w:lineRule="auto"/>
              <w:rPr>
                <w:rFonts w:cs="Times New Roman" w:asciiTheme="minorEastAsia" w:hAnsiTheme="minorEastAsia"/>
                <w:bCs/>
                <w:color w:val="000000"/>
                <w:sz w:val="24"/>
                <w:szCs w:val="24"/>
                <w:lang w:bidi="ar-AE"/>
              </w:rPr>
            </w:pPr>
          </w:p>
        </w:tc>
      </w:tr>
    </w:tbl>
    <w:p>
      <w:pPr>
        <w:spacing w:after="0" w:line="240" w:lineRule="auto"/>
        <w:rPr>
          <w:rFonts w:ascii="Times New Roman" w:hAnsi="Times New Roman" w:eastAsia="仿宋_GB2312" w:cs="Times New Roman"/>
          <w:sz w:val="24"/>
          <w:szCs w:val="24"/>
        </w:rPr>
      </w:pPr>
    </w:p>
    <w:sectPr>
      <w:pgSz w:w="12240" w:h="15840"/>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00000000" w:usb1="00000000" w:usb2="00000009" w:usb3="00000000" w:csb0="000001FF" w:csb1="00000000"/>
  </w:font>
  <w:font w:name="Simplified Arabic">
    <w:altName w:val="Times New Roman"/>
    <w:panose1 w:val="02020603050405020304"/>
    <w:charset w:val="B2"/>
    <w:family w:val="roman"/>
    <w:pitch w:val="default"/>
    <w:sig w:usb0="00000000" w:usb1="00000000" w:usb2="00000008" w:usb3="00000000" w:csb0="00000041" w:csb1="00000000"/>
  </w:font>
  <w:font w:name="Wingdings">
    <w:panose1 w:val="05000000000000000000"/>
    <w:charset w:val="00"/>
    <w:family w:val="decorative"/>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hideSpellingErrors/>
  <w:hideGrammaticalErrors/>
  <w:documentProtection w:enforcement="0"/>
  <w:defaultTabStop w:val="720"/>
  <w:characterSpacingControl w:val="doNotCompress"/>
  <w:footnotePr>
    <w:footnote w:id="0"/>
    <w:footnote w:id="1"/>
  </w:footnotePr>
  <w:endnotePr>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06F"/>
    <w:rsid w:val="0002711F"/>
    <w:rsid w:val="000357CC"/>
    <w:rsid w:val="000418E3"/>
    <w:rsid w:val="00041E1F"/>
    <w:rsid w:val="000452B9"/>
    <w:rsid w:val="00050FAE"/>
    <w:rsid w:val="00064C29"/>
    <w:rsid w:val="00066183"/>
    <w:rsid w:val="000661E9"/>
    <w:rsid w:val="00074058"/>
    <w:rsid w:val="0007444C"/>
    <w:rsid w:val="00080E60"/>
    <w:rsid w:val="00080FB4"/>
    <w:rsid w:val="000839F2"/>
    <w:rsid w:val="00083B42"/>
    <w:rsid w:val="000860A2"/>
    <w:rsid w:val="000860C5"/>
    <w:rsid w:val="0008695F"/>
    <w:rsid w:val="00094EAD"/>
    <w:rsid w:val="00096045"/>
    <w:rsid w:val="000A36B1"/>
    <w:rsid w:val="000B5FBA"/>
    <w:rsid w:val="000C0DAA"/>
    <w:rsid w:val="000C18E5"/>
    <w:rsid w:val="000C6E3F"/>
    <w:rsid w:val="000D33F9"/>
    <w:rsid w:val="000E2884"/>
    <w:rsid w:val="000F42BF"/>
    <w:rsid w:val="000F4CEA"/>
    <w:rsid w:val="000F64E5"/>
    <w:rsid w:val="000F6C3B"/>
    <w:rsid w:val="00107898"/>
    <w:rsid w:val="00113737"/>
    <w:rsid w:val="00117612"/>
    <w:rsid w:val="001268FF"/>
    <w:rsid w:val="00131B11"/>
    <w:rsid w:val="00135D3E"/>
    <w:rsid w:val="00141EA0"/>
    <w:rsid w:val="00142266"/>
    <w:rsid w:val="00143C45"/>
    <w:rsid w:val="001440F0"/>
    <w:rsid w:val="00144A47"/>
    <w:rsid w:val="00145D52"/>
    <w:rsid w:val="00151A41"/>
    <w:rsid w:val="001560DC"/>
    <w:rsid w:val="001563DE"/>
    <w:rsid w:val="00161B23"/>
    <w:rsid w:val="001658BD"/>
    <w:rsid w:val="00167C91"/>
    <w:rsid w:val="00170258"/>
    <w:rsid w:val="00175369"/>
    <w:rsid w:val="00182C34"/>
    <w:rsid w:val="00184940"/>
    <w:rsid w:val="00185CBE"/>
    <w:rsid w:val="001928E2"/>
    <w:rsid w:val="00197BCC"/>
    <w:rsid w:val="001A5D63"/>
    <w:rsid w:val="001A6E1C"/>
    <w:rsid w:val="001A7DC5"/>
    <w:rsid w:val="001B4797"/>
    <w:rsid w:val="001B5A55"/>
    <w:rsid w:val="001C7EBC"/>
    <w:rsid w:val="001D19DE"/>
    <w:rsid w:val="001D4D74"/>
    <w:rsid w:val="001D6FE1"/>
    <w:rsid w:val="001E62F0"/>
    <w:rsid w:val="001F1799"/>
    <w:rsid w:val="001F3AA8"/>
    <w:rsid w:val="001F666B"/>
    <w:rsid w:val="001F6B6E"/>
    <w:rsid w:val="00204A4A"/>
    <w:rsid w:val="002056BF"/>
    <w:rsid w:val="00205F18"/>
    <w:rsid w:val="0020610A"/>
    <w:rsid w:val="00206D78"/>
    <w:rsid w:val="00210221"/>
    <w:rsid w:val="00210928"/>
    <w:rsid w:val="00212685"/>
    <w:rsid w:val="002235EE"/>
    <w:rsid w:val="00224D2A"/>
    <w:rsid w:val="00226771"/>
    <w:rsid w:val="00233AFE"/>
    <w:rsid w:val="00235728"/>
    <w:rsid w:val="00240D9B"/>
    <w:rsid w:val="00251A52"/>
    <w:rsid w:val="00253172"/>
    <w:rsid w:val="0025479B"/>
    <w:rsid w:val="00256987"/>
    <w:rsid w:val="00257D9B"/>
    <w:rsid w:val="0026037B"/>
    <w:rsid w:val="002617F7"/>
    <w:rsid w:val="0026255E"/>
    <w:rsid w:val="00262B82"/>
    <w:rsid w:val="00266E4A"/>
    <w:rsid w:val="002677D8"/>
    <w:rsid w:val="002707F1"/>
    <w:rsid w:val="00283A35"/>
    <w:rsid w:val="00292250"/>
    <w:rsid w:val="0029473B"/>
    <w:rsid w:val="00296730"/>
    <w:rsid w:val="002A27F3"/>
    <w:rsid w:val="002A2EBE"/>
    <w:rsid w:val="002A3188"/>
    <w:rsid w:val="002B0DA9"/>
    <w:rsid w:val="002B3632"/>
    <w:rsid w:val="002B3660"/>
    <w:rsid w:val="002B41C8"/>
    <w:rsid w:val="002B67B5"/>
    <w:rsid w:val="002D1108"/>
    <w:rsid w:val="002D1828"/>
    <w:rsid w:val="002D5A03"/>
    <w:rsid w:val="002D5CB2"/>
    <w:rsid w:val="002E08E3"/>
    <w:rsid w:val="002E1259"/>
    <w:rsid w:val="002E17F6"/>
    <w:rsid w:val="002E45BD"/>
    <w:rsid w:val="002E4B71"/>
    <w:rsid w:val="002E4B91"/>
    <w:rsid w:val="002F03DB"/>
    <w:rsid w:val="002F40F4"/>
    <w:rsid w:val="002F6C94"/>
    <w:rsid w:val="00301EC3"/>
    <w:rsid w:val="00301ECF"/>
    <w:rsid w:val="00301F10"/>
    <w:rsid w:val="0031248E"/>
    <w:rsid w:val="00322EC0"/>
    <w:rsid w:val="00334FE7"/>
    <w:rsid w:val="00343E7B"/>
    <w:rsid w:val="00370FB1"/>
    <w:rsid w:val="00371A30"/>
    <w:rsid w:val="00372313"/>
    <w:rsid w:val="0037245C"/>
    <w:rsid w:val="003731BC"/>
    <w:rsid w:val="003746A2"/>
    <w:rsid w:val="00375C89"/>
    <w:rsid w:val="003769D3"/>
    <w:rsid w:val="0038165D"/>
    <w:rsid w:val="003843CD"/>
    <w:rsid w:val="00392C5E"/>
    <w:rsid w:val="003946CF"/>
    <w:rsid w:val="00396BF2"/>
    <w:rsid w:val="003975F9"/>
    <w:rsid w:val="003A5B39"/>
    <w:rsid w:val="003A5B71"/>
    <w:rsid w:val="003A6622"/>
    <w:rsid w:val="003A75F7"/>
    <w:rsid w:val="003B450D"/>
    <w:rsid w:val="003C4608"/>
    <w:rsid w:val="003E31B4"/>
    <w:rsid w:val="003E5AE8"/>
    <w:rsid w:val="003F4142"/>
    <w:rsid w:val="003F7EB8"/>
    <w:rsid w:val="00402BA2"/>
    <w:rsid w:val="00402E3E"/>
    <w:rsid w:val="00404933"/>
    <w:rsid w:val="00406799"/>
    <w:rsid w:val="004128D0"/>
    <w:rsid w:val="004229F7"/>
    <w:rsid w:val="00431CEF"/>
    <w:rsid w:val="004413CC"/>
    <w:rsid w:val="004430E8"/>
    <w:rsid w:val="00453600"/>
    <w:rsid w:val="004566B7"/>
    <w:rsid w:val="00457B46"/>
    <w:rsid w:val="0047142D"/>
    <w:rsid w:val="004739F7"/>
    <w:rsid w:val="00481BD9"/>
    <w:rsid w:val="00483897"/>
    <w:rsid w:val="004860C9"/>
    <w:rsid w:val="00487314"/>
    <w:rsid w:val="00491750"/>
    <w:rsid w:val="00495706"/>
    <w:rsid w:val="0049735E"/>
    <w:rsid w:val="004A19E0"/>
    <w:rsid w:val="004A1C47"/>
    <w:rsid w:val="004A40CA"/>
    <w:rsid w:val="004A445C"/>
    <w:rsid w:val="004B1972"/>
    <w:rsid w:val="004B64BA"/>
    <w:rsid w:val="004C25E2"/>
    <w:rsid w:val="004C6926"/>
    <w:rsid w:val="004E07A6"/>
    <w:rsid w:val="004E4D26"/>
    <w:rsid w:val="004E73A4"/>
    <w:rsid w:val="004F2AA1"/>
    <w:rsid w:val="004F3825"/>
    <w:rsid w:val="004F5721"/>
    <w:rsid w:val="00501302"/>
    <w:rsid w:val="00510CEE"/>
    <w:rsid w:val="005152DE"/>
    <w:rsid w:val="00516E41"/>
    <w:rsid w:val="0052016C"/>
    <w:rsid w:val="005224B2"/>
    <w:rsid w:val="00525229"/>
    <w:rsid w:val="00532DF1"/>
    <w:rsid w:val="005341B8"/>
    <w:rsid w:val="00537F61"/>
    <w:rsid w:val="0054254B"/>
    <w:rsid w:val="00554851"/>
    <w:rsid w:val="00557B9A"/>
    <w:rsid w:val="00567BCF"/>
    <w:rsid w:val="00570552"/>
    <w:rsid w:val="00571456"/>
    <w:rsid w:val="0058102F"/>
    <w:rsid w:val="005826BA"/>
    <w:rsid w:val="005962E7"/>
    <w:rsid w:val="00597385"/>
    <w:rsid w:val="005A1B48"/>
    <w:rsid w:val="005A6702"/>
    <w:rsid w:val="005A72E3"/>
    <w:rsid w:val="005A7391"/>
    <w:rsid w:val="005B02C3"/>
    <w:rsid w:val="005B6BF8"/>
    <w:rsid w:val="005B7778"/>
    <w:rsid w:val="005C7256"/>
    <w:rsid w:val="005D2AFD"/>
    <w:rsid w:val="005D392E"/>
    <w:rsid w:val="005D7E18"/>
    <w:rsid w:val="005D7F24"/>
    <w:rsid w:val="005E03FF"/>
    <w:rsid w:val="005E20D1"/>
    <w:rsid w:val="005E419D"/>
    <w:rsid w:val="005F205B"/>
    <w:rsid w:val="006049F9"/>
    <w:rsid w:val="0061144C"/>
    <w:rsid w:val="00612EA5"/>
    <w:rsid w:val="00636D71"/>
    <w:rsid w:val="00640A81"/>
    <w:rsid w:val="006525A4"/>
    <w:rsid w:val="006539B6"/>
    <w:rsid w:val="00653BE3"/>
    <w:rsid w:val="00653F80"/>
    <w:rsid w:val="006559AF"/>
    <w:rsid w:val="006660F4"/>
    <w:rsid w:val="00680DE0"/>
    <w:rsid w:val="006821E6"/>
    <w:rsid w:val="00682EA0"/>
    <w:rsid w:val="00685F9F"/>
    <w:rsid w:val="006932FE"/>
    <w:rsid w:val="0069400F"/>
    <w:rsid w:val="00694964"/>
    <w:rsid w:val="00694F79"/>
    <w:rsid w:val="00696930"/>
    <w:rsid w:val="00697BE8"/>
    <w:rsid w:val="006A603A"/>
    <w:rsid w:val="006A7957"/>
    <w:rsid w:val="006B115A"/>
    <w:rsid w:val="006B3173"/>
    <w:rsid w:val="006B4355"/>
    <w:rsid w:val="006C07EE"/>
    <w:rsid w:val="006D44C3"/>
    <w:rsid w:val="006D6A1D"/>
    <w:rsid w:val="006E113F"/>
    <w:rsid w:val="006E3550"/>
    <w:rsid w:val="006E4C31"/>
    <w:rsid w:val="006E4E62"/>
    <w:rsid w:val="006F0341"/>
    <w:rsid w:val="006F0B1D"/>
    <w:rsid w:val="006F24CF"/>
    <w:rsid w:val="006F7CBA"/>
    <w:rsid w:val="00700B2B"/>
    <w:rsid w:val="007063A5"/>
    <w:rsid w:val="00706574"/>
    <w:rsid w:val="00711B6D"/>
    <w:rsid w:val="00717C92"/>
    <w:rsid w:val="00720EC6"/>
    <w:rsid w:val="00721D2F"/>
    <w:rsid w:val="007245BA"/>
    <w:rsid w:val="007401C7"/>
    <w:rsid w:val="0074793D"/>
    <w:rsid w:val="00754743"/>
    <w:rsid w:val="00764210"/>
    <w:rsid w:val="00764539"/>
    <w:rsid w:val="007663D6"/>
    <w:rsid w:val="00766D97"/>
    <w:rsid w:val="00770359"/>
    <w:rsid w:val="0077295A"/>
    <w:rsid w:val="00783D4E"/>
    <w:rsid w:val="007924D0"/>
    <w:rsid w:val="00792E51"/>
    <w:rsid w:val="007A167A"/>
    <w:rsid w:val="007A3A9F"/>
    <w:rsid w:val="007B09A5"/>
    <w:rsid w:val="007C3328"/>
    <w:rsid w:val="007C57AE"/>
    <w:rsid w:val="007C61EA"/>
    <w:rsid w:val="007D3E1B"/>
    <w:rsid w:val="007D75F4"/>
    <w:rsid w:val="007E263B"/>
    <w:rsid w:val="007E2E3C"/>
    <w:rsid w:val="007E3EF4"/>
    <w:rsid w:val="007E737C"/>
    <w:rsid w:val="007F3D5C"/>
    <w:rsid w:val="00804013"/>
    <w:rsid w:val="00807E62"/>
    <w:rsid w:val="008144B9"/>
    <w:rsid w:val="00815CF8"/>
    <w:rsid w:val="0082591A"/>
    <w:rsid w:val="00826312"/>
    <w:rsid w:val="00832324"/>
    <w:rsid w:val="00851C0B"/>
    <w:rsid w:val="00853CD4"/>
    <w:rsid w:val="008574F0"/>
    <w:rsid w:val="008634A4"/>
    <w:rsid w:val="008749D4"/>
    <w:rsid w:val="00877AF1"/>
    <w:rsid w:val="00877B74"/>
    <w:rsid w:val="00880468"/>
    <w:rsid w:val="00885778"/>
    <w:rsid w:val="00894358"/>
    <w:rsid w:val="00894A01"/>
    <w:rsid w:val="00895751"/>
    <w:rsid w:val="00895B87"/>
    <w:rsid w:val="008A764D"/>
    <w:rsid w:val="008A7CE5"/>
    <w:rsid w:val="008B0DF6"/>
    <w:rsid w:val="008B1020"/>
    <w:rsid w:val="008B299D"/>
    <w:rsid w:val="008B4A2D"/>
    <w:rsid w:val="008C04D3"/>
    <w:rsid w:val="008C4425"/>
    <w:rsid w:val="008C6763"/>
    <w:rsid w:val="008C728E"/>
    <w:rsid w:val="008D144E"/>
    <w:rsid w:val="008D17B9"/>
    <w:rsid w:val="008D275F"/>
    <w:rsid w:val="008E0EE7"/>
    <w:rsid w:val="008E494F"/>
    <w:rsid w:val="009115F0"/>
    <w:rsid w:val="00911CB5"/>
    <w:rsid w:val="00924BDF"/>
    <w:rsid w:val="00930E2A"/>
    <w:rsid w:val="0093164E"/>
    <w:rsid w:val="0093217E"/>
    <w:rsid w:val="009351B5"/>
    <w:rsid w:val="0093657F"/>
    <w:rsid w:val="00941C18"/>
    <w:rsid w:val="0094377C"/>
    <w:rsid w:val="00944117"/>
    <w:rsid w:val="00945C50"/>
    <w:rsid w:val="00950B17"/>
    <w:rsid w:val="00956C71"/>
    <w:rsid w:val="00961599"/>
    <w:rsid w:val="00972628"/>
    <w:rsid w:val="00972A08"/>
    <w:rsid w:val="00973BF3"/>
    <w:rsid w:val="0097449E"/>
    <w:rsid w:val="00976A3C"/>
    <w:rsid w:val="00983B5B"/>
    <w:rsid w:val="00983F47"/>
    <w:rsid w:val="00984070"/>
    <w:rsid w:val="009870A6"/>
    <w:rsid w:val="009912E2"/>
    <w:rsid w:val="00997D25"/>
    <w:rsid w:val="009B22A4"/>
    <w:rsid w:val="009B31FE"/>
    <w:rsid w:val="009B4F19"/>
    <w:rsid w:val="009B6540"/>
    <w:rsid w:val="009C11D1"/>
    <w:rsid w:val="009C2A3E"/>
    <w:rsid w:val="009C2D01"/>
    <w:rsid w:val="009C79E8"/>
    <w:rsid w:val="009D17A9"/>
    <w:rsid w:val="009D3341"/>
    <w:rsid w:val="009D5554"/>
    <w:rsid w:val="009D795A"/>
    <w:rsid w:val="009F0B7F"/>
    <w:rsid w:val="009F0EF1"/>
    <w:rsid w:val="009F465F"/>
    <w:rsid w:val="00A00264"/>
    <w:rsid w:val="00A0166A"/>
    <w:rsid w:val="00A056CC"/>
    <w:rsid w:val="00A0579E"/>
    <w:rsid w:val="00A168A2"/>
    <w:rsid w:val="00A20FB4"/>
    <w:rsid w:val="00A21131"/>
    <w:rsid w:val="00A2588F"/>
    <w:rsid w:val="00A3118B"/>
    <w:rsid w:val="00A34ADE"/>
    <w:rsid w:val="00A3748A"/>
    <w:rsid w:val="00A5306F"/>
    <w:rsid w:val="00A53872"/>
    <w:rsid w:val="00A63785"/>
    <w:rsid w:val="00A67952"/>
    <w:rsid w:val="00A8408C"/>
    <w:rsid w:val="00A93150"/>
    <w:rsid w:val="00A93A0F"/>
    <w:rsid w:val="00A93A1E"/>
    <w:rsid w:val="00A95159"/>
    <w:rsid w:val="00AA054C"/>
    <w:rsid w:val="00AA1DF0"/>
    <w:rsid w:val="00AA2F59"/>
    <w:rsid w:val="00AA39DE"/>
    <w:rsid w:val="00AA40B9"/>
    <w:rsid w:val="00AA4535"/>
    <w:rsid w:val="00AA5F7A"/>
    <w:rsid w:val="00AA67D2"/>
    <w:rsid w:val="00AA74DE"/>
    <w:rsid w:val="00AA7A19"/>
    <w:rsid w:val="00AB1EA5"/>
    <w:rsid w:val="00AB2BFC"/>
    <w:rsid w:val="00AC7F7E"/>
    <w:rsid w:val="00AD1C2B"/>
    <w:rsid w:val="00AD34DC"/>
    <w:rsid w:val="00AD49A1"/>
    <w:rsid w:val="00AD52B4"/>
    <w:rsid w:val="00AE085C"/>
    <w:rsid w:val="00AF0CA2"/>
    <w:rsid w:val="00AF3A86"/>
    <w:rsid w:val="00B013B6"/>
    <w:rsid w:val="00B06C1D"/>
    <w:rsid w:val="00B076CD"/>
    <w:rsid w:val="00B27C4B"/>
    <w:rsid w:val="00B30A87"/>
    <w:rsid w:val="00B32E02"/>
    <w:rsid w:val="00B345BC"/>
    <w:rsid w:val="00B35E4E"/>
    <w:rsid w:val="00B41F07"/>
    <w:rsid w:val="00B454BF"/>
    <w:rsid w:val="00B57785"/>
    <w:rsid w:val="00B64CB5"/>
    <w:rsid w:val="00B65B00"/>
    <w:rsid w:val="00B731FC"/>
    <w:rsid w:val="00B73A2C"/>
    <w:rsid w:val="00B76F96"/>
    <w:rsid w:val="00B81CDA"/>
    <w:rsid w:val="00B83CD0"/>
    <w:rsid w:val="00B8432D"/>
    <w:rsid w:val="00B9434A"/>
    <w:rsid w:val="00B97810"/>
    <w:rsid w:val="00B97A2B"/>
    <w:rsid w:val="00BB5D5F"/>
    <w:rsid w:val="00BB7E5B"/>
    <w:rsid w:val="00BC0D10"/>
    <w:rsid w:val="00BC71CF"/>
    <w:rsid w:val="00BD17F8"/>
    <w:rsid w:val="00BD22E6"/>
    <w:rsid w:val="00BE466D"/>
    <w:rsid w:val="00BE6EC5"/>
    <w:rsid w:val="00BF2251"/>
    <w:rsid w:val="00BF5029"/>
    <w:rsid w:val="00BF6087"/>
    <w:rsid w:val="00C030E4"/>
    <w:rsid w:val="00C03537"/>
    <w:rsid w:val="00C03FFC"/>
    <w:rsid w:val="00C0720C"/>
    <w:rsid w:val="00C11497"/>
    <w:rsid w:val="00C221CD"/>
    <w:rsid w:val="00C2308C"/>
    <w:rsid w:val="00C270A9"/>
    <w:rsid w:val="00C359FD"/>
    <w:rsid w:val="00C44987"/>
    <w:rsid w:val="00C47ACC"/>
    <w:rsid w:val="00C532A0"/>
    <w:rsid w:val="00C549B1"/>
    <w:rsid w:val="00C562CC"/>
    <w:rsid w:val="00C66F53"/>
    <w:rsid w:val="00C741F0"/>
    <w:rsid w:val="00C76FCE"/>
    <w:rsid w:val="00C823D7"/>
    <w:rsid w:val="00C83796"/>
    <w:rsid w:val="00C86C57"/>
    <w:rsid w:val="00C87663"/>
    <w:rsid w:val="00C90AF7"/>
    <w:rsid w:val="00C927B0"/>
    <w:rsid w:val="00C979EF"/>
    <w:rsid w:val="00CB00AA"/>
    <w:rsid w:val="00CB43D6"/>
    <w:rsid w:val="00CB654D"/>
    <w:rsid w:val="00CD0592"/>
    <w:rsid w:val="00CD06A3"/>
    <w:rsid w:val="00CD71A9"/>
    <w:rsid w:val="00CE2703"/>
    <w:rsid w:val="00CE76E9"/>
    <w:rsid w:val="00CF27FC"/>
    <w:rsid w:val="00CF3B3F"/>
    <w:rsid w:val="00D007B3"/>
    <w:rsid w:val="00D00FAD"/>
    <w:rsid w:val="00D010F2"/>
    <w:rsid w:val="00D02362"/>
    <w:rsid w:val="00D054A4"/>
    <w:rsid w:val="00D05B81"/>
    <w:rsid w:val="00D05E1E"/>
    <w:rsid w:val="00D11851"/>
    <w:rsid w:val="00D1314C"/>
    <w:rsid w:val="00D21FC7"/>
    <w:rsid w:val="00D226AE"/>
    <w:rsid w:val="00D24222"/>
    <w:rsid w:val="00D26759"/>
    <w:rsid w:val="00D3179C"/>
    <w:rsid w:val="00D3486A"/>
    <w:rsid w:val="00D350D3"/>
    <w:rsid w:val="00D373D0"/>
    <w:rsid w:val="00D407AB"/>
    <w:rsid w:val="00D42E33"/>
    <w:rsid w:val="00D4315F"/>
    <w:rsid w:val="00D450AA"/>
    <w:rsid w:val="00D6206F"/>
    <w:rsid w:val="00D64CB4"/>
    <w:rsid w:val="00D67001"/>
    <w:rsid w:val="00D77EE6"/>
    <w:rsid w:val="00D80A75"/>
    <w:rsid w:val="00D850EB"/>
    <w:rsid w:val="00D91C8D"/>
    <w:rsid w:val="00D92732"/>
    <w:rsid w:val="00D92BB0"/>
    <w:rsid w:val="00D942E3"/>
    <w:rsid w:val="00D94579"/>
    <w:rsid w:val="00DA296A"/>
    <w:rsid w:val="00DA5116"/>
    <w:rsid w:val="00DB482A"/>
    <w:rsid w:val="00DB6676"/>
    <w:rsid w:val="00DC3F9E"/>
    <w:rsid w:val="00DC45CA"/>
    <w:rsid w:val="00DC6F72"/>
    <w:rsid w:val="00DD6289"/>
    <w:rsid w:val="00DD6396"/>
    <w:rsid w:val="00DF10CA"/>
    <w:rsid w:val="00DF4E78"/>
    <w:rsid w:val="00E01704"/>
    <w:rsid w:val="00E026FD"/>
    <w:rsid w:val="00E0726D"/>
    <w:rsid w:val="00E079F8"/>
    <w:rsid w:val="00E1006E"/>
    <w:rsid w:val="00E1211B"/>
    <w:rsid w:val="00E20BB3"/>
    <w:rsid w:val="00E21DA9"/>
    <w:rsid w:val="00E220AA"/>
    <w:rsid w:val="00E23793"/>
    <w:rsid w:val="00E24CCF"/>
    <w:rsid w:val="00E26B36"/>
    <w:rsid w:val="00E27B69"/>
    <w:rsid w:val="00E34720"/>
    <w:rsid w:val="00E41766"/>
    <w:rsid w:val="00E50DFE"/>
    <w:rsid w:val="00E7463D"/>
    <w:rsid w:val="00E77ECC"/>
    <w:rsid w:val="00E81C37"/>
    <w:rsid w:val="00E82954"/>
    <w:rsid w:val="00E85637"/>
    <w:rsid w:val="00E87335"/>
    <w:rsid w:val="00E90EFD"/>
    <w:rsid w:val="00E91C35"/>
    <w:rsid w:val="00EA2905"/>
    <w:rsid w:val="00EB3068"/>
    <w:rsid w:val="00EB4025"/>
    <w:rsid w:val="00EB5689"/>
    <w:rsid w:val="00EC003A"/>
    <w:rsid w:val="00ED45B3"/>
    <w:rsid w:val="00ED4DDB"/>
    <w:rsid w:val="00EE6EB7"/>
    <w:rsid w:val="00EF64D1"/>
    <w:rsid w:val="00F01117"/>
    <w:rsid w:val="00F030A4"/>
    <w:rsid w:val="00F0519E"/>
    <w:rsid w:val="00F14845"/>
    <w:rsid w:val="00F2080B"/>
    <w:rsid w:val="00F2158E"/>
    <w:rsid w:val="00F27648"/>
    <w:rsid w:val="00F33BB5"/>
    <w:rsid w:val="00F35C37"/>
    <w:rsid w:val="00F412B4"/>
    <w:rsid w:val="00F45D26"/>
    <w:rsid w:val="00F51804"/>
    <w:rsid w:val="00F56422"/>
    <w:rsid w:val="00F64536"/>
    <w:rsid w:val="00F70505"/>
    <w:rsid w:val="00F74ED6"/>
    <w:rsid w:val="00F8134E"/>
    <w:rsid w:val="00F8299C"/>
    <w:rsid w:val="00F84B03"/>
    <w:rsid w:val="00F87331"/>
    <w:rsid w:val="00F93A43"/>
    <w:rsid w:val="00F93F1A"/>
    <w:rsid w:val="00FB0DC2"/>
    <w:rsid w:val="00FB5811"/>
    <w:rsid w:val="00FC23EB"/>
    <w:rsid w:val="00FC310C"/>
    <w:rsid w:val="00FC3693"/>
    <w:rsid w:val="00FC796A"/>
    <w:rsid w:val="00FD1E22"/>
    <w:rsid w:val="00FD4076"/>
    <w:rsid w:val="00FD5745"/>
    <w:rsid w:val="00FD5DA4"/>
    <w:rsid w:val="00FD7E60"/>
    <w:rsid w:val="00FE0875"/>
    <w:rsid w:val="00FE14AD"/>
    <w:rsid w:val="00FF52FC"/>
    <w:rsid w:val="78D732DC"/>
    <w:rsid w:val="AFFE06B2"/>
    <w:rsid w:val="DBBFDBA7"/>
    <w:rsid w:val="DBC317B6"/>
    <w:rsid w:val="EF7BAE8D"/>
    <w:rsid w:val="FBFF4EA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CN" w:bidi="he-IL"/>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semiHidden/>
    <w:unhideWhenUsed/>
    <w:qFormat/>
    <w:uiPriority w:val="99"/>
  </w:style>
  <w:style w:type="paragraph" w:styleId="3">
    <w:name w:val="Body Text"/>
    <w:basedOn w:val="1"/>
    <w:link w:val="25"/>
    <w:qFormat/>
    <w:uiPriority w:val="0"/>
    <w:pPr>
      <w:spacing w:after="240" w:line="240" w:lineRule="auto"/>
      <w:jc w:val="both"/>
    </w:pPr>
    <w:rPr>
      <w:rFonts w:ascii="Times New Roman" w:hAnsi="Times New Roman" w:eastAsia="宋体" w:cs="Simplified Arabic"/>
      <w:sz w:val="24"/>
      <w:szCs w:val="24"/>
      <w:lang w:val="en-GB" w:eastAsia="en-GB" w:bidi="ar-AE"/>
    </w:rPr>
  </w:style>
  <w:style w:type="paragraph" w:styleId="4">
    <w:name w:val="Balloon Text"/>
    <w:basedOn w:val="1"/>
    <w:link w:val="21"/>
    <w:semiHidden/>
    <w:unhideWhenUsed/>
    <w:qFormat/>
    <w:uiPriority w:val="99"/>
    <w:pPr>
      <w:spacing w:after="0" w:line="240" w:lineRule="auto"/>
    </w:pPr>
    <w:rPr>
      <w:sz w:val="18"/>
      <w:szCs w:val="18"/>
    </w:rPr>
  </w:style>
  <w:style w:type="paragraph" w:styleId="5">
    <w:name w:val="footer"/>
    <w:basedOn w:val="1"/>
    <w:link w:val="16"/>
    <w:unhideWhenUsed/>
    <w:qFormat/>
    <w:uiPriority w:val="99"/>
    <w:pPr>
      <w:tabs>
        <w:tab w:val="center" w:pos="4320"/>
        <w:tab w:val="right" w:pos="8640"/>
      </w:tabs>
      <w:spacing w:after="0" w:line="240" w:lineRule="auto"/>
    </w:pPr>
  </w:style>
  <w:style w:type="paragraph" w:styleId="6">
    <w:name w:val="header"/>
    <w:basedOn w:val="1"/>
    <w:link w:val="15"/>
    <w:unhideWhenUsed/>
    <w:qFormat/>
    <w:uiPriority w:val="99"/>
    <w:pPr>
      <w:tabs>
        <w:tab w:val="center" w:pos="4320"/>
        <w:tab w:val="right" w:pos="8640"/>
      </w:tabs>
      <w:spacing w:after="0" w:line="240" w:lineRule="auto"/>
    </w:pPr>
  </w:style>
  <w:style w:type="paragraph" w:styleId="7">
    <w:name w:val="footnote text"/>
    <w:basedOn w:val="1"/>
    <w:link w:val="17"/>
    <w:qFormat/>
    <w:uiPriority w:val="99"/>
    <w:pPr>
      <w:widowControl w:val="0"/>
      <w:snapToGrid w:val="0"/>
      <w:spacing w:after="0" w:line="240" w:lineRule="auto"/>
    </w:pPr>
    <w:rPr>
      <w:rFonts w:ascii="Times New Roman" w:hAnsi="Times New Roman" w:eastAsia="宋体" w:cs="Times New Roman"/>
      <w:kern w:val="2"/>
      <w:sz w:val="18"/>
      <w:szCs w:val="18"/>
      <w:lang w:bidi="ar-SA"/>
    </w:rPr>
  </w:style>
  <w:style w:type="paragraph" w:styleId="8">
    <w:name w:val="annotation subject"/>
    <w:basedOn w:val="2"/>
    <w:next w:val="2"/>
    <w:link w:val="23"/>
    <w:semiHidden/>
    <w:unhideWhenUsed/>
    <w:qFormat/>
    <w:uiPriority w:val="99"/>
    <w:rPr>
      <w:b/>
      <w:bCs/>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qFormat/>
    <w:uiPriority w:val="0"/>
    <w:rPr>
      <w:color w:val="0000FF"/>
      <w:u w:val="single"/>
    </w:rPr>
  </w:style>
  <w:style w:type="character" w:styleId="13">
    <w:name w:val="annotation reference"/>
    <w:basedOn w:val="11"/>
    <w:semiHidden/>
    <w:unhideWhenUsed/>
    <w:qFormat/>
    <w:uiPriority w:val="99"/>
    <w:rPr>
      <w:sz w:val="21"/>
      <w:szCs w:val="21"/>
    </w:rPr>
  </w:style>
  <w:style w:type="character" w:styleId="14">
    <w:name w:val="footnote reference"/>
    <w:qFormat/>
    <w:uiPriority w:val="0"/>
    <w:rPr>
      <w:vertAlign w:val="superscript"/>
    </w:rPr>
  </w:style>
  <w:style w:type="character" w:customStyle="1" w:styleId="15">
    <w:name w:val="页眉 字符"/>
    <w:basedOn w:val="11"/>
    <w:link w:val="6"/>
    <w:qFormat/>
    <w:uiPriority w:val="99"/>
  </w:style>
  <w:style w:type="character" w:customStyle="1" w:styleId="16">
    <w:name w:val="页脚 字符"/>
    <w:basedOn w:val="11"/>
    <w:link w:val="5"/>
    <w:qFormat/>
    <w:uiPriority w:val="99"/>
  </w:style>
  <w:style w:type="character" w:customStyle="1" w:styleId="17">
    <w:name w:val="脚注文本 字符"/>
    <w:basedOn w:val="11"/>
    <w:link w:val="7"/>
    <w:qFormat/>
    <w:uiPriority w:val="99"/>
    <w:rPr>
      <w:rFonts w:ascii="Times New Roman" w:hAnsi="Times New Roman" w:eastAsia="宋体" w:cs="Times New Roman"/>
      <w:kern w:val="2"/>
      <w:sz w:val="18"/>
      <w:szCs w:val="18"/>
      <w:lang w:bidi="ar-SA"/>
    </w:rPr>
  </w:style>
  <w:style w:type="paragraph" w:styleId="18">
    <w:name w:val="List Paragraph"/>
    <w:basedOn w:val="1"/>
    <w:qFormat/>
    <w:uiPriority w:val="34"/>
    <w:pPr>
      <w:ind w:left="720"/>
      <w:contextualSpacing/>
    </w:pPr>
  </w:style>
  <w:style w:type="paragraph" w:customStyle="1" w:styleId="19">
    <w:name w:val="Body Text 1"/>
    <w:basedOn w:val="1"/>
    <w:link w:val="20"/>
    <w:qFormat/>
    <w:uiPriority w:val="0"/>
    <w:pPr>
      <w:spacing w:after="240" w:line="240" w:lineRule="auto"/>
      <w:ind w:left="720"/>
      <w:jc w:val="both"/>
    </w:pPr>
    <w:rPr>
      <w:rFonts w:ascii="Times New Roman" w:hAnsi="Times New Roman" w:eastAsia="宋体" w:cs="Times New Roman"/>
      <w:sz w:val="24"/>
      <w:szCs w:val="24"/>
      <w:lang w:val="en-GB" w:eastAsia="en-GB" w:bidi="ar-AE"/>
    </w:rPr>
  </w:style>
  <w:style w:type="character" w:customStyle="1" w:styleId="20">
    <w:name w:val="Body Text 1 Char"/>
    <w:basedOn w:val="11"/>
    <w:link w:val="19"/>
    <w:qFormat/>
    <w:uiPriority w:val="0"/>
    <w:rPr>
      <w:rFonts w:ascii="Times New Roman" w:hAnsi="Times New Roman" w:eastAsia="宋体" w:cs="Times New Roman"/>
      <w:sz w:val="24"/>
      <w:szCs w:val="24"/>
      <w:lang w:val="en-GB" w:eastAsia="en-GB" w:bidi="ar-AE"/>
    </w:rPr>
  </w:style>
  <w:style w:type="character" w:customStyle="1" w:styleId="21">
    <w:name w:val="批注框文本 字符"/>
    <w:basedOn w:val="11"/>
    <w:link w:val="4"/>
    <w:semiHidden/>
    <w:qFormat/>
    <w:uiPriority w:val="99"/>
    <w:rPr>
      <w:sz w:val="18"/>
      <w:szCs w:val="18"/>
    </w:rPr>
  </w:style>
  <w:style w:type="character" w:customStyle="1" w:styleId="22">
    <w:name w:val="批注文字 字符"/>
    <w:basedOn w:val="11"/>
    <w:link w:val="2"/>
    <w:semiHidden/>
    <w:qFormat/>
    <w:uiPriority w:val="99"/>
  </w:style>
  <w:style w:type="character" w:customStyle="1" w:styleId="23">
    <w:name w:val="批注主题 字符"/>
    <w:basedOn w:val="22"/>
    <w:link w:val="8"/>
    <w:semiHidden/>
    <w:qFormat/>
    <w:uiPriority w:val="99"/>
    <w:rPr>
      <w:b/>
      <w:bCs/>
    </w:rPr>
  </w:style>
  <w:style w:type="paragraph" w:customStyle="1" w:styleId="24">
    <w:name w:val="修订1"/>
    <w:hidden/>
    <w:semiHidden/>
    <w:qFormat/>
    <w:uiPriority w:val="99"/>
    <w:rPr>
      <w:rFonts w:asciiTheme="minorHAnsi" w:hAnsiTheme="minorHAnsi" w:eastAsiaTheme="minorEastAsia" w:cstheme="minorBidi"/>
      <w:sz w:val="22"/>
      <w:szCs w:val="22"/>
      <w:lang w:val="en-US" w:eastAsia="zh-CN" w:bidi="he-IL"/>
    </w:rPr>
  </w:style>
  <w:style w:type="character" w:customStyle="1" w:styleId="25">
    <w:name w:val="正文文本 字符"/>
    <w:basedOn w:val="11"/>
    <w:link w:val="3"/>
    <w:qFormat/>
    <w:uiPriority w:val="0"/>
    <w:rPr>
      <w:rFonts w:ascii="Times New Roman" w:hAnsi="Times New Roman" w:eastAsia="宋体" w:cs="Simplified Arabic"/>
      <w:sz w:val="24"/>
      <w:szCs w:val="24"/>
      <w:lang w:val="en-GB" w:eastAsia="en-GB" w:bidi="ar-AE"/>
    </w:rPr>
  </w:style>
  <w:style w:type="paragraph" w:customStyle="1" w:styleId="26">
    <w:name w:val="修订2"/>
    <w:hidden/>
    <w:semiHidden/>
    <w:qFormat/>
    <w:uiPriority w:val="99"/>
    <w:rPr>
      <w:rFonts w:asciiTheme="minorHAnsi" w:hAnsiTheme="minorHAnsi" w:eastAsiaTheme="minorEastAsia" w:cstheme="minorBidi"/>
      <w:sz w:val="22"/>
      <w:szCs w:val="22"/>
      <w:lang w:val="en-US" w:eastAsia="zh-CN" w:bidi="he-IL"/>
    </w:rPr>
  </w:style>
  <w:style w:type="paragraph" w:customStyle="1" w:styleId="27">
    <w:name w:val="Revision"/>
    <w:hidden/>
    <w:semiHidden/>
    <w:qFormat/>
    <w:uiPriority w:val="99"/>
    <w:rPr>
      <w:rFonts w:asciiTheme="minorHAnsi" w:hAnsiTheme="minorHAnsi" w:eastAsiaTheme="minorEastAsia" w:cstheme="minorBidi"/>
      <w:sz w:val="22"/>
      <w:szCs w:val="22"/>
      <w:lang w:val="en-US" w:eastAsia="zh-CN" w:bidi="he-I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 &amp; Wood Mallesons</Company>
  <Pages>9</Pages>
  <Words>847</Words>
  <Characters>4829</Characters>
  <Lines>40</Lines>
  <Paragraphs>11</Paragraphs>
  <TotalTime>2</TotalTime>
  <ScaleCrop>false</ScaleCrop>
  <LinksUpToDate>false</LinksUpToDate>
  <CharactersWithSpaces>5665</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2024-04-13T03:54:00Z</dcterms:created>
  <dc:creator>King &amp; Wood Mallesons</dc:creator>
  <cp:lastModifiedBy>oa</cp:lastModifiedBy>
  <cp:lastPrinted>2019-01-04T23:14:00Z</cp:lastPrinted>
  <dcterms:modified xsi:type="dcterms:W3CDTF">2026-08-31T13:39:43Z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36C018CB3904C49157A21266A444092F_42</vt:lpwstr>
  </property>
</Properties>
</file>