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EEF2B" w14:textId="77777777" w:rsidR="0017300C" w:rsidRPr="0017300C" w:rsidRDefault="0017300C" w:rsidP="0017300C">
      <w:pPr>
        <w:jc w:val="center"/>
        <w:rPr>
          <w:rFonts w:ascii="黑体" w:eastAsia="黑体" w:hAnsi="黑体" w:cs="Arial"/>
          <w:bCs/>
          <w:sz w:val="36"/>
          <w:szCs w:val="36"/>
        </w:rPr>
      </w:pPr>
      <w:r w:rsidRPr="0017300C">
        <w:rPr>
          <w:rFonts w:ascii="黑体" w:eastAsia="黑体" w:hAnsi="黑体" w:cs="Arial" w:hint="eastAsia"/>
          <w:bCs/>
          <w:sz w:val="36"/>
          <w:szCs w:val="36"/>
        </w:rPr>
        <w:t>经营者集中简易案件公示表</w:t>
      </w:r>
    </w:p>
    <w:tbl>
      <w:tblPr>
        <w:tblStyle w:val="a7"/>
        <w:tblW w:w="5809" w:type="pct"/>
        <w:tblInd w:w="-714" w:type="dxa"/>
        <w:tblLook w:val="04A0" w:firstRow="1" w:lastRow="0" w:firstColumn="1" w:lastColumn="0" w:noHBand="0" w:noVBand="1"/>
      </w:tblPr>
      <w:tblGrid>
        <w:gridCol w:w="2128"/>
        <w:gridCol w:w="1843"/>
        <w:gridCol w:w="5667"/>
      </w:tblGrid>
      <w:tr w:rsidR="0017300C" w:rsidRPr="0017300C" w14:paraId="42FCF871" w14:textId="77777777" w:rsidTr="0017300C">
        <w:trPr>
          <w:trHeight w:val="20"/>
        </w:trPr>
        <w:tc>
          <w:tcPr>
            <w:tcW w:w="1104" w:type="pct"/>
            <w:shd w:val="clear" w:color="auto" w:fill="D9D9D9"/>
          </w:tcPr>
          <w:p w14:paraId="569A1B16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sz w:val="24"/>
                <w:szCs w:val="24"/>
              </w:rPr>
              <w:t>案件名称</w:t>
            </w:r>
          </w:p>
        </w:tc>
        <w:tc>
          <w:tcPr>
            <w:tcW w:w="3896" w:type="pct"/>
            <w:gridSpan w:val="2"/>
          </w:tcPr>
          <w:p w14:paraId="710E0C5B" w14:textId="77777777" w:rsidR="0017300C" w:rsidRPr="0017300C" w:rsidRDefault="0017300C" w:rsidP="0017300C">
            <w:pPr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苏州信</w:t>
            </w:r>
            <w:proofErr w:type="gramStart"/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宸</w:t>
            </w:r>
            <w:proofErr w:type="gramEnd"/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股权投资合伙企业（有限合伙）收购一点灵犀信息技术（广州）有限公司等十一家公司股权案</w:t>
            </w:r>
          </w:p>
        </w:tc>
      </w:tr>
      <w:tr w:rsidR="0017300C" w:rsidRPr="0017300C" w14:paraId="124DDA90" w14:textId="77777777" w:rsidTr="0017300C">
        <w:trPr>
          <w:trHeight w:val="20"/>
        </w:trPr>
        <w:tc>
          <w:tcPr>
            <w:tcW w:w="1104" w:type="pct"/>
            <w:shd w:val="clear" w:color="auto" w:fill="D9D9D9"/>
          </w:tcPr>
          <w:p w14:paraId="7DD3EAC7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sz w:val="24"/>
                <w:szCs w:val="24"/>
              </w:rPr>
              <w:t>交易概况（限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200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字内）</w:t>
            </w:r>
          </w:p>
        </w:tc>
        <w:tc>
          <w:tcPr>
            <w:tcW w:w="3896" w:type="pct"/>
            <w:gridSpan w:val="2"/>
          </w:tcPr>
          <w:p w14:paraId="45E2CB6E" w14:textId="27B4F4E7" w:rsidR="0017300C" w:rsidRPr="0017300C" w:rsidRDefault="0017300C" w:rsidP="0017300C">
            <w:pPr>
              <w:jc w:val="left"/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苏州信</w:t>
            </w:r>
            <w:proofErr w:type="gramStart"/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宸</w:t>
            </w:r>
            <w:proofErr w:type="gramEnd"/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股权投资合伙企业（有限合伙）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（</w:t>
            </w:r>
            <w:r w:rsidRPr="0017300C">
              <w:rPr>
                <w:rFonts w:ascii="仿宋_GB2312" w:eastAsia="仿宋" w:hAnsi="Arial" w:cs="Arial" w:hint="eastAsia"/>
                <w:sz w:val="24"/>
                <w:szCs w:val="24"/>
              </w:rPr>
              <w:t>“</w:t>
            </w:r>
            <w:r w:rsidRPr="0017300C">
              <w:rPr>
                <w:rFonts w:ascii="仿宋_GB2312" w:eastAsia="仿宋" w:hAnsi="Arial" w:cs="Arial" w:hint="eastAsia"/>
                <w:b/>
                <w:bCs/>
                <w:sz w:val="24"/>
                <w:szCs w:val="24"/>
              </w:rPr>
              <w:t>苏州信宸</w:t>
            </w:r>
            <w:r w:rsidRPr="0017300C">
              <w:rPr>
                <w:rFonts w:ascii="仿宋_GB2312" w:eastAsia="仿宋" w:hAnsi="Arial" w:cs="Arial" w:hint="eastAsia"/>
                <w:sz w:val="24"/>
                <w:szCs w:val="24"/>
              </w:rPr>
              <w:t>”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）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拟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收购</w:t>
            </w:r>
            <w:r w:rsidR="00D77C98" w:rsidRPr="0017300C">
              <w:rPr>
                <w:rFonts w:ascii="Arial" w:eastAsia="仿宋" w:hAnsi="Arial" w:cs="Arial"/>
                <w:sz w:val="24"/>
                <w:szCs w:val="24"/>
              </w:rPr>
              <w:t>Alibaba Group Holding Limited</w:t>
            </w:r>
            <w:r w:rsidR="00D77C98" w:rsidRPr="0017300C">
              <w:rPr>
                <w:rFonts w:ascii="Arial" w:eastAsia="仿宋" w:hAnsi="Arial" w:cs="Arial"/>
                <w:sz w:val="24"/>
                <w:szCs w:val="24"/>
              </w:rPr>
              <w:t>（阿里巴巴集团控股有限公司，</w:t>
            </w:r>
            <w:r w:rsidR="00D77C98" w:rsidRPr="0017300C">
              <w:rPr>
                <w:rFonts w:ascii="Arial" w:eastAsia="仿宋" w:hAnsi="Arial" w:cs="Arial" w:hint="eastAsia"/>
                <w:sz w:val="24"/>
                <w:szCs w:val="24"/>
              </w:rPr>
              <w:t>“</w:t>
            </w:r>
            <w:r w:rsidR="00D77C98" w:rsidRPr="0017300C">
              <w:rPr>
                <w:rFonts w:ascii="Arial" w:eastAsia="仿宋" w:hAnsi="Arial" w:cs="Arial" w:hint="eastAsia"/>
                <w:b/>
                <w:bCs/>
                <w:sz w:val="24"/>
                <w:szCs w:val="24"/>
              </w:rPr>
              <w:t>阿里巴巴集团</w:t>
            </w:r>
            <w:r w:rsidR="00D77C98" w:rsidRPr="0017300C">
              <w:rPr>
                <w:rFonts w:ascii="Arial" w:eastAsia="仿宋" w:hAnsi="Arial" w:cs="Arial" w:hint="eastAsia"/>
                <w:sz w:val="24"/>
                <w:szCs w:val="24"/>
              </w:rPr>
              <w:t>”）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持有或控制的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一点灵犀信息技术（广州）有限公司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等十一家目标公司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（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合称</w:t>
            </w:r>
            <w:r w:rsidRPr="0017300C">
              <w:rPr>
                <w:rFonts w:ascii="仿宋_GB2312" w:eastAsia="仿宋" w:hAnsi="Arial" w:cs="Arial" w:hint="eastAsia"/>
                <w:sz w:val="24"/>
                <w:szCs w:val="24"/>
              </w:rPr>
              <w:t>“</w:t>
            </w:r>
            <w:r w:rsidRPr="0017300C">
              <w:rPr>
                <w:rFonts w:ascii="仿宋_GB2312" w:eastAsia="仿宋" w:hAnsi="Arial" w:cs="Arial" w:hint="eastAsia"/>
                <w:b/>
                <w:sz w:val="24"/>
                <w:szCs w:val="24"/>
              </w:rPr>
              <w:t>目标公司</w:t>
            </w:r>
            <w:r w:rsidRPr="0017300C">
              <w:rPr>
                <w:rFonts w:ascii="仿宋_GB2312" w:eastAsia="仿宋" w:hAnsi="Arial" w:cs="Arial" w:hint="eastAsia"/>
                <w:sz w:val="24"/>
                <w:szCs w:val="24"/>
              </w:rPr>
              <w:t>”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）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1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00%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的股权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（</w:t>
            </w:r>
            <w:r w:rsidRPr="0017300C">
              <w:rPr>
                <w:rFonts w:ascii="仿宋_GB2312" w:eastAsia="仿宋" w:hAnsi="Arial" w:cs="Arial" w:hint="eastAsia"/>
                <w:sz w:val="24"/>
                <w:szCs w:val="24"/>
              </w:rPr>
              <w:t>“</w:t>
            </w:r>
            <w:r w:rsidRPr="0017300C">
              <w:rPr>
                <w:rFonts w:ascii="仿宋_GB2312" w:eastAsia="仿宋" w:hAnsi="Arial" w:cs="Arial" w:hint="eastAsia"/>
                <w:b/>
                <w:bCs/>
                <w:sz w:val="24"/>
                <w:szCs w:val="24"/>
              </w:rPr>
              <w:t>本次</w:t>
            </w:r>
            <w:r w:rsidRPr="0017300C">
              <w:rPr>
                <w:rFonts w:ascii="仿宋_GB2312" w:eastAsia="仿宋" w:hAnsi="Arial" w:cs="Arial" w:hint="eastAsia"/>
                <w:b/>
                <w:sz w:val="24"/>
                <w:szCs w:val="24"/>
              </w:rPr>
              <w:t>交易</w:t>
            </w:r>
            <w:r w:rsidRPr="0017300C">
              <w:rPr>
                <w:rFonts w:ascii="仿宋_GB2312" w:eastAsia="仿宋" w:hAnsi="Arial" w:cs="Arial" w:hint="eastAsia"/>
                <w:sz w:val="24"/>
                <w:szCs w:val="24"/>
              </w:rPr>
              <w:t>”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）。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目标公司主要从事移动游戏开发和发行业务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。</w:t>
            </w:r>
          </w:p>
          <w:p w14:paraId="28A30D9C" w14:textId="2C57C5AE" w:rsidR="0017300C" w:rsidRPr="0017300C" w:rsidRDefault="0017300C" w:rsidP="0017300C">
            <w:pPr>
              <w:jc w:val="left"/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sz w:val="24"/>
                <w:szCs w:val="24"/>
              </w:rPr>
              <w:t>本次交易前，阿里巴巴集团持有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和控制目标公司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1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00%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的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股权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，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单独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控制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目标公司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。本次交易完成后，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苏州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信</w:t>
            </w:r>
            <w:proofErr w:type="gramStart"/>
            <w:r w:rsidRPr="0017300C">
              <w:rPr>
                <w:rFonts w:ascii="Arial" w:eastAsia="仿宋" w:hAnsi="Arial" w:cs="Arial"/>
                <w:sz w:val="24"/>
                <w:szCs w:val="24"/>
              </w:rPr>
              <w:t>宸</w:t>
            </w:r>
            <w:proofErr w:type="gramEnd"/>
            <w:r w:rsidRPr="0017300C">
              <w:rPr>
                <w:rFonts w:ascii="Arial" w:eastAsia="仿宋" w:hAnsi="Arial" w:cs="Arial"/>
                <w:sz w:val="24"/>
                <w:szCs w:val="24"/>
              </w:rPr>
              <w:t>将持有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目标公司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100%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的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股权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，单独控制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目标公司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。</w:t>
            </w:r>
          </w:p>
        </w:tc>
      </w:tr>
      <w:tr w:rsidR="0017300C" w:rsidRPr="0017300C" w14:paraId="275F9170" w14:textId="77777777" w:rsidTr="0017300C">
        <w:trPr>
          <w:trHeight w:val="20"/>
        </w:trPr>
        <w:tc>
          <w:tcPr>
            <w:tcW w:w="1104" w:type="pct"/>
            <w:vMerge w:val="restart"/>
            <w:shd w:val="clear" w:color="auto" w:fill="D9D9D9"/>
          </w:tcPr>
          <w:p w14:paraId="4FC68554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sz w:val="24"/>
                <w:szCs w:val="24"/>
              </w:rPr>
              <w:t>参与集中的经营者简介（每个限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100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字以内）</w:t>
            </w:r>
          </w:p>
        </w:tc>
        <w:tc>
          <w:tcPr>
            <w:tcW w:w="956" w:type="pct"/>
          </w:tcPr>
          <w:p w14:paraId="0DF5B824" w14:textId="77777777" w:rsidR="0017300C" w:rsidRPr="0017300C" w:rsidRDefault="0017300C" w:rsidP="0017300C">
            <w:pPr>
              <w:numPr>
                <w:ilvl w:val="0"/>
                <w:numId w:val="1"/>
              </w:numPr>
              <w:jc w:val="left"/>
              <w:rPr>
                <w:rFonts w:ascii="Arial" w:eastAsia="仿宋_GB2312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苏州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信</w:t>
            </w:r>
            <w:proofErr w:type="gramStart"/>
            <w:r w:rsidRPr="0017300C">
              <w:rPr>
                <w:rFonts w:ascii="Arial" w:eastAsia="仿宋" w:hAnsi="Arial" w:cs="Arial"/>
                <w:sz w:val="24"/>
                <w:szCs w:val="24"/>
              </w:rPr>
              <w:t>宸</w:t>
            </w:r>
            <w:proofErr w:type="gramEnd"/>
          </w:p>
        </w:tc>
        <w:tc>
          <w:tcPr>
            <w:tcW w:w="2940" w:type="pct"/>
          </w:tcPr>
          <w:p w14:paraId="26A601A4" w14:textId="20B57AFC" w:rsidR="0017300C" w:rsidRPr="0017300C" w:rsidRDefault="0017300C" w:rsidP="0017300C">
            <w:pPr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苏州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信</w:t>
            </w:r>
            <w:proofErr w:type="gramStart"/>
            <w:r w:rsidRPr="0017300C">
              <w:rPr>
                <w:rFonts w:ascii="Arial" w:eastAsia="仿宋" w:hAnsi="Arial" w:cs="Arial"/>
                <w:sz w:val="24"/>
                <w:szCs w:val="24"/>
              </w:rPr>
              <w:t>宸</w:t>
            </w:r>
            <w:proofErr w:type="gramEnd"/>
            <w:r w:rsidRPr="0017300C">
              <w:rPr>
                <w:rFonts w:ascii="Arial" w:eastAsia="仿宋" w:hAnsi="Arial" w:cs="Arial"/>
                <w:sz w:val="24"/>
                <w:szCs w:val="24"/>
              </w:rPr>
              <w:t>于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2021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年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11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月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5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日成立于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江苏省苏州市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，</w:t>
            </w:r>
            <w:r w:rsidR="00391026">
              <w:rPr>
                <w:rFonts w:ascii="Arial" w:eastAsia="仿宋" w:hAnsi="Arial" w:cs="Arial" w:hint="eastAsia"/>
                <w:sz w:val="24"/>
                <w:szCs w:val="24"/>
              </w:rPr>
              <w:t>主要从事投资业务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。</w:t>
            </w:r>
          </w:p>
          <w:p w14:paraId="4999ABC5" w14:textId="4F8A619D" w:rsidR="0017300C" w:rsidRPr="0017300C" w:rsidRDefault="0017300C" w:rsidP="0017300C">
            <w:pPr>
              <w:rPr>
                <w:rFonts w:ascii="Arial" w:eastAsia="仿宋" w:hAnsi="Arial" w:cs="Arial"/>
                <w:sz w:val="24"/>
                <w:szCs w:val="24"/>
              </w:rPr>
            </w:pPr>
            <w:bookmarkStart w:id="0" w:name="OLE_LINK30"/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苏州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信</w:t>
            </w:r>
            <w:proofErr w:type="gramStart"/>
            <w:r w:rsidRPr="0017300C">
              <w:rPr>
                <w:rFonts w:ascii="Arial" w:eastAsia="仿宋" w:hAnsi="Arial" w:cs="Arial"/>
                <w:sz w:val="24"/>
                <w:szCs w:val="24"/>
              </w:rPr>
              <w:t>宸</w:t>
            </w:r>
            <w:bookmarkEnd w:id="0"/>
            <w:proofErr w:type="gramEnd"/>
            <w:r w:rsidRPr="0017300C">
              <w:rPr>
                <w:rFonts w:ascii="Arial" w:eastAsia="仿宋" w:hAnsi="Arial" w:cs="Arial"/>
                <w:sz w:val="24"/>
                <w:szCs w:val="24"/>
              </w:rPr>
              <w:t>的最终控制人为一名自然人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，主要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通过</w:t>
            </w:r>
            <w:r w:rsidR="00D77C98" w:rsidRPr="0017300C">
              <w:rPr>
                <w:rFonts w:ascii="Arial" w:eastAsia="仿宋" w:hAnsi="Arial" w:cs="Arial" w:hint="eastAsia"/>
                <w:sz w:val="24"/>
                <w:szCs w:val="24"/>
              </w:rPr>
              <w:t>苏州</w:t>
            </w:r>
            <w:r w:rsidR="00D77C98" w:rsidRPr="0017300C">
              <w:rPr>
                <w:rFonts w:ascii="Arial" w:eastAsia="仿宋" w:hAnsi="Arial" w:cs="Arial"/>
                <w:sz w:val="24"/>
                <w:szCs w:val="24"/>
              </w:rPr>
              <w:t>信</w:t>
            </w:r>
            <w:proofErr w:type="gramStart"/>
            <w:r w:rsidR="00D77C98" w:rsidRPr="0017300C">
              <w:rPr>
                <w:rFonts w:ascii="Arial" w:eastAsia="仿宋" w:hAnsi="Arial" w:cs="Arial"/>
                <w:sz w:val="24"/>
                <w:szCs w:val="24"/>
              </w:rPr>
              <w:t>宸</w:t>
            </w:r>
            <w:proofErr w:type="gramEnd"/>
            <w:r w:rsidR="00D77C98" w:rsidRPr="00D77C98">
              <w:rPr>
                <w:rFonts w:ascii="Arial" w:eastAsia="仿宋" w:hAnsi="Arial" w:cs="Arial" w:hint="eastAsia"/>
                <w:sz w:val="24"/>
                <w:szCs w:val="24"/>
              </w:rPr>
              <w:t>及其关联实体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从事投资控股业务。</w:t>
            </w:r>
          </w:p>
        </w:tc>
      </w:tr>
      <w:tr w:rsidR="0017300C" w:rsidRPr="0017300C" w14:paraId="19BEC907" w14:textId="77777777" w:rsidTr="0017300C">
        <w:trPr>
          <w:trHeight w:val="20"/>
        </w:trPr>
        <w:tc>
          <w:tcPr>
            <w:tcW w:w="1104" w:type="pct"/>
            <w:vMerge/>
            <w:shd w:val="clear" w:color="auto" w:fill="D9D9D9"/>
          </w:tcPr>
          <w:p w14:paraId="185B4C9B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</w:p>
        </w:tc>
        <w:tc>
          <w:tcPr>
            <w:tcW w:w="956" w:type="pct"/>
          </w:tcPr>
          <w:p w14:paraId="0196A4C3" w14:textId="77777777" w:rsidR="0017300C" w:rsidRPr="0017300C" w:rsidRDefault="0017300C" w:rsidP="0017300C">
            <w:pPr>
              <w:numPr>
                <w:ilvl w:val="0"/>
                <w:numId w:val="1"/>
              </w:numPr>
              <w:jc w:val="left"/>
              <w:rPr>
                <w:rFonts w:ascii="Arial" w:eastAsia="仿宋_GB2312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目标公司</w:t>
            </w:r>
          </w:p>
        </w:tc>
        <w:tc>
          <w:tcPr>
            <w:tcW w:w="2940" w:type="pct"/>
          </w:tcPr>
          <w:p w14:paraId="0B3B8723" w14:textId="76654FD7" w:rsidR="0017300C" w:rsidRPr="0017300C" w:rsidRDefault="0017300C" w:rsidP="0017300C">
            <w:pPr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目标公司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主要从事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移动游戏开发和发行业务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。</w:t>
            </w:r>
          </w:p>
          <w:p w14:paraId="05BC0956" w14:textId="77777777" w:rsidR="0017300C" w:rsidRPr="0017300C" w:rsidRDefault="0017300C" w:rsidP="0017300C">
            <w:pPr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目标公司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的最终控制人为</w:t>
            </w:r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阿里巴巴集团，主要业务为中国网络销售平台、全球批发贸易平台、中国批发贸易平台、全球零售市场、</w:t>
            </w:r>
            <w:proofErr w:type="gramStart"/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云计算</w:t>
            </w:r>
            <w:proofErr w:type="gramEnd"/>
            <w:r w:rsidRPr="0017300C">
              <w:rPr>
                <w:rFonts w:ascii="Arial" w:eastAsia="仿宋" w:hAnsi="Arial" w:cs="Arial" w:hint="eastAsia"/>
                <w:sz w:val="24"/>
                <w:szCs w:val="24"/>
              </w:rPr>
              <w:t>产品与服务等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。</w:t>
            </w:r>
          </w:p>
        </w:tc>
      </w:tr>
      <w:tr w:rsidR="0017300C" w:rsidRPr="0017300C" w14:paraId="34571B91" w14:textId="77777777" w:rsidTr="0017300C">
        <w:trPr>
          <w:trHeight w:val="20"/>
        </w:trPr>
        <w:tc>
          <w:tcPr>
            <w:tcW w:w="1104" w:type="pct"/>
            <w:vMerge w:val="restart"/>
            <w:shd w:val="clear" w:color="auto" w:fill="D9D9D9"/>
          </w:tcPr>
          <w:p w14:paraId="4732C3C8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sz w:val="24"/>
                <w:szCs w:val="24"/>
              </w:rPr>
              <w:t>简易案件理由（可以单选，也可以多选）</w:t>
            </w:r>
          </w:p>
        </w:tc>
        <w:tc>
          <w:tcPr>
            <w:tcW w:w="3896" w:type="pct"/>
            <w:gridSpan w:val="2"/>
          </w:tcPr>
          <w:p w14:paraId="018DB4A0" w14:textId="77777777" w:rsidR="0017300C" w:rsidRPr="0017300C" w:rsidRDefault="0017300C" w:rsidP="0017300C">
            <w:pPr>
              <w:jc w:val="left"/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sym w:font="Wingdings" w:char="00A8"/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 xml:space="preserve">1. 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在同一相关市场，所有参与集中的经营者所占市场份额之和小于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15%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。</w:t>
            </w:r>
          </w:p>
        </w:tc>
      </w:tr>
      <w:tr w:rsidR="0017300C" w:rsidRPr="0017300C" w14:paraId="53EDCAB9" w14:textId="77777777" w:rsidTr="0017300C">
        <w:trPr>
          <w:trHeight w:val="20"/>
        </w:trPr>
        <w:tc>
          <w:tcPr>
            <w:tcW w:w="1104" w:type="pct"/>
            <w:vMerge/>
            <w:shd w:val="clear" w:color="auto" w:fill="D9D9D9"/>
          </w:tcPr>
          <w:p w14:paraId="0CC9616C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24AB1FC0" w14:textId="77777777" w:rsidR="0017300C" w:rsidRPr="0017300C" w:rsidRDefault="0017300C" w:rsidP="0017300C">
            <w:pPr>
              <w:jc w:val="left"/>
              <w:rPr>
                <w:rFonts w:ascii="Arial" w:eastAsia="仿宋" w:hAnsi="Arial" w:cs="Arial"/>
                <w:b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sym w:font="Wingdings" w:char="00A8"/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 xml:space="preserve">2. 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存在上下游关系的参与集中的经营者，在上下游市场所占的市场份额均小于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25%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。</w:t>
            </w:r>
          </w:p>
        </w:tc>
      </w:tr>
      <w:tr w:rsidR="0017300C" w:rsidRPr="0017300C" w14:paraId="4EDA6808" w14:textId="77777777" w:rsidTr="0017300C">
        <w:trPr>
          <w:trHeight w:val="20"/>
        </w:trPr>
        <w:tc>
          <w:tcPr>
            <w:tcW w:w="1104" w:type="pct"/>
            <w:vMerge/>
            <w:shd w:val="clear" w:color="auto" w:fill="D9D9D9"/>
          </w:tcPr>
          <w:p w14:paraId="648705B7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2AF33238" w14:textId="77777777" w:rsidR="0017300C" w:rsidRPr="0017300C" w:rsidRDefault="0017300C" w:rsidP="0017300C">
            <w:pPr>
              <w:jc w:val="left"/>
              <w:rPr>
                <w:rFonts w:ascii="Arial" w:eastAsia="仿宋" w:hAnsi="Arial" w:cs="Arial"/>
                <w:bCs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sym w:font="Wingdings" w:char="00FE"/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 xml:space="preserve">3. 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不在同一相关市场、也不存在上下游关系的参与集中的经营者，在与交易有关的每个市场所占的份额均小于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25%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。</w:t>
            </w:r>
          </w:p>
        </w:tc>
      </w:tr>
      <w:tr w:rsidR="0017300C" w:rsidRPr="0017300C" w14:paraId="0DFA5C1E" w14:textId="77777777" w:rsidTr="0017300C">
        <w:trPr>
          <w:trHeight w:val="20"/>
        </w:trPr>
        <w:tc>
          <w:tcPr>
            <w:tcW w:w="1104" w:type="pct"/>
            <w:vMerge/>
            <w:shd w:val="clear" w:color="auto" w:fill="D9D9D9"/>
          </w:tcPr>
          <w:p w14:paraId="2BD5E502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47BF38FF" w14:textId="77777777" w:rsidR="0017300C" w:rsidRPr="0017300C" w:rsidRDefault="0017300C" w:rsidP="0017300C">
            <w:pPr>
              <w:jc w:val="left"/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sz w:val="24"/>
                <w:szCs w:val="24"/>
              </w:rPr>
              <w:sym w:font="Wingdings" w:char="F0A8"/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 xml:space="preserve">4. 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参与集中的经营者在中国境外设立合营企业，合营企业不在中国境内从事经济活动。</w:t>
            </w:r>
          </w:p>
        </w:tc>
      </w:tr>
      <w:tr w:rsidR="0017300C" w:rsidRPr="0017300C" w14:paraId="720EE486" w14:textId="77777777" w:rsidTr="0017300C">
        <w:trPr>
          <w:trHeight w:val="20"/>
        </w:trPr>
        <w:tc>
          <w:tcPr>
            <w:tcW w:w="1104" w:type="pct"/>
            <w:vMerge/>
            <w:shd w:val="clear" w:color="auto" w:fill="D9D9D9"/>
          </w:tcPr>
          <w:p w14:paraId="58AC9754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703666B3" w14:textId="77777777" w:rsidR="0017300C" w:rsidRPr="0017300C" w:rsidRDefault="0017300C" w:rsidP="0017300C">
            <w:pPr>
              <w:jc w:val="left"/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sz w:val="24"/>
                <w:szCs w:val="24"/>
              </w:rPr>
              <w:sym w:font="Wingdings" w:char="F0A8"/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 xml:space="preserve">5. 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参与集中的经营者收购境外企业股权或资产的，该境外企业不在中国境内从事经济活动。</w:t>
            </w:r>
          </w:p>
        </w:tc>
      </w:tr>
      <w:tr w:rsidR="0017300C" w:rsidRPr="0017300C" w14:paraId="1775CC70" w14:textId="77777777" w:rsidTr="0017300C">
        <w:trPr>
          <w:trHeight w:val="20"/>
        </w:trPr>
        <w:tc>
          <w:tcPr>
            <w:tcW w:w="1104" w:type="pct"/>
            <w:vMerge/>
            <w:shd w:val="clear" w:color="auto" w:fill="D9D9D9"/>
          </w:tcPr>
          <w:p w14:paraId="4061E07E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</w:p>
        </w:tc>
        <w:tc>
          <w:tcPr>
            <w:tcW w:w="3896" w:type="pct"/>
            <w:gridSpan w:val="2"/>
          </w:tcPr>
          <w:p w14:paraId="05EE0656" w14:textId="77777777" w:rsidR="0017300C" w:rsidRPr="0017300C" w:rsidRDefault="0017300C" w:rsidP="0017300C">
            <w:pPr>
              <w:jc w:val="left"/>
              <w:rPr>
                <w:rFonts w:ascii="Arial" w:eastAsia="仿宋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sz w:val="24"/>
                <w:szCs w:val="24"/>
              </w:rPr>
              <w:sym w:font="Wingdings" w:char="F0A8"/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 xml:space="preserve">6. </w:t>
            </w:r>
            <w:r w:rsidRPr="0017300C">
              <w:rPr>
                <w:rFonts w:ascii="Arial" w:eastAsia="仿宋" w:hAnsi="Arial" w:cs="Arial"/>
                <w:sz w:val="24"/>
                <w:szCs w:val="24"/>
              </w:rPr>
              <w:t>由两个以上的经营者共同控制的合营企业，通过集中被其中一个或一个以上经营者控制。</w:t>
            </w:r>
          </w:p>
        </w:tc>
      </w:tr>
      <w:tr w:rsidR="0017300C" w:rsidRPr="0017300C" w14:paraId="2011FE96" w14:textId="77777777" w:rsidTr="0017300C">
        <w:trPr>
          <w:trHeight w:val="20"/>
        </w:trPr>
        <w:tc>
          <w:tcPr>
            <w:tcW w:w="1104" w:type="pct"/>
            <w:shd w:val="clear" w:color="auto" w:fill="D9D9D9"/>
          </w:tcPr>
          <w:p w14:paraId="1D30AB33" w14:textId="77777777" w:rsidR="0017300C" w:rsidRPr="0017300C" w:rsidRDefault="0017300C" w:rsidP="0017300C">
            <w:pPr>
              <w:rPr>
                <w:rFonts w:ascii="Arial" w:eastAsia="仿宋_GB2312" w:hAnsi="Arial" w:cs="Arial"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sz w:val="24"/>
                <w:szCs w:val="24"/>
              </w:rPr>
              <w:t>备注</w:t>
            </w:r>
          </w:p>
        </w:tc>
        <w:tc>
          <w:tcPr>
            <w:tcW w:w="3896" w:type="pct"/>
            <w:gridSpan w:val="2"/>
          </w:tcPr>
          <w:p w14:paraId="6F247414" w14:textId="77777777" w:rsidR="0017300C" w:rsidRPr="0017300C" w:rsidRDefault="0017300C" w:rsidP="0017300C">
            <w:pPr>
              <w:jc w:val="left"/>
              <w:rPr>
                <w:rFonts w:ascii="Arial" w:eastAsia="仿宋" w:hAnsi="Arial" w:cs="Arial"/>
                <w:bCs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b/>
                <w:sz w:val="24"/>
                <w:szCs w:val="24"/>
              </w:rPr>
              <w:t>混合集中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：</w:t>
            </w:r>
          </w:p>
          <w:p w14:paraId="07569800" w14:textId="68F3E74B" w:rsidR="0017300C" w:rsidRPr="0017300C" w:rsidRDefault="0017300C" w:rsidP="0017300C">
            <w:pPr>
              <w:jc w:val="left"/>
              <w:rPr>
                <w:rFonts w:ascii="Arial" w:eastAsia="仿宋" w:hAnsi="Arial" w:cs="Arial"/>
                <w:bCs/>
                <w:sz w:val="24"/>
                <w:szCs w:val="24"/>
              </w:rPr>
            </w:pP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2025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年中国境内</w:t>
            </w:r>
            <w:r w:rsidRPr="0017300C">
              <w:rPr>
                <w:rFonts w:ascii="Arial" w:eastAsia="仿宋" w:hAnsi="Arial" w:cs="Arial" w:hint="eastAsia"/>
                <w:bCs/>
                <w:sz w:val="24"/>
                <w:szCs w:val="24"/>
              </w:rPr>
              <w:t>移动游戏开发</w:t>
            </w:r>
            <w:r w:rsidR="003E7A8D">
              <w:rPr>
                <w:rFonts w:ascii="Arial" w:eastAsia="仿宋" w:hAnsi="Arial" w:cs="Arial" w:hint="eastAsia"/>
                <w:bCs/>
                <w:sz w:val="24"/>
                <w:szCs w:val="24"/>
              </w:rPr>
              <w:t>与</w:t>
            </w:r>
            <w:r w:rsidRPr="0017300C">
              <w:rPr>
                <w:rFonts w:ascii="Arial" w:eastAsia="仿宋" w:hAnsi="Arial" w:cs="Arial" w:hint="eastAsia"/>
                <w:bCs/>
                <w:sz w:val="24"/>
                <w:szCs w:val="24"/>
              </w:rPr>
              <w:t>发行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市场：</w:t>
            </w:r>
            <w:r w:rsidRPr="0017300C">
              <w:rPr>
                <w:rFonts w:ascii="Arial" w:eastAsia="仿宋" w:hAnsi="Arial" w:cs="Arial" w:hint="eastAsia"/>
                <w:bCs/>
                <w:sz w:val="24"/>
                <w:szCs w:val="24"/>
              </w:rPr>
              <w:t>目标公司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：</w:t>
            </w:r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[0-</w:t>
            </w:r>
            <w:proofErr w:type="gramStart"/>
            <w:r w:rsidRPr="0017300C">
              <w:rPr>
                <w:rFonts w:ascii="Arial" w:eastAsia="仿宋" w:hAnsi="Arial" w:cs="Arial"/>
                <w:bCs/>
                <w:sz w:val="24"/>
                <w:szCs w:val="24"/>
              </w:rPr>
              <w:t>5]%</w:t>
            </w:r>
            <w:proofErr w:type="gramEnd"/>
          </w:p>
        </w:tc>
      </w:tr>
    </w:tbl>
    <w:p w14:paraId="09FDCF78" w14:textId="77777777" w:rsidR="0099108A" w:rsidRPr="0017300C" w:rsidRDefault="0099108A"/>
    <w:sectPr w:rsidR="0099108A" w:rsidRPr="0017300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B2246" w14:textId="77777777" w:rsidR="00CF6656" w:rsidRDefault="00CF6656" w:rsidP="0017300C">
      <w:r>
        <w:separator/>
      </w:r>
    </w:p>
  </w:endnote>
  <w:endnote w:type="continuationSeparator" w:id="0">
    <w:p w14:paraId="0CADC4CE" w14:textId="77777777" w:rsidR="00CF6656" w:rsidRDefault="00CF6656" w:rsidP="00173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351765434"/>
    </w:sdtPr>
    <w:sdtContent>
      <w:sdt>
        <w:sdtPr>
          <w:rPr>
            <w:rFonts w:ascii="Arial" w:hAnsi="Arial" w:cs="Arial"/>
          </w:rPr>
          <w:id w:val="1728636285"/>
        </w:sdtPr>
        <w:sdtContent>
          <w:p w14:paraId="28E8FBC9" w14:textId="77777777" w:rsidR="00126B45" w:rsidRDefault="00000000">
            <w:pPr>
              <w:pStyle w:val="a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zh-CN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/>
                <w:bCs/>
              </w:rPr>
              <w:instrText>PAGE</w:instrTex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bCs/>
                <w:lang w:val="zh-CN"/>
              </w:rPr>
              <w:t>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lang w:val="zh-CN"/>
              </w:rPr>
              <w:t xml:space="preserve"> /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Arial" w:hAnsi="Arial" w:cs="Arial"/>
                <w:b/>
                <w:bCs/>
              </w:rPr>
              <w:instrText>NUMPAGES</w:instrTex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bCs/>
                <w:lang w:val="zh-CN"/>
              </w:rPr>
              <w:t>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444E7" w14:textId="77777777" w:rsidR="00CF6656" w:rsidRDefault="00CF6656" w:rsidP="0017300C">
      <w:r>
        <w:separator/>
      </w:r>
    </w:p>
  </w:footnote>
  <w:footnote w:type="continuationSeparator" w:id="0">
    <w:p w14:paraId="084CC464" w14:textId="77777777" w:rsidR="00CF6656" w:rsidRDefault="00CF6656" w:rsidP="00173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A4B8E"/>
    <w:multiLevelType w:val="multilevel"/>
    <w:tmpl w:val="19AA4B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92566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20"/>
    <w:rsid w:val="00032D57"/>
    <w:rsid w:val="000C3020"/>
    <w:rsid w:val="0017300C"/>
    <w:rsid w:val="00391026"/>
    <w:rsid w:val="003E7A8D"/>
    <w:rsid w:val="006F54D2"/>
    <w:rsid w:val="0070661A"/>
    <w:rsid w:val="00871EC7"/>
    <w:rsid w:val="008E2CD6"/>
    <w:rsid w:val="009115FE"/>
    <w:rsid w:val="0099108A"/>
    <w:rsid w:val="00AD39A5"/>
    <w:rsid w:val="00BF4E7D"/>
    <w:rsid w:val="00C51BFD"/>
    <w:rsid w:val="00CD6842"/>
    <w:rsid w:val="00CE1E01"/>
    <w:rsid w:val="00CF6656"/>
    <w:rsid w:val="00D066ED"/>
    <w:rsid w:val="00D11FCE"/>
    <w:rsid w:val="00D63C99"/>
    <w:rsid w:val="00D7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C74E0"/>
  <w15:chartTrackingRefBased/>
  <w15:docId w15:val="{5CEF528C-EA76-44D3-B0A4-F57E4294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0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30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30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300C"/>
    <w:rPr>
      <w:sz w:val="18"/>
      <w:szCs w:val="18"/>
    </w:rPr>
  </w:style>
  <w:style w:type="table" w:styleId="a7">
    <w:name w:val="Table Grid"/>
    <w:basedOn w:val="a1"/>
    <w:uiPriority w:val="59"/>
    <w:qFormat/>
    <w:rsid w:val="0017300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391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</dc:creator>
  <cp:keywords/>
  <dc:description/>
  <cp:lastModifiedBy>  </cp:lastModifiedBy>
  <cp:revision>8</cp:revision>
  <dcterms:created xsi:type="dcterms:W3CDTF">2026-08-26T04:39:00Z</dcterms:created>
  <dcterms:modified xsi:type="dcterms:W3CDTF">2026-09-16T09:02:00Z</dcterms:modified>
</cp:coreProperties>
</file>