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after="240" w:line="594" w:lineRule="exact"/>
        <w:jc w:val="center"/>
        <w:rPr>
          <w:rFonts w:ascii="Times New Roman" w:hAnsi="Times New Roman" w:eastAsia="黑体" w:cs="Times New Roman"/>
          <w:bCs/>
          <w:kern w:val="0"/>
          <w:sz w:val="44"/>
          <w:szCs w:val="44"/>
          <w14:ligatures w14:val="none"/>
        </w:rPr>
      </w:pPr>
      <w:r>
        <w:rPr>
          <w:rFonts w:ascii="黑体" w:hAnsi="黑体" w:eastAsia="黑体" w:cs="Times New Roman"/>
          <w:bCs/>
          <w:kern w:val="0"/>
          <w:sz w:val="36"/>
          <w:szCs w:val="36"/>
          <w14:ligatures w14:val="none"/>
        </w:rPr>
        <w:t>经营者集中简易案件公示表</w:t>
      </w:r>
    </w:p>
    <w:tbl>
      <w:tblPr>
        <w:tblStyle w:val="4"/>
        <w:tblW w:w="96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5"/>
        <w:gridCol w:w="1582"/>
        <w:gridCol w:w="60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FCECE"/>
            <w:vAlign w:val="center"/>
          </w:tcPr>
          <w:p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eastAsia="宋体" w:cs="Times New Roman"/>
                <w:bCs/>
                <w:color w:val="000000"/>
                <w:sz w:val="24"/>
                <w14:ligatures w14:val="none"/>
              </w:rPr>
            </w:pPr>
            <w:r>
              <w:rPr>
                <w:rFonts w:ascii="宋体" w:hAnsi="宋体" w:eastAsia="宋体" w:cs="Times New Roman"/>
                <w:bCs/>
                <w:color w:val="000000"/>
                <w:sz w:val="24"/>
                <w14:ligatures w14:val="none"/>
              </w:rPr>
              <w:t>案件名称</w:t>
            </w:r>
          </w:p>
        </w:tc>
        <w:tc>
          <w:tcPr>
            <w:tcW w:w="76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eastAsia="宋体" w:cs="Times New Roman"/>
                <w:bCs/>
                <w:color w:val="000000"/>
                <w:sz w:val="24"/>
                <w14:ligatures w14:val="none"/>
              </w:rPr>
            </w:pPr>
            <w:r>
              <w:rPr>
                <w:rFonts w:ascii="宋体" w:hAnsi="宋体" w:eastAsia="宋体" w:cs="Times New Roman"/>
                <w:bCs/>
                <w:color w:val="000000"/>
                <w:sz w:val="24"/>
                <w14:ligatures w14:val="none"/>
              </w:rPr>
              <w:t>广汽商贸有限公司收购东莞宝钢钢材部件有限公司股权案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3" w:hRule="atLeast"/>
          <w:jc w:val="center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FCECE"/>
            <w:vAlign w:val="center"/>
          </w:tcPr>
          <w:p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eastAsia="宋体" w:cs="Times New Roman"/>
                <w:bCs/>
                <w:color w:val="000000"/>
                <w:sz w:val="24"/>
                <w14:ligatures w14:val="none"/>
              </w:rPr>
            </w:pPr>
            <w:r>
              <w:rPr>
                <w:rFonts w:ascii="宋体" w:hAnsi="宋体" w:eastAsia="宋体" w:cs="Times New Roman"/>
                <w:bCs/>
                <w:color w:val="000000"/>
                <w:sz w:val="24"/>
                <w14:ligatures w14:val="none"/>
              </w:rPr>
              <w:t>交易概况</w:t>
            </w:r>
          </w:p>
        </w:tc>
        <w:tc>
          <w:tcPr>
            <w:tcW w:w="76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1"/>
                <w:szCs w:val="21"/>
                <w14:ligatures w14:val="none"/>
              </w:rPr>
            </w:pPr>
            <w:r>
              <w:rPr>
                <w:rFonts w:ascii="宋体" w:hAnsi="宋体" w:eastAsia="宋体" w:cs="Times New Roman"/>
                <w:sz w:val="24"/>
                <w14:ligatures w14:val="none"/>
              </w:rPr>
              <w:t>广汽商贸有限公司（“广汽商贸”）与上海宝钢国际经济贸易有限公司（“宝钢国际”）签署协议，广汽商贸拟收购东莞宝钢钢材部件有限公司（“东莞部件”）共计</w:t>
            </w:r>
            <w:r>
              <w:rPr>
                <w:rFonts w:ascii="Times" w:hAnsi="Times" w:eastAsia="宋体" w:cs="Times New Roman"/>
                <w:sz w:val="24"/>
                <w14:ligatures w14:val="none"/>
              </w:rPr>
              <w:t>40%</w:t>
            </w:r>
            <w:r>
              <w:rPr>
                <w:rFonts w:ascii="宋体" w:hAnsi="宋体" w:eastAsia="宋体" w:cs="Times New Roman"/>
                <w:sz w:val="24"/>
                <w14:ligatures w14:val="none"/>
              </w:rPr>
              <w:t>的股权。东莞部件主要从事钢材切割加工和配送市场。交易前，宝钢国际持有东莞部件</w:t>
            </w:r>
            <w:r>
              <w:rPr>
                <w:rFonts w:ascii="Times" w:hAnsi="Times" w:eastAsia="宋体" w:cs="Times New Roman"/>
                <w:sz w:val="24"/>
                <w14:ligatures w14:val="none"/>
              </w:rPr>
              <w:t>100%</w:t>
            </w:r>
            <w:r>
              <w:rPr>
                <w:rFonts w:ascii="宋体" w:hAnsi="宋体" w:eastAsia="宋体" w:cs="Times New Roman"/>
                <w:sz w:val="24"/>
                <w14:ligatures w14:val="none"/>
              </w:rPr>
              <w:t>的股权，单独控制东莞部件。交易后，宝钢国际、广汽商贸将分别持有东莞部件</w:t>
            </w:r>
            <w:r>
              <w:rPr>
                <w:rFonts w:ascii="Times" w:hAnsi="Times" w:eastAsia="宋体" w:cs="Times New Roman"/>
                <w:sz w:val="24"/>
                <w14:ligatures w14:val="none"/>
              </w:rPr>
              <w:t>60%</w:t>
            </w:r>
            <w:r>
              <w:rPr>
                <w:rFonts w:ascii="宋体" w:hAnsi="宋体" w:eastAsia="宋体" w:cs="Times New Roman"/>
                <w:sz w:val="24"/>
                <w14:ligatures w14:val="none"/>
              </w:rPr>
              <w:t>和</w:t>
            </w:r>
            <w:r>
              <w:rPr>
                <w:rFonts w:ascii="Times" w:hAnsi="Times" w:eastAsia="宋体" w:cs="Times New Roman"/>
                <w:sz w:val="24"/>
                <w14:ligatures w14:val="none"/>
              </w:rPr>
              <w:t>40%</w:t>
            </w:r>
            <w:r>
              <w:rPr>
                <w:rFonts w:ascii="宋体" w:hAnsi="宋体" w:eastAsia="宋体" w:cs="Times New Roman"/>
                <w:sz w:val="24"/>
                <w14:ligatures w14:val="none"/>
              </w:rPr>
              <w:t>的股权，共同控制东莞部件。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3" w:hRule="atLeast"/>
          <w:jc w:val="center"/>
        </w:trPr>
        <w:tc>
          <w:tcPr>
            <w:tcW w:w="196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FCECE"/>
            <w:vAlign w:val="center"/>
          </w:tcPr>
          <w:p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eastAsia="宋体" w:cs="Times New Roman"/>
                <w:bCs/>
                <w:color w:val="000000"/>
                <w:sz w:val="24"/>
                <w14:ligatures w14:val="none"/>
              </w:rPr>
            </w:pPr>
            <w:r>
              <w:rPr>
                <w:rFonts w:ascii="宋体" w:hAnsi="宋体" w:eastAsia="宋体" w:cs="Times New Roman"/>
                <w:bCs/>
                <w:color w:val="000000"/>
                <w:sz w:val="24"/>
                <w14:ligatures w14:val="none"/>
              </w:rPr>
              <w:t>参与集中的经营者简介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eastAsia="宋体" w:cs="Times New Roman"/>
                <w:bCs/>
                <w:color w:val="000000"/>
                <w:sz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sz w:val="24"/>
                <w14:ligatures w14:val="none"/>
              </w:rPr>
              <w:t>1.</w:t>
            </w:r>
            <w:r>
              <w:rPr>
                <w:rFonts w:ascii="Times New Roman" w:hAnsi="Times New Roman" w:eastAsia="宋体" w:cs="Times New Roman"/>
                <w:sz w:val="24"/>
                <w14:ligatures w14:val="none"/>
              </w:rPr>
              <w:t xml:space="preserve"> </w:t>
            </w:r>
            <w:r>
              <w:rPr>
                <w:rFonts w:ascii="宋体" w:hAnsi="宋体" w:eastAsia="宋体" w:cs="Times New Roman"/>
                <w:bCs/>
                <w:color w:val="000000"/>
                <w:sz w:val="24"/>
                <w14:ligatures w14:val="none"/>
              </w:rPr>
              <w:t>广汽商贸</w:t>
            </w:r>
          </w:p>
        </w:tc>
        <w:tc>
          <w:tcPr>
            <w:tcW w:w="6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after="0" w:line="240" w:lineRule="auto"/>
              <w:rPr>
                <w:rFonts w:ascii="Times New Roman" w:hAnsi="Times New Roman" w:eastAsia="宋体" w:cs="Times New Roman"/>
                <w:bCs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宋体" w:hAnsi="宋体" w:eastAsia="宋体" w:cs="Times New Roman"/>
                <w:bCs/>
                <w:color w:val="000000"/>
                <w:kern w:val="0"/>
                <w:sz w:val="24"/>
                <w14:ligatures w14:val="none"/>
              </w:rPr>
              <w:t>广汽商贸于</w:t>
            </w:r>
            <w:r>
              <w:rPr>
                <w:rFonts w:ascii="Times New Roman" w:hAnsi="Times New Roman" w:eastAsia="宋体" w:cs="Times New Roman"/>
                <w:bCs/>
                <w:color w:val="000000"/>
                <w:kern w:val="0"/>
                <w:sz w:val="24"/>
                <w14:ligatures w14:val="none"/>
              </w:rPr>
              <w:t>2000</w:t>
            </w:r>
            <w:r>
              <w:rPr>
                <w:rFonts w:ascii="宋体" w:hAnsi="宋体" w:eastAsia="宋体" w:cs="Times New Roman"/>
                <w:bCs/>
                <w:color w:val="000000"/>
                <w:kern w:val="0"/>
                <w:sz w:val="24"/>
                <w14:ligatures w14:val="none"/>
              </w:rPr>
              <w:t>年</w:t>
            </w:r>
            <w:r>
              <w:rPr>
                <w:rFonts w:ascii="Times New Roman" w:hAnsi="Times New Roman" w:eastAsia="宋体" w:cs="Times New Roman"/>
                <w:bCs/>
                <w:color w:val="000000"/>
                <w:kern w:val="0"/>
                <w:sz w:val="24"/>
                <w14:ligatures w14:val="none"/>
              </w:rPr>
              <w:t>3</w:t>
            </w:r>
            <w:r>
              <w:rPr>
                <w:rFonts w:ascii="宋体" w:hAnsi="宋体" w:eastAsia="宋体" w:cs="Times New Roman"/>
                <w:bCs/>
                <w:color w:val="000000"/>
                <w:kern w:val="0"/>
                <w:sz w:val="24"/>
                <w14:ligatures w14:val="none"/>
              </w:rPr>
              <w:t>月</w:t>
            </w:r>
            <w:r>
              <w:rPr>
                <w:rFonts w:ascii="Times New Roman" w:hAnsi="Times New Roman" w:eastAsia="宋体" w:cs="Times New Roman"/>
                <w:bCs/>
                <w:color w:val="000000"/>
                <w:kern w:val="0"/>
                <w:sz w:val="24"/>
                <w14:ligatures w14:val="none"/>
              </w:rPr>
              <w:t>21</w:t>
            </w:r>
            <w:r>
              <w:rPr>
                <w:rFonts w:ascii="宋体" w:hAnsi="宋体" w:eastAsia="宋体" w:cs="Times New Roman"/>
                <w:bCs/>
                <w:color w:val="000000"/>
                <w:kern w:val="0"/>
                <w:sz w:val="24"/>
                <w14:ligatures w14:val="none"/>
              </w:rPr>
              <w:t>日成立于广东省广州市，主要业务包括汽车销售与售后市场服务、货物进出口、物流配送服务、环保及再生资源和相应配套服务。</w:t>
            </w:r>
          </w:p>
          <w:p>
            <w:pPr>
              <w:widowControl/>
              <w:adjustRightInd w:val="0"/>
              <w:snapToGrid w:val="0"/>
              <w:spacing w:after="0" w:line="240" w:lineRule="auto"/>
              <w:rPr>
                <w:rFonts w:ascii="Times New Roman" w:hAnsi="Times New Roman" w:eastAsia="宋体" w:cs="Times New Roman"/>
                <w:bCs/>
                <w:color w:val="000000"/>
                <w:sz w:val="24"/>
                <w14:ligatures w14:val="none"/>
              </w:rPr>
            </w:pPr>
            <w:r>
              <w:rPr>
                <w:rFonts w:ascii="宋体" w:hAnsi="宋体" w:eastAsia="宋体" w:cs="Times New Roman"/>
                <w:bCs/>
                <w:color w:val="000000"/>
                <w:kern w:val="0"/>
                <w:sz w:val="24"/>
                <w14:ligatures w14:val="none"/>
              </w:rPr>
              <w:t>广汽商贸最终控制人为广州汽车集团股份有限公司，主要业务包括研发、整车、零部件、商贸服务、金融出行等汽车完整产业链。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3" w:hRule="atLeast"/>
          <w:jc w:val="center"/>
        </w:trPr>
        <w:tc>
          <w:tcPr>
            <w:tcW w:w="196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bCs/>
                <w:color w:val="000000"/>
                <w:sz w:val="24"/>
                <w14:ligatures w14:val="none"/>
              </w:rPr>
            </w:pP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1"/>
              </w:num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eastAsia="宋体" w:cs="Times New Roman"/>
                <w:bCs/>
                <w:color w:val="000000"/>
                <w:sz w:val="24"/>
                <w14:ligatures w14:val="none"/>
              </w:rPr>
            </w:pPr>
            <w:r>
              <w:rPr>
                <w:rFonts w:ascii="宋体" w:hAnsi="宋体" w:eastAsia="宋体" w:cs="Times New Roman"/>
                <w:bCs/>
                <w:color w:val="000000"/>
                <w:sz w:val="24"/>
                <w14:ligatures w14:val="none"/>
              </w:rPr>
              <w:t>宝钢国际</w:t>
            </w:r>
          </w:p>
        </w:tc>
        <w:tc>
          <w:tcPr>
            <w:tcW w:w="6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after="0" w:line="240" w:lineRule="auto"/>
              <w:rPr>
                <w:rFonts w:ascii="Times New Roman" w:hAnsi="Times New Roman" w:eastAsia="宋体" w:cs="Times New Roman"/>
                <w:bCs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宋体" w:hAnsi="宋体" w:eastAsia="宋体" w:cs="Times New Roman"/>
                <w:bCs/>
                <w:color w:val="000000"/>
                <w:sz w:val="24"/>
                <w14:ligatures w14:val="none"/>
              </w:rPr>
              <w:t>宝钢国</w:t>
            </w:r>
            <w:r>
              <w:rPr>
                <w:rFonts w:ascii="Times New Roman" w:hAnsi="Times New Roman" w:eastAsia="宋体" w:cs="Times New Roman"/>
                <w:bCs/>
                <w:color w:val="000000"/>
                <w:kern w:val="0"/>
                <w:sz w:val="24"/>
                <w14:ligatures w14:val="none"/>
              </w:rPr>
              <w:t>际于1985年6</w:t>
            </w:r>
            <w:r>
              <w:rPr>
                <w:rFonts w:hint="eastAsia" w:ascii="Times New Roman" w:hAnsi="Times New Roman" w:eastAsia="宋体" w:cs="Times New Roman"/>
                <w:bCs/>
                <w:color w:val="000000"/>
                <w:kern w:val="0"/>
                <w:sz w:val="24"/>
                <w:lang w:eastAsia="zh-CN"/>
                <w14:ligatures w14:val="none"/>
              </w:rPr>
              <w:t>月</w:t>
            </w:r>
            <w:r>
              <w:rPr>
                <w:rFonts w:ascii="Times New Roman" w:hAnsi="Times New Roman" w:eastAsia="宋体" w:cs="Times New Roman"/>
                <w:bCs/>
                <w:color w:val="000000"/>
                <w:kern w:val="0"/>
                <w:sz w:val="24"/>
                <w14:ligatures w14:val="none"/>
              </w:rPr>
              <w:t>13</w:t>
            </w:r>
            <w:r>
              <w:rPr>
                <w:rFonts w:hint="eastAsia" w:ascii="Times New Roman" w:hAnsi="Times New Roman" w:eastAsia="宋体" w:cs="Times New Roman"/>
                <w:bCs/>
                <w:color w:val="000000"/>
                <w:kern w:val="0"/>
                <w:sz w:val="24"/>
                <w:lang w:eastAsia="zh-CN"/>
                <w14:ligatures w14:val="none"/>
              </w:rPr>
              <w:t>日</w:t>
            </w:r>
            <w:r>
              <w:rPr>
                <w:rFonts w:ascii="Times New Roman" w:hAnsi="Times New Roman" w:eastAsia="宋体" w:cs="Times New Roman"/>
                <w:bCs/>
                <w:color w:val="000000"/>
                <w:kern w:val="0"/>
                <w:sz w:val="24"/>
                <w14:ligatures w14:val="none"/>
              </w:rPr>
              <w:t>成立于上海市。宝钢国际</w:t>
            </w:r>
            <w:r>
              <w:rPr>
                <w:rFonts w:hint="eastAsia" w:ascii="Times New Roman" w:hAnsi="Times New Roman" w:eastAsia="宋体" w:cs="Times New Roman"/>
                <w:bCs/>
                <w:color w:val="000000"/>
                <w:kern w:val="0"/>
                <w:sz w:val="24"/>
                <w14:ligatures w14:val="none"/>
              </w:rPr>
              <w:t>主要从事钢材贸易业务</w:t>
            </w:r>
            <w:r>
              <w:rPr>
                <w:rFonts w:ascii="Times New Roman" w:hAnsi="Times New Roman" w:eastAsia="宋体" w:cs="Times New Roman"/>
                <w:bCs/>
                <w:color w:val="000000"/>
                <w:kern w:val="0"/>
                <w:sz w:val="24"/>
                <w14:ligatures w14:val="none"/>
              </w:rPr>
              <w:t>。</w:t>
            </w:r>
          </w:p>
          <w:p>
            <w:pPr>
              <w:widowControl/>
              <w:adjustRightInd w:val="0"/>
              <w:snapToGrid w:val="0"/>
              <w:spacing w:after="0" w:line="240" w:lineRule="auto"/>
              <w:rPr>
                <w:rFonts w:ascii="Times New Roman" w:hAnsi="Times New Roman" w:eastAsia="宋体" w:cs="Times New Roman"/>
                <w:bCs/>
                <w:color w:val="000000"/>
                <w:sz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kern w:val="0"/>
                <w:sz w:val="24"/>
                <w14:ligatures w14:val="none"/>
              </w:rPr>
              <w:t>宝钢国际的最终控制人为中国宝武钢铁集团有限公司，其业务领域涉及钢铁制造业、新</w:t>
            </w:r>
            <w:r>
              <w:rPr>
                <w:rFonts w:ascii="宋体" w:hAnsi="宋体" w:eastAsia="宋体" w:cs="Times New Roman"/>
                <w:bCs/>
                <w:color w:val="000000"/>
                <w:sz w:val="24"/>
                <w14:ligatures w14:val="none"/>
              </w:rPr>
              <w:t>材料产业、智慧服务业、资源环境业以及产业园区业。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196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FCECE"/>
            <w:vAlign w:val="center"/>
          </w:tcPr>
          <w:p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eastAsia="宋体" w:cs="Times New Roman"/>
                <w:bCs/>
                <w:color w:val="000000"/>
                <w:sz w:val="24"/>
                <w14:ligatures w14:val="none"/>
              </w:rPr>
            </w:pPr>
            <w:r>
              <w:rPr>
                <w:rFonts w:ascii="宋体" w:hAnsi="宋体" w:eastAsia="宋体" w:cs="Times New Roman"/>
                <w:bCs/>
                <w:color w:val="000000"/>
                <w:sz w:val="24"/>
                <w14:ligatures w14:val="none"/>
              </w:rPr>
              <w:t>简易案件理由</w:t>
            </w:r>
          </w:p>
        </w:tc>
        <w:tc>
          <w:tcPr>
            <w:tcW w:w="76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eastAsia="宋体" w:cs="Times New Roman"/>
                <w:bCs/>
                <w:color w:val="000000"/>
                <w:sz w:val="24"/>
                <w14:ligatures w14:val="none"/>
              </w:rPr>
            </w:pPr>
            <w:r>
              <w:rPr>
                <w:rFonts w:ascii="Wingdings" w:hAnsi="Wingdings" w:eastAsia="宋体" w:cs="Times New Roman"/>
                <w:bCs/>
                <w:color w:val="000000"/>
                <w:sz w:val="24"/>
                <w14:ligatures w14:val="none"/>
              </w:rPr>
              <w:t>¨</w:t>
            </w:r>
            <w:r>
              <w:rPr>
                <w:rFonts w:ascii="Times New Roman" w:hAnsi="Times New Roman" w:eastAsia="宋体" w:cs="Times New Roman"/>
                <w:bCs/>
                <w:color w:val="000000"/>
                <w:sz w:val="24"/>
                <w14:ligatures w14:val="none"/>
              </w:rPr>
              <w:t xml:space="preserve"> 1</w:t>
            </w:r>
            <w:r>
              <w:rPr>
                <w:rFonts w:ascii="宋体" w:hAnsi="宋体" w:eastAsia="宋体" w:cs="Times New Roman"/>
                <w:bCs/>
                <w:color w:val="000000"/>
                <w:sz w:val="24"/>
                <w14:ligatures w14:val="none"/>
              </w:rPr>
              <w:t>、在同一相关市场，所有参与集中的经营者所占市场份额之和小于</w:t>
            </w:r>
            <w:r>
              <w:rPr>
                <w:rFonts w:ascii="Times New Roman" w:hAnsi="Times New Roman" w:eastAsia="宋体" w:cs="Times New Roman"/>
                <w:bCs/>
                <w:color w:val="000000"/>
                <w:sz w:val="24"/>
                <w14:ligatures w14:val="none"/>
              </w:rPr>
              <w:t>15%</w:t>
            </w:r>
            <w:r>
              <w:rPr>
                <w:rFonts w:ascii="宋体" w:hAnsi="宋体" w:eastAsia="宋体" w:cs="Times New Roman"/>
                <w:bCs/>
                <w:color w:val="000000"/>
                <w:sz w:val="24"/>
                <w14:ligatures w14:val="none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196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bCs/>
                <w:color w:val="000000"/>
                <w:sz w:val="24"/>
                <w14:ligatures w14:val="none"/>
              </w:rPr>
            </w:pPr>
          </w:p>
        </w:tc>
        <w:tc>
          <w:tcPr>
            <w:tcW w:w="76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eastAsia="宋体" w:cs="Times New Roman"/>
                <w:bCs/>
                <w:color w:val="000000"/>
                <w:sz w:val="24"/>
                <w14:ligatures w14:val="none"/>
              </w:rPr>
            </w:pPr>
            <w:r>
              <w:rPr>
                <w:rFonts w:ascii="Wingdings" w:hAnsi="Wingdings" w:eastAsia="宋体" w:cs="Times New Roman"/>
                <w:bCs/>
                <w:color w:val="000000"/>
                <w:sz w:val="24"/>
                <w14:ligatures w14:val="none"/>
              </w:rPr>
              <w:t>þ</w:t>
            </w:r>
            <w:r>
              <w:rPr>
                <w:rFonts w:ascii="Times New Roman" w:hAnsi="Times New Roman" w:eastAsia="宋体" w:cs="Times New Roman"/>
                <w:bCs/>
                <w:color w:val="000000"/>
                <w:sz w:val="24"/>
                <w14:ligatures w14:val="none"/>
              </w:rPr>
              <w:t xml:space="preserve"> 2</w:t>
            </w:r>
            <w:r>
              <w:rPr>
                <w:rFonts w:ascii="宋体" w:hAnsi="宋体" w:eastAsia="宋体" w:cs="Times New Roman"/>
                <w:bCs/>
                <w:color w:val="000000"/>
                <w:sz w:val="24"/>
                <w14:ligatures w14:val="none"/>
              </w:rPr>
              <w:t>、存在上下游关系的参与集中的经营者，在上下游市场所占的市场份额均小于</w:t>
            </w:r>
            <w:r>
              <w:rPr>
                <w:rFonts w:ascii="Times New Roman" w:hAnsi="Times New Roman" w:eastAsia="宋体" w:cs="Times New Roman"/>
                <w:bCs/>
                <w:color w:val="000000"/>
                <w:sz w:val="24"/>
                <w14:ligatures w14:val="none"/>
              </w:rPr>
              <w:t>25%</w:t>
            </w:r>
            <w:r>
              <w:rPr>
                <w:rFonts w:ascii="宋体" w:hAnsi="宋体" w:eastAsia="宋体" w:cs="Times New Roman"/>
                <w:bCs/>
                <w:color w:val="000000"/>
                <w:sz w:val="24"/>
                <w14:ligatures w14:val="none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196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bCs/>
                <w:color w:val="000000"/>
                <w:sz w:val="24"/>
                <w14:ligatures w14:val="none"/>
              </w:rPr>
            </w:pPr>
          </w:p>
        </w:tc>
        <w:tc>
          <w:tcPr>
            <w:tcW w:w="76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eastAsia="宋体" w:cs="Times New Roman"/>
                <w:bCs/>
                <w:color w:val="000000"/>
                <w:sz w:val="24"/>
                <w14:ligatures w14:val="none"/>
              </w:rPr>
            </w:pPr>
            <w:r>
              <w:rPr>
                <w:rFonts w:ascii="Wingdings" w:hAnsi="Wingdings" w:eastAsia="宋体" w:cs="Times New Roman"/>
                <w:bCs/>
                <w:color w:val="000000"/>
                <w:sz w:val="24"/>
                <w14:ligatures w14:val="none"/>
              </w:rPr>
              <w:t>¨</w:t>
            </w:r>
            <w:r>
              <w:rPr>
                <w:rFonts w:ascii="Times New Roman" w:hAnsi="Times New Roman" w:eastAsia="宋体" w:cs="Times New Roman"/>
                <w:bCs/>
                <w:color w:val="000000"/>
                <w:sz w:val="24"/>
                <w14:ligatures w14:val="none"/>
              </w:rPr>
              <w:t xml:space="preserve"> 3</w:t>
            </w:r>
            <w:r>
              <w:rPr>
                <w:rFonts w:ascii="宋体" w:hAnsi="宋体" w:eastAsia="宋体" w:cs="Times New Roman"/>
                <w:bCs/>
                <w:color w:val="000000"/>
                <w:sz w:val="24"/>
                <w14:ligatures w14:val="none"/>
              </w:rPr>
              <w:t>、不在同一相关市场、也不存在上下游关系的参与集中的经营者，在与交易有关的每个市场所占的份额均小于</w:t>
            </w:r>
            <w:r>
              <w:rPr>
                <w:rFonts w:ascii="Times New Roman" w:hAnsi="Times New Roman" w:eastAsia="宋体" w:cs="Times New Roman"/>
                <w:bCs/>
                <w:color w:val="000000"/>
                <w:sz w:val="24"/>
                <w14:ligatures w14:val="none"/>
              </w:rPr>
              <w:t>25%</w:t>
            </w:r>
            <w:r>
              <w:rPr>
                <w:rFonts w:ascii="宋体" w:hAnsi="宋体" w:eastAsia="宋体" w:cs="Times New Roman"/>
                <w:bCs/>
                <w:color w:val="000000"/>
                <w:sz w:val="24"/>
                <w14:ligatures w14:val="none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196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bCs/>
                <w:color w:val="000000"/>
                <w:sz w:val="24"/>
                <w14:ligatures w14:val="none"/>
              </w:rPr>
            </w:pPr>
          </w:p>
        </w:tc>
        <w:tc>
          <w:tcPr>
            <w:tcW w:w="76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eastAsia="宋体" w:cs="Times New Roman"/>
                <w:bCs/>
                <w:color w:val="000000"/>
                <w:sz w:val="24"/>
                <w14:ligatures w14:val="none"/>
              </w:rPr>
            </w:pPr>
            <w:r>
              <w:rPr>
                <w:rFonts w:ascii="Wingdings" w:hAnsi="Wingdings" w:eastAsia="宋体" w:cs="Times New Roman"/>
                <w:bCs/>
                <w:color w:val="000000"/>
                <w:sz w:val="24"/>
                <w14:ligatures w14:val="none"/>
              </w:rPr>
              <w:t>¨</w:t>
            </w:r>
            <w:r>
              <w:rPr>
                <w:rFonts w:ascii="Times New Roman" w:hAnsi="Times New Roman" w:eastAsia="宋体" w:cs="Times New Roman"/>
                <w:bCs/>
                <w:color w:val="000000"/>
                <w:sz w:val="24"/>
                <w14:ligatures w14:val="none"/>
              </w:rPr>
              <w:t xml:space="preserve"> 4</w:t>
            </w:r>
            <w:r>
              <w:rPr>
                <w:rFonts w:ascii="宋体" w:hAnsi="宋体" w:eastAsia="宋体" w:cs="Times New Roman"/>
                <w:bCs/>
                <w:color w:val="000000"/>
                <w:sz w:val="24"/>
                <w14:ligatures w14:val="none"/>
              </w:rPr>
              <w:t>、参与集中的经营者在中国境外设立合营企业，合营企业不在中国境内从事经济活动。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196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bCs/>
                <w:color w:val="000000"/>
                <w:sz w:val="24"/>
                <w14:ligatures w14:val="none"/>
              </w:rPr>
            </w:pPr>
          </w:p>
        </w:tc>
        <w:tc>
          <w:tcPr>
            <w:tcW w:w="76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eastAsia="宋体" w:cs="Times New Roman"/>
                <w:bCs/>
                <w:color w:val="000000"/>
                <w:sz w:val="24"/>
                <w14:ligatures w14:val="none"/>
              </w:rPr>
            </w:pPr>
            <w:r>
              <w:rPr>
                <w:rFonts w:ascii="Wingdings" w:hAnsi="Wingdings" w:eastAsia="宋体" w:cs="Times New Roman"/>
                <w:bCs/>
                <w:color w:val="000000"/>
                <w:sz w:val="24"/>
                <w14:ligatures w14:val="none"/>
              </w:rPr>
              <w:t>¨</w:t>
            </w:r>
            <w:r>
              <w:rPr>
                <w:rFonts w:ascii="Times New Roman" w:hAnsi="Times New Roman" w:eastAsia="宋体" w:cs="Times New Roman"/>
                <w:bCs/>
                <w:color w:val="000000"/>
                <w:sz w:val="24"/>
                <w14:ligatures w14:val="none"/>
              </w:rPr>
              <w:t xml:space="preserve"> 5</w:t>
            </w:r>
            <w:r>
              <w:rPr>
                <w:rFonts w:ascii="宋体" w:hAnsi="宋体" w:eastAsia="宋体" w:cs="Times New Roman"/>
                <w:bCs/>
                <w:color w:val="000000"/>
                <w:sz w:val="24"/>
                <w14:ligatures w14:val="none"/>
              </w:rPr>
              <w:t>、参与集中的经营者收购境外企业股权或资产的，该境外企业不在中国境内从事经济活动。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196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bCs/>
                <w:color w:val="000000"/>
                <w:sz w:val="24"/>
                <w14:ligatures w14:val="none"/>
              </w:rPr>
            </w:pPr>
          </w:p>
        </w:tc>
        <w:tc>
          <w:tcPr>
            <w:tcW w:w="76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eastAsia="宋体" w:cs="Times New Roman"/>
                <w:bCs/>
                <w:color w:val="000000"/>
                <w:sz w:val="24"/>
                <w14:ligatures w14:val="none"/>
              </w:rPr>
            </w:pPr>
            <w:r>
              <w:rPr>
                <w:rFonts w:ascii="Wingdings" w:hAnsi="Wingdings" w:eastAsia="宋体" w:cs="Times New Roman"/>
                <w:bCs/>
                <w:color w:val="000000"/>
                <w:sz w:val="24"/>
                <w14:ligatures w14:val="none"/>
              </w:rPr>
              <w:t>¨</w:t>
            </w:r>
            <w:r>
              <w:rPr>
                <w:rFonts w:ascii="Times New Roman" w:hAnsi="Times New Roman" w:eastAsia="宋体" w:cs="Times New Roman"/>
                <w:bCs/>
                <w:color w:val="000000"/>
                <w:sz w:val="24"/>
                <w14:ligatures w14:val="none"/>
              </w:rPr>
              <w:t xml:space="preserve"> 6</w:t>
            </w:r>
            <w:r>
              <w:rPr>
                <w:rFonts w:ascii="宋体" w:hAnsi="宋体" w:eastAsia="宋体" w:cs="Times New Roman"/>
                <w:bCs/>
                <w:color w:val="000000"/>
                <w:sz w:val="24"/>
                <w14:ligatures w14:val="none"/>
              </w:rPr>
              <w:t>、由两个以上的经营者共同控制的合营企业，通过集中被其中一个或一个以上经营者控制。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0" w:hRule="atLeast"/>
          <w:jc w:val="center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FCECE"/>
            <w:vAlign w:val="center"/>
          </w:tcPr>
          <w:p>
            <w:pPr>
              <w:autoSpaceDE w:val="0"/>
              <w:adjustRightInd w:val="0"/>
              <w:snapToGrid w:val="0"/>
              <w:spacing w:after="0" w:line="32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 w:val="24"/>
                <w14:ligatures w14:val="none"/>
              </w:rPr>
            </w:pPr>
            <w:r>
              <w:rPr>
                <w:rFonts w:ascii="宋体" w:hAnsi="宋体" w:eastAsia="宋体" w:cs="Times New Roman"/>
                <w:bCs/>
                <w:color w:val="000000"/>
                <w:sz w:val="24"/>
                <w14:ligatures w14:val="none"/>
              </w:rPr>
              <w:t>备注</w:t>
            </w:r>
          </w:p>
        </w:tc>
        <w:tc>
          <w:tcPr>
            <w:tcW w:w="76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spacing w:after="0" w:line="320" w:lineRule="exact"/>
              <w:jc w:val="both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14:ligatures w14:val="none"/>
              </w:rPr>
            </w:pPr>
            <w:r>
              <w:rPr>
                <w:rFonts w:ascii="宋体" w:hAnsi="宋体" w:eastAsia="宋体" w:cs="Times New Roman"/>
                <w:b/>
                <w:bCs/>
                <w:kern w:val="0"/>
                <w:sz w:val="24"/>
                <w14:ligatures w14:val="none"/>
              </w:rPr>
              <w:t>纵向关联：</w:t>
            </w:r>
          </w:p>
          <w:p>
            <w:pPr>
              <w:autoSpaceDE w:val="0"/>
              <w:spacing w:after="0" w:line="320" w:lineRule="exact"/>
              <w:jc w:val="both"/>
              <w:rPr>
                <w:rFonts w:ascii="Times New Roman" w:hAnsi="Times New Roman" w:eastAsia="宋体" w:cs="Times New Roman"/>
                <w:bCs/>
                <w:color w:val="000000"/>
                <w:sz w:val="24"/>
                <w14:ligatures w14:val="none"/>
              </w:rPr>
            </w:pPr>
            <w:r>
              <w:rPr>
                <w:rFonts w:ascii="宋体" w:hAnsi="宋体" w:eastAsia="宋体" w:cs="Times New Roman"/>
                <w:bCs/>
                <w:color w:val="000000"/>
                <w:sz w:val="24"/>
                <w14:ligatures w14:val="none"/>
              </w:rPr>
              <w:t>上游：</w:t>
            </w:r>
            <w:r>
              <w:rPr>
                <w:rFonts w:ascii="Times New Roman" w:hAnsi="Times New Roman" w:eastAsia="宋体" w:cs="Times New Roman"/>
                <w:bCs/>
                <w:color w:val="000000"/>
                <w:sz w:val="24"/>
                <w14:ligatures w14:val="none"/>
              </w:rPr>
              <w:t>2025</w:t>
            </w:r>
            <w:r>
              <w:rPr>
                <w:rFonts w:ascii="宋体" w:hAnsi="宋体" w:eastAsia="宋体" w:cs="Times New Roman"/>
                <w:bCs/>
                <w:color w:val="000000"/>
                <w:sz w:val="24"/>
                <w14:ligatures w14:val="none"/>
              </w:rPr>
              <w:t>年</w:t>
            </w:r>
            <w:r>
              <w:rPr>
                <w:rFonts w:hint="eastAsia" w:ascii="宋体" w:hAnsi="宋体" w:eastAsia="宋体" w:cs="Times New Roman"/>
                <w:bCs/>
                <w:color w:val="000000"/>
                <w:sz w:val="24"/>
                <w:lang w:eastAsia="zh-CN"/>
                <w14:ligatures w14:val="none"/>
              </w:rPr>
              <w:t>中国境内</w:t>
            </w:r>
            <w:r>
              <w:rPr>
                <w:rFonts w:ascii="宋体" w:hAnsi="宋体" w:eastAsia="宋体" w:cs="Times New Roman"/>
                <w:bCs/>
                <w:color w:val="000000"/>
                <w:sz w:val="24"/>
                <w14:ligatures w14:val="none"/>
              </w:rPr>
              <w:t>钢材加工和配送市场：</w:t>
            </w:r>
          </w:p>
          <w:p>
            <w:pPr>
              <w:autoSpaceDE w:val="0"/>
              <w:spacing w:after="0" w:line="320" w:lineRule="exact"/>
              <w:jc w:val="both"/>
              <w:rPr>
                <w:rFonts w:ascii="Times New Roman" w:hAnsi="Times New Roman" w:eastAsia="宋体" w:cs="Times New Roman"/>
                <w:bCs/>
                <w:color w:val="000000"/>
                <w:sz w:val="24"/>
                <w14:ligatures w14:val="none"/>
              </w:rPr>
            </w:pPr>
            <w:r>
              <w:rPr>
                <w:rFonts w:ascii="宋体" w:hAnsi="宋体" w:eastAsia="宋体" w:cs="Times New Roman"/>
                <w:bCs/>
                <w:color w:val="000000"/>
                <w:sz w:val="24"/>
                <w14:ligatures w14:val="none"/>
              </w:rPr>
              <w:t>宝武集团：</w:t>
            </w:r>
            <w:r>
              <w:rPr>
                <w:rFonts w:ascii="Times New Roman" w:hAnsi="Times New Roman" w:eastAsia="宋体" w:cs="Times New Roman"/>
                <w:bCs/>
                <w:color w:val="000000"/>
                <w:sz w:val="24"/>
                <w14:ligatures w14:val="none"/>
              </w:rPr>
              <w:t>5-10%</w:t>
            </w:r>
          </w:p>
          <w:p>
            <w:pPr>
              <w:autoSpaceDE w:val="0"/>
              <w:spacing w:after="0" w:line="320" w:lineRule="exact"/>
              <w:jc w:val="both"/>
              <w:rPr>
                <w:rFonts w:ascii="Times New Roman" w:hAnsi="Times New Roman" w:eastAsia="宋体" w:cs="Times New Roman"/>
                <w:bCs/>
                <w:color w:val="000000"/>
                <w:sz w:val="24"/>
                <w14:ligatures w14:val="none"/>
              </w:rPr>
            </w:pPr>
            <w:r>
              <w:rPr>
                <w:rFonts w:ascii="宋体" w:hAnsi="宋体" w:eastAsia="宋体" w:cs="Times New Roman"/>
                <w:bCs/>
                <w:color w:val="000000"/>
                <w:sz w:val="24"/>
                <w14:ligatures w14:val="none"/>
              </w:rPr>
              <w:t>下游：</w:t>
            </w:r>
            <w:r>
              <w:rPr>
                <w:rFonts w:ascii="Times New Roman" w:hAnsi="Times New Roman" w:eastAsia="宋体" w:cs="Times New Roman"/>
                <w:bCs/>
                <w:color w:val="000000"/>
                <w:sz w:val="24"/>
                <w14:ligatures w14:val="none"/>
              </w:rPr>
              <w:t>2025</w:t>
            </w:r>
            <w:r>
              <w:rPr>
                <w:rFonts w:ascii="宋体" w:hAnsi="宋体" w:eastAsia="宋体" w:cs="Times New Roman"/>
                <w:bCs/>
                <w:color w:val="000000"/>
                <w:sz w:val="24"/>
                <w14:ligatures w14:val="none"/>
              </w:rPr>
              <w:t>年中国</w:t>
            </w:r>
            <w:r>
              <w:rPr>
                <w:rFonts w:hint="eastAsia" w:ascii="宋体" w:hAnsi="宋体" w:eastAsia="宋体" w:cs="Times New Roman"/>
                <w:bCs/>
                <w:color w:val="000000"/>
                <w:sz w:val="24"/>
                <w:lang w:eastAsia="zh-CN"/>
                <w14:ligatures w14:val="none"/>
              </w:rPr>
              <w:t>境内</w:t>
            </w:r>
            <w:r>
              <w:rPr>
                <w:rFonts w:ascii="宋体" w:hAnsi="宋体" w:eastAsia="宋体" w:cs="Times New Roman"/>
                <w:bCs/>
                <w:color w:val="000000"/>
                <w:sz w:val="24"/>
                <w14:ligatures w14:val="none"/>
              </w:rPr>
              <w:t>乘用车市场：</w:t>
            </w:r>
          </w:p>
          <w:p>
            <w:pPr>
              <w:autoSpaceDE w:val="0"/>
              <w:spacing w:after="0" w:line="320" w:lineRule="exact"/>
              <w:jc w:val="both"/>
              <w:rPr>
                <w:rFonts w:ascii="Times New Roman" w:hAnsi="Times New Roman" w:eastAsia="宋体" w:cs="Times New Roman"/>
                <w:bCs/>
                <w:color w:val="000000"/>
                <w:sz w:val="24"/>
                <w14:ligatures w14:val="none"/>
              </w:rPr>
            </w:pPr>
            <w:r>
              <w:rPr>
                <w:rFonts w:ascii="宋体" w:hAnsi="宋体" w:eastAsia="宋体" w:cs="Times New Roman"/>
                <w:bCs/>
                <w:color w:val="000000"/>
                <w:sz w:val="24"/>
                <w14:ligatures w14:val="none"/>
              </w:rPr>
              <w:t>广汽集团：</w:t>
            </w:r>
            <w:r>
              <w:rPr>
                <w:rFonts w:ascii="Times New Roman" w:hAnsi="Times New Roman" w:eastAsia="宋体" w:cs="Times New Roman"/>
                <w:bCs/>
                <w:color w:val="000000"/>
                <w:sz w:val="24"/>
                <w14:ligatures w14:val="none"/>
              </w:rPr>
              <w:t>5-10%</w:t>
            </w:r>
            <w:bookmarkStart w:id="0" w:name="_GoBack"/>
            <w:bookmarkEnd w:id="0"/>
          </w:p>
          <w:p>
            <w:pPr>
              <w:autoSpaceDE w:val="0"/>
              <w:spacing w:after="0" w:line="320" w:lineRule="exact"/>
              <w:jc w:val="both"/>
              <w:rPr>
                <w:rFonts w:ascii="Times New Roman" w:hAnsi="Times New Roman" w:eastAsia="宋体" w:cs="Times New Roman"/>
                <w:bCs/>
                <w:color w:val="000000"/>
                <w:sz w:val="24"/>
                <w14:ligatures w14:val="none"/>
              </w:rPr>
            </w:pPr>
            <w:r>
              <w:rPr>
                <w:rFonts w:ascii="宋体" w:hAnsi="宋体" w:eastAsia="宋体" w:cs="Times New Roman"/>
                <w:bCs/>
                <w:color w:val="000000"/>
                <w:sz w:val="24"/>
                <w14:ligatures w14:val="none"/>
              </w:rPr>
              <w:t>下游：</w:t>
            </w:r>
            <w:r>
              <w:rPr>
                <w:rFonts w:ascii="Times New Roman" w:hAnsi="Times New Roman" w:eastAsia="宋体" w:cs="Times New Roman"/>
                <w:bCs/>
                <w:color w:val="000000"/>
                <w:sz w:val="24"/>
                <w14:ligatures w14:val="none"/>
              </w:rPr>
              <w:t>2025</w:t>
            </w:r>
            <w:r>
              <w:rPr>
                <w:rFonts w:ascii="宋体" w:hAnsi="宋体" w:eastAsia="宋体" w:cs="Times New Roman"/>
                <w:bCs/>
                <w:color w:val="000000"/>
                <w:sz w:val="24"/>
                <w14:ligatures w14:val="none"/>
              </w:rPr>
              <w:t>年中国</w:t>
            </w:r>
            <w:r>
              <w:rPr>
                <w:rFonts w:hint="eastAsia" w:ascii="宋体" w:hAnsi="宋体" w:eastAsia="宋体" w:cs="Times New Roman"/>
                <w:bCs/>
                <w:color w:val="000000"/>
                <w:sz w:val="24"/>
                <w:lang w:eastAsia="zh-CN"/>
                <w14:ligatures w14:val="none"/>
              </w:rPr>
              <w:t>境内</w:t>
            </w:r>
            <w:r>
              <w:rPr>
                <w:rFonts w:hint="eastAsia" w:ascii="宋体" w:hAnsi="宋体" w:eastAsia="宋体" w:cs="Times New Roman"/>
                <w:bCs/>
                <w:color w:val="000000"/>
                <w:sz w:val="24"/>
                <w14:ligatures w14:val="none"/>
              </w:rPr>
              <w:t>商</w:t>
            </w:r>
            <w:r>
              <w:rPr>
                <w:rFonts w:ascii="宋体" w:hAnsi="宋体" w:eastAsia="宋体" w:cs="Times New Roman"/>
                <w:bCs/>
                <w:color w:val="000000"/>
                <w:sz w:val="24"/>
                <w14:ligatures w14:val="none"/>
              </w:rPr>
              <w:t>用车市场：</w:t>
            </w:r>
          </w:p>
          <w:p>
            <w:pPr>
              <w:autoSpaceDE w:val="0"/>
              <w:spacing w:after="0" w:line="320" w:lineRule="exact"/>
              <w:jc w:val="both"/>
              <w:rPr>
                <w:rFonts w:hint="eastAsia" w:ascii="Times New Roman" w:hAnsi="Times New Roman" w:eastAsia="宋体" w:cs="Times New Roman"/>
                <w:bCs/>
                <w:color w:val="000000"/>
                <w:sz w:val="24"/>
                <w14:ligatures w14:val="none"/>
              </w:rPr>
            </w:pPr>
            <w:r>
              <w:rPr>
                <w:rFonts w:ascii="宋体" w:hAnsi="宋体" w:eastAsia="宋体" w:cs="Times New Roman"/>
                <w:bCs/>
                <w:color w:val="000000"/>
                <w:sz w:val="24"/>
                <w14:ligatures w14:val="none"/>
              </w:rPr>
              <w:t>广汽集团：</w:t>
            </w:r>
            <w:r>
              <w:rPr>
                <w:rFonts w:hint="eastAsia" w:ascii="Times New Roman" w:hAnsi="Times New Roman" w:eastAsia="宋体" w:cs="Times New Roman"/>
                <w:bCs/>
                <w:color w:val="000000"/>
                <w:sz w:val="24"/>
                <w14:ligatures w14:val="none"/>
              </w:rPr>
              <w:t>0-5</w:t>
            </w:r>
            <w:r>
              <w:rPr>
                <w:rFonts w:ascii="Times New Roman" w:hAnsi="Times New Roman" w:eastAsia="宋体" w:cs="Times New Roman"/>
                <w:bCs/>
                <w:color w:val="000000"/>
                <w:sz w:val="24"/>
                <w14:ligatures w14:val="none"/>
              </w:rPr>
              <w:t>%</w:t>
            </w:r>
          </w:p>
        </w:tc>
      </w:tr>
    </w:tbl>
    <w:p>
      <w:pPr>
        <w:adjustRightInd w:val="0"/>
        <w:snapToGrid w:val="0"/>
        <w:spacing w:after="0" w:line="240" w:lineRule="auto"/>
        <w:jc w:val="both"/>
        <w:rPr>
          <w:rFonts w:hint="eastAsia" w:ascii="Times New Roman" w:hAnsi="Times New Roman" w:eastAsia="宋体" w:cs="Times New Roman"/>
          <w:sz w:val="21"/>
          <w:szCs w:val="21"/>
          <w14:ligatures w14:val="none"/>
        </w:rPr>
      </w:pPr>
      <w:r>
        <w:rPr>
          <w:rFonts w:ascii="Times New Roman" w:hAnsi="Times New Roman" w:eastAsia="宋体" w:cs="Times New Roman"/>
          <w:sz w:val="21"/>
          <w:szCs w:val="21"/>
          <w14:ligatures w14:val="none"/>
        </w:rPr>
        <w:t xml:space="preserve"> 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imes">
    <w:altName w:val="Times New Roman"/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GWZT-EN">
    <w:panose1 w:val="02020400000000000000"/>
    <w:charset w:val="86"/>
    <w:family w:val="auto"/>
    <w:pitch w:val="default"/>
    <w:sig w:usb0="A00002BF" w:usb1="38CF7CFA" w:usb2="00082016" w:usb3="00000000" w:csb0="00040001" w:csb1="00000000"/>
  </w:font>
  <w:font w:name="Noto Sans CJK HK">
    <w:panose1 w:val="020B0500000000000000"/>
    <w:charset w:val="88"/>
    <w:family w:val="auto"/>
    <w:pitch w:val="default"/>
    <w:sig w:usb0="30000083" w:usb1="2BDF3C10" w:usb2="00000016" w:usb3="00000000" w:csb0="603A010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"/>
      <w:docPartObj>
        <w:docPartGallery w:val="autotext"/>
      </w:docPartObj>
    </w:sdtPr>
    <w:sdtContent>
      <w:sdt>
        <w:sdtPr>
          <w:id w:val="1728636285"/>
          <w:docPartObj>
            <w:docPartGallery w:val="autotext"/>
          </w:docPartObj>
        </w:sdtPr>
        <w:sdtContent>
          <w:p>
            <w:pPr>
              <w:pStyle w:val="2"/>
              <w:jc w:val="center"/>
              <w:rPr>
                <w:rFonts w:hint="eastAsia"/>
              </w:rPr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>
    <w:pPr>
      <w:pStyle w:val="2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hint="eastAs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rFonts w:ascii="Arial" w:hAnsi="Arial" w:eastAsia="宋体" w:cs="Arial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E0E04EA"/>
    <w:multiLevelType w:val="multilevel"/>
    <w:tmpl w:val="2E0E04EA"/>
    <w:lvl w:ilvl="0" w:tentative="0">
      <w:start w:val="2"/>
      <w:numFmt w:val="decimal"/>
      <w:suff w:val="space"/>
      <w:lvlText w:val="%1."/>
      <w:lvlJc w:val="left"/>
      <w:pPr>
        <w:ind w:left="0" w:firstLine="0"/>
      </w:pPr>
      <w:rPr>
        <w:rFonts w:hint="default" w:ascii="Times New Roman" w:hAnsi="Times New Roman" w:cs="Times New Roman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D04174"/>
    <w:rsid w:val="23D04174"/>
    <w:rsid w:val="28771E56"/>
    <w:rsid w:val="32C739DA"/>
    <w:rsid w:val="3D436353"/>
    <w:rsid w:val="3F9BAA1B"/>
    <w:rsid w:val="5D840515"/>
    <w:rsid w:val="68CD6C00"/>
    <w:rsid w:val="7DD373EF"/>
    <w:rsid w:val="946FE9B8"/>
    <w:rsid w:val="F77BCA67"/>
    <w:rsid w:val="FBBD1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769</Words>
  <Characters>813</Characters>
  <Lines>0</Lines>
  <Paragraphs>0</Paragraphs>
  <TotalTime>12</TotalTime>
  <ScaleCrop>false</ScaleCrop>
  <LinksUpToDate>false</LinksUpToDate>
  <CharactersWithSpaces>821</CharactersWithSpaces>
  <Application>WPS Office_11.8.2.12309_F1E327BC-269C-435d-A152-05C5408002CA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2026-09-05T00:27:00Z</dcterms:created>
  <dc:creator>You Qi</dc:creator>
  <cp:lastModifiedBy>oa</cp:lastModifiedBy>
  <dcterms:modified xsi:type="dcterms:W3CDTF">2026-09-07T17:18:24Z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2052-11.8.2.12309</vt:lpwstr>
  </property>
  <property fmtid="{D5CDD505-2E9C-101B-9397-08002B2CF9AE}" pid="3" name="ICV">
    <vt:lpwstr>068F89A8402B46788E6DFEB929372A90_11</vt:lpwstr>
  </property>
  <property fmtid="{D5CDD505-2E9C-101B-9397-08002B2CF9AE}" pid="4" name="KSOTemplateDocerSaveRecord">
    <vt:lpwstr>eyJoZGlkIjoiZDdmZWY3M2JhMDAwOWUyMjAxZjliZTc5YjljOTQwMGYiLCJ1c2VySWQiOiIxNDgyMTI5MzY5In0=</vt:lpwstr>
  </property>
</Properties>
</file>