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spacing w:before="0" w:after="0" w:line="594" w:lineRule="exact"/>
        <w:jc w:val="both"/>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附件</w:t>
      </w:r>
      <w:r>
        <w:rPr>
          <w:rFonts w:hint="eastAsia" w:ascii="Times New Roman" w:hAnsi="Times New Roman" w:cs="Times New Roman"/>
          <w:b w:val="0"/>
          <w:bCs w:val="0"/>
          <w:sz w:val="32"/>
          <w:szCs w:val="32"/>
          <w:highlight w:val="none"/>
          <w:lang w:val="en-US" w:eastAsia="zh-CN"/>
        </w:rPr>
        <w:t>1</w:t>
      </w:r>
    </w:p>
    <w:p>
      <w:pPr>
        <w:pStyle w:val="5"/>
        <w:shd w:val="clear"/>
        <w:spacing w:before="0" w:after="0" w:line="594" w:lineRule="exact"/>
        <w:jc w:val="both"/>
        <w:rPr>
          <w:rFonts w:hint="default" w:ascii="Times New Roman" w:hAnsi="Times New Roman" w:eastAsia="方正小标宋简体" w:cs="Times New Roman"/>
          <w:b w:val="0"/>
          <w:bCs w:val="0"/>
          <w:sz w:val="44"/>
          <w:szCs w:val="44"/>
          <w:highlight w:val="none"/>
        </w:rPr>
      </w:pPr>
    </w:p>
    <w:p>
      <w:pPr>
        <w:pStyle w:val="5"/>
        <w:shd w:val="clear"/>
        <w:spacing w:before="0" w:after="0" w:line="594" w:lineRule="exact"/>
        <w:jc w:val="center"/>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食糖生产许可审查细则</w:t>
      </w:r>
    </w:p>
    <w:p>
      <w:pPr>
        <w:shd w:val="clear"/>
        <w:spacing w:line="594" w:lineRule="exact"/>
        <w:jc w:val="center"/>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（征求意见稿）</w:t>
      </w:r>
    </w:p>
    <w:p>
      <w:pPr>
        <w:pStyle w:val="5"/>
        <w:shd w:val="clear"/>
        <w:spacing w:before="0" w:after="0" w:line="594" w:lineRule="exact"/>
        <w:jc w:val="center"/>
        <w:rPr>
          <w:rFonts w:hint="default" w:ascii="Times New Roman" w:hAnsi="Times New Roman" w:cs="Times New Roman"/>
          <w:b w:val="0"/>
          <w:bCs w:val="0"/>
          <w:color w:val="000000"/>
          <w:szCs w:val="24"/>
          <w:highlight w:val="none"/>
        </w:rPr>
      </w:pPr>
    </w:p>
    <w:p>
      <w:pPr>
        <w:pStyle w:val="5"/>
        <w:shd w:val="clear"/>
        <w:spacing w:before="0" w:after="0" w:line="594" w:lineRule="exact"/>
        <w:jc w:val="center"/>
        <w:rPr>
          <w:rFonts w:hint="default" w:ascii="Times New Roman" w:hAnsi="Times New Roman" w:cs="Times New Roman"/>
          <w:b w:val="0"/>
          <w:bCs w:val="0"/>
          <w:color w:val="000000"/>
          <w:szCs w:val="24"/>
          <w:highlight w:val="none"/>
        </w:rPr>
      </w:pPr>
      <w:r>
        <w:rPr>
          <w:rFonts w:hint="default" w:ascii="Times New Roman" w:hAnsi="Times New Roman" w:cs="Times New Roman"/>
          <w:b w:val="0"/>
          <w:bCs w:val="0"/>
          <w:color w:val="000000"/>
          <w:szCs w:val="24"/>
          <w:highlight w:val="none"/>
        </w:rPr>
        <w:t>第一章 总  则</w:t>
      </w:r>
    </w:p>
    <w:p>
      <w:pPr>
        <w:shd w:val="clear"/>
        <w:spacing w:line="594" w:lineRule="exact"/>
        <w:ind w:firstLine="640" w:firstLineChars="200"/>
        <w:rPr>
          <w:rFonts w:hint="default" w:ascii="Times New Roman" w:hAnsi="Times New Roman" w:cs="Times New Roman"/>
          <w:color w:val="000000"/>
          <w:sz w:val="32"/>
          <w:highlight w:val="none"/>
        </w:rPr>
      </w:pPr>
      <w:r>
        <w:rPr>
          <w:rFonts w:hint="default" w:ascii="Times New Roman" w:hAnsi="Times New Roman" w:eastAsia="黑体" w:cs="Times New Roman"/>
          <w:color w:val="000000"/>
          <w:sz w:val="32"/>
          <w:highlight w:val="none"/>
        </w:rPr>
        <w:t>第一条</w:t>
      </w:r>
      <w:bookmarkStart w:id="0" w:name="_Hlk210986538"/>
      <w:r>
        <w:rPr>
          <w:rFonts w:hint="default" w:ascii="Times New Roman" w:hAnsi="Times New Roman" w:cs="Times New Roman"/>
          <w:color w:val="000000"/>
          <w:sz w:val="32"/>
          <w:highlight w:val="none"/>
        </w:rPr>
        <w:t xml:space="preserve"> </w:t>
      </w:r>
      <w:r>
        <w:rPr>
          <w:rFonts w:hint="default" w:ascii="Times New Roman" w:hAnsi="Times New Roman" w:eastAsia="仿宋_GB2312" w:cs="Times New Roman"/>
          <w:color w:val="000000"/>
          <w:sz w:val="32"/>
          <w:highlight w:val="none"/>
        </w:rPr>
        <w:t>为</w:t>
      </w:r>
      <w:bookmarkStart w:id="55" w:name="_GoBack"/>
      <w:bookmarkEnd w:id="55"/>
      <w:r>
        <w:rPr>
          <w:rFonts w:hint="default" w:ascii="Times New Roman" w:hAnsi="Times New Roman" w:eastAsia="仿宋_GB2312" w:cs="Times New Roman"/>
          <w:color w:val="000000"/>
          <w:sz w:val="32"/>
          <w:highlight w:val="none"/>
        </w:rPr>
        <w:t>做好食糖生产许可审查工作，依据《中华人民共和国食品安全法》《中华人民共和国食品安全法实施条例》《食品生产许可管理办法》</w:t>
      </w:r>
      <w:r>
        <w:rPr>
          <w:rFonts w:hint="default" w:ascii="Times New Roman" w:hAnsi="Times New Roman" w:eastAsia="仿宋_GB2312" w:cs="Times New Roman"/>
          <w:sz w:val="32"/>
          <w:szCs w:val="32"/>
          <w:highlight w:val="none"/>
        </w:rPr>
        <w:t>及相关食品安全国家标准等规定，</w:t>
      </w:r>
      <w:r>
        <w:rPr>
          <w:rFonts w:hint="default" w:ascii="Times New Roman" w:hAnsi="Times New Roman" w:eastAsia="仿宋_GB2312" w:cs="Times New Roman"/>
          <w:color w:val="000000"/>
          <w:sz w:val="32"/>
          <w:highlight w:val="none"/>
        </w:rPr>
        <w:t>制定</w:t>
      </w:r>
      <w:r>
        <w:rPr>
          <w:rFonts w:hint="default" w:ascii="Times New Roman" w:hAnsi="Times New Roman" w:eastAsia="仿宋_GB2312" w:cs="Times New Roman"/>
          <w:sz w:val="32"/>
          <w:szCs w:val="32"/>
          <w:highlight w:val="none"/>
        </w:rPr>
        <w:t>《食糖生产许可审查细则》（以下简称《细则》）</w:t>
      </w:r>
      <w:r>
        <w:rPr>
          <w:rFonts w:hint="default" w:ascii="Times New Roman" w:hAnsi="Times New Roman" w:eastAsia="仿宋_GB2312" w:cs="Times New Roman"/>
          <w:color w:val="000000"/>
          <w:sz w:val="32"/>
          <w:highlight w:val="none"/>
        </w:rPr>
        <w:t>。</w:t>
      </w:r>
    </w:p>
    <w:bookmarkEnd w:id="0"/>
    <w:p>
      <w:pPr>
        <w:pStyle w:val="10"/>
        <w:shd w:val="clear"/>
        <w:spacing w:line="594" w:lineRule="exact"/>
        <w:ind w:firstLine="640" w:firstLineChars="200"/>
        <w:rPr>
          <w:rFonts w:hint="default" w:ascii="Times New Roman" w:hAnsi="Times New Roman" w:eastAsia="仿宋" w:cs="Times New Roman"/>
          <w:color w:val="000000"/>
          <w:highlight w:val="none"/>
        </w:rPr>
      </w:pPr>
      <w:r>
        <w:rPr>
          <w:rFonts w:hint="default" w:ascii="Times New Roman" w:hAnsi="Times New Roman" w:eastAsia="黑体" w:cs="Times New Roman"/>
          <w:color w:val="000000"/>
          <w:highlight w:val="none"/>
        </w:rPr>
        <w:t>第二条</w:t>
      </w:r>
      <w:r>
        <w:rPr>
          <w:rFonts w:hint="default" w:ascii="Times New Roman" w:hAnsi="Times New Roman" w:eastAsia="宋体" w:cs="Times New Roman"/>
          <w:color w:val="000000"/>
          <w:highlight w:val="none"/>
        </w:rPr>
        <w:t xml:space="preserve"> </w:t>
      </w:r>
      <w:r>
        <w:rPr>
          <w:rFonts w:hint="default" w:ascii="Times New Roman" w:hAnsi="Times New Roman" w:cs="Times New Roman"/>
          <w:szCs w:val="32"/>
          <w:highlight w:val="none"/>
        </w:rPr>
        <w:t>《细则》适用于食糖生产许可审查工作，应结合《食品生产许可审查通则》使用。</w:t>
      </w:r>
      <w:r>
        <w:rPr>
          <w:rFonts w:hint="default" w:ascii="Times New Roman" w:hAnsi="Times New Roman" w:eastAsia="仿宋" w:cs="Times New Roman"/>
          <w:color w:val="000000"/>
          <w:highlight w:val="none"/>
        </w:rPr>
        <w:t xml:space="preserve"> </w:t>
      </w:r>
    </w:p>
    <w:p>
      <w:pPr>
        <w:shd w:val="clear"/>
        <w:spacing w:line="594"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黑体" w:cs="Times New Roman"/>
          <w:color w:val="000000"/>
          <w:sz w:val="32"/>
          <w:highlight w:val="none"/>
        </w:rPr>
        <w:t>第三条</w:t>
      </w:r>
      <w:r>
        <w:rPr>
          <w:rFonts w:hint="default" w:ascii="Times New Roman" w:hAnsi="Times New Roman" w:cs="Times New Roman"/>
          <w:color w:val="000000"/>
          <w:sz w:val="32"/>
          <w:highlight w:val="none"/>
        </w:rPr>
        <w:t xml:space="preserve"> </w:t>
      </w:r>
      <w:bookmarkStart w:id="1" w:name="OLE_LINK22"/>
      <w:bookmarkStart w:id="2" w:name="OLE_LINK20"/>
      <w:r>
        <w:rPr>
          <w:rFonts w:hint="default" w:ascii="Times New Roman" w:hAnsi="Times New Roman" w:eastAsia="仿宋_GB2312" w:cs="Times New Roman"/>
          <w:sz w:val="32"/>
          <w:szCs w:val="32"/>
          <w:highlight w:val="none"/>
        </w:rPr>
        <w:t>《细则》所称食糖，</w:t>
      </w:r>
      <w:bookmarkEnd w:id="1"/>
      <w:r>
        <w:rPr>
          <w:rFonts w:hint="default" w:ascii="Times New Roman" w:hAnsi="Times New Roman" w:eastAsia="仿宋_GB2312" w:cs="Times New Roman"/>
          <w:sz w:val="32"/>
          <w:szCs w:val="32"/>
          <w:highlight w:val="none"/>
        </w:rPr>
        <w:t>是指以甘蔗、甜菜、原糖及其制品为原料，经相关工艺制成的产品。</w:t>
      </w:r>
    </w:p>
    <w:bookmarkEnd w:id="2"/>
    <w:p>
      <w:pPr>
        <w:pStyle w:val="42"/>
        <w:shd w:val="clear"/>
        <w:spacing w:line="594" w:lineRule="exact"/>
        <w:ind w:firstLine="470" w:firstLineChars="0"/>
        <w:rPr>
          <w:rFonts w:hint="default" w:ascii="Times New Roman" w:hAnsi="Times New Roman" w:eastAsia="仿宋_GB2312" w:cs="Times New Roman"/>
          <w:sz w:val="32"/>
          <w:szCs w:val="32"/>
          <w:highlight w:val="none"/>
        </w:rPr>
      </w:pPr>
      <w:bookmarkStart w:id="3" w:name="OLE_LINK9"/>
      <w:r>
        <w:rPr>
          <w:rFonts w:hint="default" w:ascii="Times New Roman" w:hAnsi="Times New Roman" w:eastAsia="仿宋_GB2312" w:cs="Times New Roman"/>
          <w:sz w:val="32"/>
          <w:szCs w:val="32"/>
          <w:highlight w:val="none"/>
        </w:rPr>
        <w:t>（一）白砂糖是指以甘蔗</w:t>
      </w:r>
      <w:r>
        <w:rPr>
          <w:rFonts w:hint="eastAsia" w:ascii="Times New Roman" w:hAnsi="Times New Roman" w:eastAsia="仿宋_GB2312" w:cs="Times New Roman"/>
          <w:sz w:val="32"/>
          <w:szCs w:val="32"/>
          <w:highlight w:val="none"/>
          <w:lang w:eastAsia="zh-CN"/>
        </w:rPr>
        <w:t>或</w:t>
      </w:r>
      <w:r>
        <w:rPr>
          <w:rFonts w:hint="default" w:ascii="Times New Roman" w:hAnsi="Times New Roman" w:eastAsia="仿宋_GB2312" w:cs="Times New Roman"/>
          <w:sz w:val="32"/>
          <w:szCs w:val="32"/>
          <w:highlight w:val="none"/>
        </w:rPr>
        <w:t>甜菜为原料，经提取糖汁、清净处理、煮炼结晶</w:t>
      </w:r>
      <w:r>
        <w:rPr>
          <w:rFonts w:hint="eastAsia" w:ascii="Times New Roman" w:hAnsi="Times New Roman" w:eastAsia="仿宋_GB2312" w:cs="Times New Roman"/>
          <w:sz w:val="32"/>
          <w:szCs w:val="32"/>
          <w:highlight w:val="none"/>
          <w:lang w:eastAsia="zh-CN"/>
        </w:rPr>
        <w:t>和</w:t>
      </w:r>
      <w:r>
        <w:rPr>
          <w:rFonts w:hint="default" w:ascii="Times New Roman" w:hAnsi="Times New Roman" w:eastAsia="仿宋_GB2312" w:cs="Times New Roman"/>
          <w:sz w:val="32"/>
          <w:szCs w:val="32"/>
          <w:highlight w:val="none"/>
        </w:rPr>
        <w:t>分蜜</w:t>
      </w:r>
      <w:r>
        <w:rPr>
          <w:rFonts w:hint="eastAsia" w:ascii="Times New Roman" w:hAnsi="Times New Roman" w:eastAsia="仿宋_GB2312" w:cs="Times New Roman"/>
          <w:sz w:val="32"/>
          <w:szCs w:val="32"/>
          <w:highlight w:val="none"/>
          <w:lang w:eastAsia="zh-CN"/>
        </w:rPr>
        <w:t>等工艺加工制成的</w:t>
      </w:r>
      <w:r>
        <w:rPr>
          <w:rFonts w:hint="default" w:ascii="Times New Roman" w:hAnsi="Times New Roman" w:eastAsia="仿宋_GB2312" w:cs="Times New Roman"/>
          <w:sz w:val="32"/>
          <w:szCs w:val="32"/>
          <w:highlight w:val="none"/>
        </w:rPr>
        <w:t>蔗糖结晶，</w:t>
      </w:r>
      <w:bookmarkStart w:id="4" w:name="_Hlk210986651"/>
      <w:r>
        <w:rPr>
          <w:rFonts w:hint="default" w:ascii="Times New Roman" w:hAnsi="Times New Roman" w:eastAsia="仿宋_GB2312" w:cs="Times New Roman"/>
          <w:sz w:val="32"/>
          <w:szCs w:val="32"/>
          <w:highlight w:val="none"/>
        </w:rPr>
        <w:t>类别编号2101，包括精幼砂糖。</w:t>
      </w:r>
    </w:p>
    <w:bookmarkEnd w:id="3"/>
    <w:bookmarkEnd w:id="4"/>
    <w:p>
      <w:pPr>
        <w:pStyle w:val="42"/>
        <w:shd w:val="clear"/>
        <w:spacing w:line="594" w:lineRule="exact"/>
        <w:ind w:firstLine="470"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（二）绵白糖是指以甘蔗、甜菜或原糖为原料，经提取糖汁（溶糖）、清净处理、煮炼结晶、分蜜并加入适量转化糖浆等工艺制成的晶粒细小、颜色洁白、质地绵软的糖，类别编号2102。</w:t>
      </w:r>
    </w:p>
    <w:p>
      <w:pPr>
        <w:pStyle w:val="42"/>
        <w:shd w:val="clear"/>
        <w:spacing w:line="594" w:lineRule="exact"/>
        <w:ind w:firstLine="470"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（三）赤砂糖是指以甘蔗、原糖为原料，经提取糖汁（溶糖）、清净处理</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蒸发浓缩、煮糖结晶、分蜜提取白砂糖后，用所得糖蜜</w:t>
      </w:r>
      <w:r>
        <w:rPr>
          <w:rFonts w:hint="eastAsia" w:ascii="Times New Roman" w:hAnsi="Times New Roman" w:eastAsia="仿宋_GB2312" w:cs="Times New Roman"/>
          <w:sz w:val="32"/>
          <w:szCs w:val="32"/>
          <w:highlight w:val="none"/>
          <w:lang w:eastAsia="zh-CN"/>
        </w:rPr>
        <w:t>经</w:t>
      </w:r>
      <w:r>
        <w:rPr>
          <w:rFonts w:hint="default" w:ascii="Times New Roman" w:hAnsi="Times New Roman" w:eastAsia="仿宋_GB2312" w:cs="Times New Roman"/>
          <w:sz w:val="32"/>
          <w:szCs w:val="32"/>
          <w:highlight w:val="none"/>
        </w:rPr>
        <w:t>煮糖结晶等加工</w:t>
      </w:r>
      <w:r>
        <w:rPr>
          <w:rFonts w:hint="eastAsia" w:ascii="Times New Roman" w:hAnsi="Times New Roman" w:eastAsia="仿宋_GB2312" w:cs="Times New Roman"/>
          <w:sz w:val="32"/>
          <w:szCs w:val="32"/>
          <w:highlight w:val="none"/>
          <w:lang w:eastAsia="zh-CN"/>
        </w:rPr>
        <w:t>工艺</w:t>
      </w:r>
      <w:r>
        <w:rPr>
          <w:rFonts w:hint="default" w:ascii="Times New Roman" w:hAnsi="Times New Roman" w:eastAsia="仿宋_GB2312" w:cs="Times New Roman"/>
          <w:sz w:val="32"/>
          <w:szCs w:val="32"/>
          <w:highlight w:val="none"/>
        </w:rPr>
        <w:t>制成的带蜜棕红色或黄褐色的糖，类别编号2103。</w:t>
      </w:r>
    </w:p>
    <w:p>
      <w:pPr>
        <w:pStyle w:val="42"/>
        <w:shd w:val="clear"/>
        <w:spacing w:line="594" w:lineRule="exact"/>
        <w:ind w:firstLine="470"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（四）冰糖包括单晶体冰糖和多晶体冰糖（白冰糖、黄冰糖），单晶体冰糖是指砂糖经再溶、清净处理、重结晶而制得</w:t>
      </w:r>
      <w:r>
        <w:rPr>
          <w:rFonts w:hint="eastAsia" w:ascii="Times New Roman" w:hAnsi="Times New Roman" w:eastAsia="仿宋_GB2312" w:cs="Times New Roman"/>
          <w:sz w:val="32"/>
          <w:szCs w:val="32"/>
          <w:highlight w:val="none"/>
          <w:lang w:eastAsia="zh-CN"/>
        </w:rPr>
        <w:t>的</w:t>
      </w:r>
      <w:r>
        <w:rPr>
          <w:rFonts w:hint="default" w:ascii="Times New Roman" w:hAnsi="Times New Roman" w:eastAsia="仿宋_GB2312" w:cs="Times New Roman"/>
          <w:sz w:val="32"/>
          <w:szCs w:val="32"/>
          <w:highlight w:val="none"/>
        </w:rPr>
        <w:t>单晶体大颗粒结晶糖。多晶体冰糖是指砂糖经再溶、清净处理、重结晶而制得大颗粒结晶糖，由多颗晶体并聚而成的大块冰糖，类别编号2104。</w:t>
      </w:r>
    </w:p>
    <w:p>
      <w:pPr>
        <w:pStyle w:val="42"/>
        <w:shd w:val="clear"/>
        <w:spacing w:line="594" w:lineRule="exact"/>
        <w:ind w:firstLine="470"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（五）方糖是指由粒度适中的白砂糖，加入少量水或糖浆，经压制或铸造等工艺制成方块的糖，类别编号2105。</w:t>
      </w:r>
    </w:p>
    <w:p>
      <w:pPr>
        <w:pStyle w:val="42"/>
        <w:shd w:val="clear"/>
        <w:spacing w:line="594" w:lineRule="exact"/>
        <w:ind w:firstLine="470"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（六）冰片糖是指</w:t>
      </w:r>
      <w:r>
        <w:rPr>
          <w:rFonts w:hint="eastAsia" w:ascii="Times New Roman" w:hAnsi="Times New Roman" w:eastAsia="仿宋_GB2312" w:cs="Times New Roman"/>
          <w:sz w:val="32"/>
          <w:szCs w:val="32"/>
          <w:highlight w:val="none"/>
          <w:lang w:eastAsia="zh-CN"/>
        </w:rPr>
        <w:t>以</w:t>
      </w:r>
      <w:r>
        <w:rPr>
          <w:rFonts w:hint="default" w:ascii="Times New Roman" w:hAnsi="Times New Roman" w:eastAsia="仿宋_GB2312" w:cs="Times New Roman"/>
          <w:sz w:val="32"/>
          <w:szCs w:val="32"/>
          <w:highlight w:val="none"/>
        </w:rPr>
        <w:t>冰糖蜜或砂糖为原料加工而成的片状糖，类别编号2106。</w:t>
      </w:r>
    </w:p>
    <w:p>
      <w:pPr>
        <w:pStyle w:val="42"/>
        <w:shd w:val="clear"/>
        <w:spacing w:line="594" w:lineRule="exact"/>
        <w:ind w:firstLine="470"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（七）红糖是指以甘蔗为原料，经提取糖汁、清净处理后，直接煮炼</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不经分蜜制炼而成的金黄色至黄褐色的糖，类别编号2107。</w:t>
      </w:r>
    </w:p>
    <w:p>
      <w:pPr>
        <w:pStyle w:val="42"/>
        <w:shd w:val="clear"/>
        <w:spacing w:line="594" w:lineRule="exact"/>
        <w:ind w:firstLine="470"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（八）液体糖是</w:t>
      </w:r>
      <w:r>
        <w:rPr>
          <w:rFonts w:hint="eastAsia" w:ascii="Times New Roman" w:hAnsi="Times New Roman" w:eastAsia="仿宋_GB2312" w:cs="Times New Roman"/>
          <w:sz w:val="32"/>
          <w:szCs w:val="32"/>
          <w:highlight w:val="none"/>
          <w:lang w:eastAsia="zh-CN"/>
        </w:rPr>
        <w:t>指</w:t>
      </w:r>
      <w:r>
        <w:rPr>
          <w:rFonts w:hint="default" w:ascii="Times New Roman" w:hAnsi="Times New Roman" w:eastAsia="仿宋_GB2312" w:cs="Times New Roman"/>
          <w:sz w:val="32"/>
          <w:szCs w:val="32"/>
          <w:highlight w:val="none"/>
        </w:rPr>
        <w:t>以甘蔗、甜菜或原糖为原料，经加工或转化工艺制炼而成的液态糖，类别编号2108。</w:t>
      </w:r>
    </w:p>
    <w:p>
      <w:pPr>
        <w:pStyle w:val="42"/>
        <w:shd w:val="clear"/>
        <w:spacing w:line="594" w:lineRule="exact"/>
        <w:ind w:firstLine="470"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（九） 其他糖，与上述8类产品不同的食糖，类别编号2109，包括但不限于糖霜、块糖、金砂糖、全糖粉、黄方糖、黑糖、黄砂糖等。</w:t>
      </w:r>
    </w:p>
    <w:p>
      <w:pPr>
        <w:pStyle w:val="42"/>
        <w:shd w:val="clear"/>
        <w:spacing w:line="594" w:lineRule="exact"/>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上述定义仅列举具有代表性的工艺，可根据实际情况优化调整。生产许可证应注明食品类别、类别编号、类别名称和品种明细。</w:t>
      </w:r>
    </w:p>
    <w:p>
      <w:pPr>
        <w:shd w:val="clear"/>
        <w:autoSpaceDN w:val="0"/>
        <w:spacing w:line="594"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黑体" w:cs="Times New Roman"/>
          <w:color w:val="000000"/>
          <w:sz w:val="32"/>
          <w:highlight w:val="none"/>
        </w:rPr>
        <w:t>第四条</w:t>
      </w:r>
      <w:r>
        <w:rPr>
          <w:rFonts w:hint="default" w:ascii="Times New Roman" w:hAnsi="Times New Roman" w:cs="Times New Roman"/>
          <w:color w:val="000000"/>
          <w:sz w:val="32"/>
          <w:highlight w:val="none"/>
        </w:rPr>
        <w:t xml:space="preserve"> </w:t>
      </w:r>
      <w:bookmarkStart w:id="5" w:name="OLE_LINK4"/>
      <w:r>
        <w:rPr>
          <w:rFonts w:hint="default" w:ascii="Times New Roman" w:hAnsi="Times New Roman" w:eastAsia="仿宋_GB2312" w:cs="Times New Roman"/>
          <w:sz w:val="32"/>
          <w:szCs w:val="32"/>
          <w:highlight w:val="none"/>
        </w:rPr>
        <w:t>液体糖不允许分装，</w:t>
      </w:r>
      <w:bookmarkStart w:id="6" w:name="OLE_LINK23"/>
      <w:r>
        <w:rPr>
          <w:rFonts w:hint="default" w:ascii="Times New Roman" w:hAnsi="Times New Roman" w:eastAsia="仿宋_GB2312" w:cs="Times New Roman"/>
          <w:sz w:val="32"/>
          <w:szCs w:val="32"/>
          <w:highlight w:val="none"/>
        </w:rPr>
        <w:t>其余品类食糖允许分装</w:t>
      </w:r>
      <w:bookmarkEnd w:id="6"/>
      <w:r>
        <w:rPr>
          <w:rFonts w:hint="default" w:ascii="Times New Roman" w:hAnsi="Times New Roman" w:eastAsia="仿宋_GB2312" w:cs="Times New Roman"/>
          <w:sz w:val="32"/>
          <w:szCs w:val="32"/>
          <w:highlight w:val="none"/>
        </w:rPr>
        <w:t>。企业仅有包装场地、工序、设备或企业具有完整的生产设备、生产工艺条件，但以包装工序作为生产开始的，均属于分装。</w:t>
      </w:r>
    </w:p>
    <w:bookmarkEnd w:id="5"/>
    <w:p>
      <w:pPr>
        <w:shd w:val="clear"/>
        <w:spacing w:line="594"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黑体" w:cs="Times New Roman"/>
          <w:color w:val="000000"/>
          <w:sz w:val="32"/>
          <w:highlight w:val="none"/>
        </w:rPr>
        <w:t xml:space="preserve">第五条 </w:t>
      </w:r>
      <w:bookmarkStart w:id="7" w:name="_Hlk225778987"/>
      <w:r>
        <w:rPr>
          <w:rFonts w:hint="default" w:ascii="Times New Roman" w:hAnsi="Times New Roman" w:eastAsia="仿宋_GB2312" w:cs="Times New Roman"/>
          <w:sz w:val="32"/>
          <w:szCs w:val="32"/>
          <w:highlight w:val="none"/>
        </w:rPr>
        <w:t>食糖中不得添加淀粉糖。</w:t>
      </w:r>
      <w:bookmarkEnd w:id="7"/>
    </w:p>
    <w:p>
      <w:pPr>
        <w:widowControl/>
        <w:shd w:val="clear"/>
        <w:spacing w:line="594" w:lineRule="exact"/>
        <w:ind w:firstLine="640" w:firstLineChars="200"/>
        <w:jc w:val="left"/>
        <w:rPr>
          <w:rFonts w:hint="default" w:ascii="Times New Roman" w:hAnsi="Times New Roman" w:eastAsia="仿宋_GB2312" w:cs="Times New Roman"/>
          <w:sz w:val="32"/>
          <w:szCs w:val="32"/>
          <w:highlight w:val="none"/>
        </w:rPr>
      </w:pPr>
      <w:r>
        <w:rPr>
          <w:rFonts w:hint="default" w:ascii="Times New Roman" w:hAnsi="Times New Roman" w:eastAsia="黑体" w:cs="Times New Roman"/>
          <w:color w:val="000000"/>
          <w:sz w:val="32"/>
          <w:highlight w:val="none"/>
        </w:rPr>
        <w:t xml:space="preserve">第六条 </w:t>
      </w:r>
      <w:bookmarkStart w:id="8" w:name="_Hlk225779053"/>
      <w:r>
        <w:rPr>
          <w:rFonts w:hint="default" w:ascii="Times New Roman" w:hAnsi="Times New Roman" w:eastAsia="仿宋_GB2312" w:cs="Times New Roman"/>
          <w:sz w:val="32"/>
          <w:szCs w:val="32"/>
          <w:highlight w:val="none"/>
        </w:rPr>
        <w:t>《细则》中引用的文件、标准应采用最新版本（包括标准修改单）。</w:t>
      </w:r>
      <w:bookmarkEnd w:id="8"/>
    </w:p>
    <w:p>
      <w:pPr>
        <w:pStyle w:val="6"/>
        <w:shd w:val="clear"/>
        <w:spacing w:before="0" w:after="0" w:line="594" w:lineRule="exact"/>
        <w:rPr>
          <w:rFonts w:hint="default"/>
          <w:highlight w:val="none"/>
        </w:rPr>
      </w:pPr>
    </w:p>
    <w:p>
      <w:pPr>
        <w:pStyle w:val="5"/>
        <w:shd w:val="clear"/>
        <w:spacing w:before="0" w:after="0" w:line="594" w:lineRule="exact"/>
        <w:jc w:val="center"/>
        <w:rPr>
          <w:rFonts w:hint="default" w:ascii="Times New Roman" w:hAnsi="Times New Roman" w:cs="Times New Roman"/>
          <w:b w:val="0"/>
          <w:bCs w:val="0"/>
          <w:color w:val="000000"/>
          <w:szCs w:val="24"/>
          <w:highlight w:val="none"/>
        </w:rPr>
      </w:pPr>
      <w:r>
        <w:rPr>
          <w:rFonts w:hint="default" w:ascii="Times New Roman" w:hAnsi="Times New Roman" w:cs="Times New Roman"/>
          <w:b w:val="0"/>
          <w:bCs w:val="0"/>
          <w:color w:val="000000"/>
          <w:szCs w:val="24"/>
          <w:highlight w:val="none"/>
        </w:rPr>
        <w:t>第二章 生产场所</w:t>
      </w:r>
    </w:p>
    <w:p>
      <w:pPr>
        <w:widowControl/>
        <w:shd w:val="clear"/>
        <w:spacing w:line="594"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黑体" w:cs="Times New Roman"/>
          <w:color w:val="000000"/>
          <w:sz w:val="32"/>
          <w:highlight w:val="none"/>
        </w:rPr>
        <w:t xml:space="preserve">第七条 </w:t>
      </w:r>
      <w:bookmarkStart w:id="9" w:name="OLE_LINK6"/>
      <w:r>
        <w:rPr>
          <w:rFonts w:hint="default" w:ascii="Times New Roman" w:hAnsi="Times New Roman" w:eastAsia="仿宋_GB2312" w:cs="Times New Roman"/>
          <w:sz w:val="32"/>
          <w:szCs w:val="32"/>
          <w:highlight w:val="none"/>
        </w:rPr>
        <w:t>厂区、厂房和车间、库房要求应符合《食品安全国家标准 食品生产通用卫生规范》（GB 14881）中生产场所相关规定。</w:t>
      </w:r>
    </w:p>
    <w:bookmarkEnd w:id="9"/>
    <w:p>
      <w:pPr>
        <w:pStyle w:val="10"/>
        <w:shd w:val="clear"/>
        <w:spacing w:line="594" w:lineRule="exact"/>
        <w:ind w:firstLine="640" w:firstLineChars="200"/>
        <w:rPr>
          <w:rFonts w:hint="default" w:ascii="Times New Roman" w:hAnsi="Times New Roman" w:cs="Times New Roman"/>
          <w:szCs w:val="32"/>
          <w:highlight w:val="none"/>
        </w:rPr>
      </w:pPr>
      <w:r>
        <w:rPr>
          <w:rFonts w:hint="default" w:ascii="Times New Roman" w:hAnsi="Times New Roman" w:eastAsia="黑体" w:cs="Times New Roman"/>
          <w:color w:val="000000"/>
          <w:highlight w:val="none"/>
        </w:rPr>
        <w:t>第八条</w:t>
      </w:r>
      <w:r>
        <w:rPr>
          <w:rFonts w:hint="default" w:ascii="Times New Roman" w:hAnsi="Times New Roman" w:cs="Times New Roman"/>
          <w:color w:val="000000"/>
          <w:highlight w:val="none"/>
        </w:rPr>
        <w:t xml:space="preserve"> </w:t>
      </w:r>
      <w:bookmarkStart w:id="10" w:name="OLE_LINK12"/>
      <w:r>
        <w:rPr>
          <w:rFonts w:hint="default" w:ascii="Times New Roman" w:hAnsi="Times New Roman" w:cs="Times New Roman"/>
          <w:szCs w:val="32"/>
          <w:highlight w:val="none"/>
        </w:rPr>
        <w:t>企业厂房选址和设计、内部建筑结构、辅助生产设施应能够避免交叉污染，便于清洁、操作和维护。</w:t>
      </w:r>
      <w:bookmarkEnd w:id="10"/>
    </w:p>
    <w:p>
      <w:pPr>
        <w:shd w:val="clear"/>
        <w:spacing w:line="594" w:lineRule="exact"/>
        <w:ind w:firstLine="640" w:firstLineChars="200"/>
        <w:rPr>
          <w:rFonts w:hint="default" w:ascii="Times New Roman" w:hAnsi="Times New Roman" w:eastAsia="仿宋_GB2312" w:cs="Times New Roman"/>
          <w:sz w:val="32"/>
          <w:szCs w:val="32"/>
          <w:highlight w:val="none"/>
        </w:rPr>
      </w:pPr>
      <w:bookmarkStart w:id="11" w:name="_Hlk219996018"/>
      <w:r>
        <w:rPr>
          <w:rFonts w:hint="default" w:ascii="Times New Roman" w:hAnsi="Times New Roman" w:eastAsia="黑体" w:cs="Times New Roman"/>
          <w:color w:val="000000"/>
          <w:sz w:val="32"/>
          <w:highlight w:val="none"/>
        </w:rPr>
        <w:t>第九条</w:t>
      </w:r>
      <w:r>
        <w:rPr>
          <w:rFonts w:hint="default" w:ascii="Times New Roman" w:hAnsi="Times New Roman" w:cs="Times New Roman"/>
          <w:color w:val="000000"/>
          <w:sz w:val="32"/>
          <w:highlight w:val="none"/>
        </w:rPr>
        <w:t xml:space="preserve"> </w:t>
      </w:r>
      <w:bookmarkStart w:id="12" w:name="OLE_LINK15"/>
      <w:r>
        <w:rPr>
          <w:rFonts w:hint="default" w:ascii="Times New Roman" w:hAnsi="Times New Roman" w:eastAsia="仿宋_GB2312" w:cs="Times New Roman"/>
          <w:sz w:val="32"/>
          <w:szCs w:val="32"/>
          <w:highlight w:val="none"/>
        </w:rPr>
        <w:t>企业应根据产品特点及工艺要求设置相应的生产场所。常规生产场所见表1。</w:t>
      </w:r>
      <w:bookmarkEnd w:id="12"/>
    </w:p>
    <w:bookmarkEnd w:id="11"/>
    <w:p>
      <w:pPr>
        <w:shd w:val="clear"/>
        <w:spacing w:line="594" w:lineRule="exact"/>
        <w:ind w:firstLine="640" w:firstLineChars="200"/>
        <w:jc w:val="center"/>
        <w:rPr>
          <w:rFonts w:hint="default" w:ascii="Times New Roman" w:hAnsi="Times New Roman" w:eastAsia="楷体_GB2312" w:cs="Times New Roman"/>
          <w:color w:val="000000"/>
          <w:sz w:val="32"/>
          <w:highlight w:val="none"/>
        </w:rPr>
      </w:pPr>
      <w:r>
        <w:rPr>
          <w:rFonts w:hint="default" w:ascii="Times New Roman" w:hAnsi="Times New Roman" w:eastAsia="楷体_GB2312" w:cs="Times New Roman"/>
          <w:color w:val="000000"/>
          <w:sz w:val="32"/>
          <w:highlight w:val="none"/>
        </w:rPr>
        <w:t>表1 食糖常规生产场所</w:t>
      </w:r>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5"/>
        <w:gridCol w:w="7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shd w:val="clear" w:color="auto" w:fill="auto"/>
            <w:vAlign w:val="center"/>
          </w:tcPr>
          <w:p>
            <w:pPr>
              <w:shd w:val="clear"/>
              <w:spacing w:line="360" w:lineRule="auto"/>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产品类别名称</w:t>
            </w:r>
          </w:p>
        </w:tc>
        <w:tc>
          <w:tcPr>
            <w:tcW w:w="3977" w:type="pct"/>
            <w:shd w:val="clear" w:color="auto" w:fill="auto"/>
            <w:vAlign w:val="center"/>
          </w:tcPr>
          <w:p>
            <w:pPr>
              <w:shd w:val="clear"/>
              <w:spacing w:line="360" w:lineRule="auto"/>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常规生产场所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shd w:val="clear" w:color="auto" w:fill="auto"/>
            <w:vAlign w:val="center"/>
          </w:tcPr>
          <w:p>
            <w:pPr>
              <w:shd w:val="clear"/>
              <w:spacing w:line="360" w:lineRule="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白砂糖、绵白糖、赤砂糖</w:t>
            </w:r>
          </w:p>
        </w:tc>
        <w:tc>
          <w:tcPr>
            <w:tcW w:w="3977" w:type="pct"/>
            <w:shd w:val="clear" w:color="auto" w:fill="auto"/>
            <w:vAlign w:val="center"/>
          </w:tcPr>
          <w:p>
            <w:pPr>
              <w:shd w:val="clear"/>
              <w:spacing w:line="360" w:lineRule="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一般包括制糖原料贮存场所（库房）及包装材料仓库、生产辅料库、生产加工间</w:t>
            </w:r>
            <w:r>
              <w:rPr>
                <w:rFonts w:hint="eastAsia" w:eastAsia="仿宋_GB2312" w:cs="Times New Roman"/>
                <w:color w:val="000000"/>
                <w:sz w:val="24"/>
                <w:highlight w:val="none"/>
                <w:lang w:eastAsia="zh-CN"/>
              </w:rPr>
              <w:t>（</w:t>
            </w:r>
            <w:r>
              <w:rPr>
                <w:rFonts w:hint="default" w:ascii="Times New Roman" w:hAnsi="Times New Roman" w:eastAsia="仿宋_GB2312" w:cs="Times New Roman"/>
                <w:color w:val="000000"/>
                <w:sz w:val="24"/>
                <w:highlight w:val="none"/>
              </w:rPr>
              <w:t>提取糖汁</w:t>
            </w:r>
            <w:r>
              <w:rPr>
                <w:rFonts w:hint="eastAsia" w:eastAsia="仿宋_GB2312" w:cs="Times New Roman"/>
                <w:color w:val="000000"/>
                <w:sz w:val="24"/>
                <w:highlight w:val="none"/>
                <w:lang w:val="en-US" w:eastAsia="zh-CN"/>
              </w:rPr>
              <w:t>/</w:t>
            </w:r>
            <w:r>
              <w:rPr>
                <w:rFonts w:hint="default" w:ascii="Times New Roman" w:hAnsi="Times New Roman" w:eastAsia="仿宋_GB2312" w:cs="Times New Roman"/>
                <w:color w:val="000000"/>
                <w:sz w:val="24"/>
                <w:highlight w:val="none"/>
              </w:rPr>
              <w:t>溶糖、清净、蒸发、结晶、分蜜等</w:t>
            </w:r>
            <w:r>
              <w:rPr>
                <w:rFonts w:hint="eastAsia" w:eastAsia="仿宋_GB2312" w:cs="Times New Roman"/>
                <w:color w:val="000000"/>
                <w:sz w:val="24"/>
                <w:highlight w:val="none"/>
                <w:lang w:eastAsia="zh-CN"/>
              </w:rPr>
              <w:t>）</w:t>
            </w:r>
            <w:r>
              <w:rPr>
                <w:rFonts w:hint="default" w:ascii="Times New Roman" w:hAnsi="Times New Roman" w:eastAsia="仿宋_GB2312" w:cs="Times New Roman"/>
                <w:color w:val="000000"/>
                <w:sz w:val="24"/>
                <w:highlight w:val="none"/>
              </w:rPr>
              <w:t>、包装间、成品库等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shd w:val="clear" w:color="auto" w:fill="auto"/>
            <w:vAlign w:val="center"/>
          </w:tcPr>
          <w:p>
            <w:pPr>
              <w:shd w:val="clear"/>
              <w:spacing w:line="360" w:lineRule="auto"/>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冰糖</w:t>
            </w:r>
          </w:p>
        </w:tc>
        <w:tc>
          <w:tcPr>
            <w:tcW w:w="3977" w:type="pct"/>
            <w:shd w:val="clear" w:color="auto" w:fill="auto"/>
            <w:vAlign w:val="center"/>
          </w:tcPr>
          <w:p>
            <w:pPr>
              <w:shd w:val="clear"/>
              <w:spacing w:line="360" w:lineRule="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一般包括制糖原料贮存场所（库房）及包装材料仓库、生产加工间（溶糖、浓缩、结晶等）、包装间、成品库等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2" w:type="pct"/>
            <w:shd w:val="clear" w:color="auto" w:fill="auto"/>
            <w:vAlign w:val="center"/>
          </w:tcPr>
          <w:p>
            <w:pPr>
              <w:shd w:val="clear"/>
              <w:spacing w:line="360" w:lineRule="auto"/>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3977" w:type="pct"/>
            <w:shd w:val="clear" w:color="auto" w:fill="auto"/>
            <w:vAlign w:val="center"/>
          </w:tcPr>
          <w:p>
            <w:pPr>
              <w:shd w:val="clear"/>
              <w:spacing w:line="360" w:lineRule="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一般包括制糖原料贮存场所（库房）及包装材料仓库、生产辅料库、生产加工间（压制、烘干等）、包装间、成品库等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shd w:val="clear" w:color="auto" w:fill="auto"/>
            <w:vAlign w:val="center"/>
          </w:tcPr>
          <w:p>
            <w:pPr>
              <w:shd w:val="clear"/>
              <w:spacing w:line="360" w:lineRule="auto"/>
              <w:ind w:firstLine="480" w:firstLineChars="200"/>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冰片糖</w:t>
            </w:r>
          </w:p>
        </w:tc>
        <w:tc>
          <w:tcPr>
            <w:tcW w:w="3977" w:type="pct"/>
            <w:shd w:val="clear" w:color="auto" w:fill="auto"/>
            <w:vAlign w:val="center"/>
          </w:tcPr>
          <w:p>
            <w:pPr>
              <w:shd w:val="clear"/>
              <w:spacing w:line="360" w:lineRule="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一般包括制糖原料贮存场所（库房）及包装材料仓库、生产辅料库、生产加工间（溶糖、蒸发、冷却成型等）、包装间、成品库等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shd w:val="clear" w:color="auto" w:fill="auto"/>
            <w:vAlign w:val="center"/>
          </w:tcPr>
          <w:p>
            <w:pPr>
              <w:shd w:val="clear"/>
              <w:spacing w:line="360" w:lineRule="auto"/>
              <w:ind w:firstLine="0" w:firstLineChars="0"/>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红糖</w:t>
            </w:r>
          </w:p>
        </w:tc>
        <w:tc>
          <w:tcPr>
            <w:tcW w:w="3977" w:type="pct"/>
            <w:shd w:val="clear" w:color="auto" w:fill="auto"/>
            <w:vAlign w:val="center"/>
          </w:tcPr>
          <w:p>
            <w:pPr>
              <w:shd w:val="clear"/>
              <w:spacing w:line="360" w:lineRule="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一般包括</w:t>
            </w:r>
            <w:bookmarkStart w:id="13" w:name="OLE_LINK19"/>
            <w:r>
              <w:rPr>
                <w:rFonts w:hint="default" w:ascii="Times New Roman" w:hAnsi="Times New Roman" w:eastAsia="仿宋_GB2312" w:cs="Times New Roman"/>
                <w:color w:val="000000"/>
                <w:sz w:val="24"/>
                <w:highlight w:val="none"/>
              </w:rPr>
              <w:t>制糖原料贮存场所（库房）及包装材料仓库</w:t>
            </w:r>
            <w:bookmarkEnd w:id="13"/>
            <w:r>
              <w:rPr>
                <w:rFonts w:hint="default" w:ascii="Times New Roman" w:hAnsi="Times New Roman" w:eastAsia="仿宋_GB2312" w:cs="Times New Roman"/>
                <w:color w:val="000000"/>
                <w:sz w:val="24"/>
                <w:highlight w:val="none"/>
              </w:rPr>
              <w:t>、生产辅料库、生产加工间（</w:t>
            </w:r>
            <w:r>
              <w:rPr>
                <w:rFonts w:hint="default" w:eastAsia="仿宋_GB2312" w:cs="Times New Roman"/>
                <w:color w:val="000000"/>
                <w:sz w:val="24"/>
                <w:highlight w:val="none"/>
                <w:lang w:val="en-US"/>
              </w:rPr>
              <w:t>提取糖汁</w:t>
            </w:r>
            <w:r>
              <w:rPr>
                <w:rFonts w:hint="default" w:ascii="Times New Roman" w:hAnsi="Times New Roman" w:eastAsia="仿宋_GB2312" w:cs="Times New Roman"/>
                <w:color w:val="000000"/>
                <w:sz w:val="24"/>
                <w:highlight w:val="none"/>
              </w:rPr>
              <w:t>、清净、浓缩、煮制、冷却成糖等）、包装间、成品库等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shd w:val="clear" w:color="auto" w:fill="auto"/>
            <w:vAlign w:val="center"/>
          </w:tcPr>
          <w:p>
            <w:pPr>
              <w:shd w:val="clear"/>
              <w:spacing w:line="360" w:lineRule="auto"/>
              <w:ind w:firstLine="480" w:firstLineChars="200"/>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3977" w:type="pct"/>
            <w:shd w:val="clear" w:color="auto" w:fill="auto"/>
            <w:vAlign w:val="center"/>
          </w:tcPr>
          <w:p>
            <w:pPr>
              <w:shd w:val="clear"/>
              <w:spacing w:line="360" w:lineRule="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一般包括制糖原料贮存场所（库房）及包装材料仓库、生产辅料库、生产加工间（提取糖汁/溶糖、清净、浓缩、杀菌、冷却包装等）、包装间、成品库等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2" w:type="pct"/>
            <w:shd w:val="clear" w:color="auto" w:fill="auto"/>
            <w:vAlign w:val="center"/>
          </w:tcPr>
          <w:p>
            <w:pPr>
              <w:shd w:val="clear"/>
              <w:spacing w:line="360" w:lineRule="auto"/>
              <w:ind w:firstLine="480" w:firstLineChars="200"/>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其他糖</w:t>
            </w:r>
          </w:p>
        </w:tc>
        <w:tc>
          <w:tcPr>
            <w:tcW w:w="3977" w:type="pct"/>
            <w:shd w:val="clear" w:color="auto" w:fill="auto"/>
            <w:vAlign w:val="center"/>
          </w:tcPr>
          <w:p>
            <w:pPr>
              <w:shd w:val="clear"/>
              <w:spacing w:line="360" w:lineRule="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一般包括制糖原料贮存场所（库房）及包装材料仓库、生产辅料库、生产加工间、包装间、成品库等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shd w:val="clear" w:color="auto" w:fill="auto"/>
            <w:vAlign w:val="center"/>
          </w:tcPr>
          <w:p>
            <w:pPr>
              <w:shd w:val="clear"/>
              <w:spacing w:line="360" w:lineRule="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注：</w:t>
            </w:r>
          </w:p>
          <w:p>
            <w:pPr>
              <w:shd w:val="clear"/>
              <w:spacing w:line="360" w:lineRule="auto"/>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1.本表所列场所为常规生产场所，企业可根据产品特点及工艺要求设置、调整。</w:t>
            </w:r>
          </w:p>
          <w:p>
            <w:pPr>
              <w:shd w:val="clear"/>
              <w:spacing w:line="360" w:lineRule="auto"/>
              <w:rPr>
                <w:rFonts w:hint="default" w:ascii="Times New Roman" w:hAnsi="Times New Roman" w:eastAsia="仿宋_GB2312" w:cs="Times New Roman"/>
                <w:color w:val="000000"/>
                <w:sz w:val="24"/>
                <w:highlight w:val="none"/>
              </w:rPr>
            </w:pPr>
            <w:bookmarkStart w:id="14" w:name="_Hlk219995998"/>
            <w:r>
              <w:rPr>
                <w:rFonts w:hint="default" w:ascii="Times New Roman" w:hAnsi="Times New Roman" w:eastAsia="仿宋_GB2312" w:cs="Times New Roman"/>
                <w:color w:val="000000"/>
                <w:sz w:val="24"/>
                <w:highlight w:val="none"/>
              </w:rPr>
              <w:t>2.分装的企业生产场所应具有原辅材料库、成品库、包装车间等。</w:t>
            </w:r>
            <w:bookmarkEnd w:id="14"/>
          </w:p>
        </w:tc>
      </w:tr>
    </w:tbl>
    <w:p>
      <w:pPr>
        <w:pStyle w:val="42"/>
        <w:shd w:val="clear"/>
        <w:spacing w:line="594" w:lineRule="exact"/>
        <w:ind w:firstLine="640"/>
        <w:rPr>
          <w:rFonts w:hint="default" w:ascii="Times New Roman" w:hAnsi="Times New Roman" w:eastAsia="仿宋" w:cs="Times New Roman"/>
          <w:color w:val="000000"/>
          <w:sz w:val="32"/>
          <w:szCs w:val="24"/>
          <w:highlight w:val="none"/>
        </w:rPr>
      </w:pPr>
      <w:bookmarkStart w:id="15" w:name="_Hlk219996074"/>
      <w:r>
        <w:rPr>
          <w:rFonts w:hint="default" w:ascii="Times New Roman" w:hAnsi="Times New Roman" w:eastAsia="黑体" w:cs="Times New Roman"/>
          <w:color w:val="000000"/>
          <w:sz w:val="32"/>
          <w:szCs w:val="24"/>
          <w:highlight w:val="none"/>
        </w:rPr>
        <w:t>第十条</w:t>
      </w:r>
      <w:r>
        <w:rPr>
          <w:rFonts w:hint="default" w:ascii="Times New Roman" w:hAnsi="Times New Roman" w:cs="Times New Roman"/>
          <w:color w:val="000000"/>
          <w:sz w:val="32"/>
          <w:szCs w:val="32"/>
          <w:highlight w:val="none"/>
        </w:rPr>
        <w:t xml:space="preserve"> </w:t>
      </w:r>
      <w:r>
        <w:rPr>
          <w:rFonts w:hint="default" w:ascii="Times New Roman" w:hAnsi="Times New Roman" w:eastAsia="仿宋_GB2312" w:cs="Times New Roman"/>
          <w:color w:val="000000"/>
          <w:sz w:val="32"/>
          <w:szCs w:val="24"/>
          <w:highlight w:val="none"/>
        </w:rPr>
        <w:t>生产车间的设置</w:t>
      </w:r>
      <w:r>
        <w:rPr>
          <w:rFonts w:hint="eastAsia" w:ascii="Times New Roman" w:hAnsi="Times New Roman" w:eastAsia="仿宋_GB2312" w:cs="Times New Roman"/>
          <w:color w:val="000000"/>
          <w:sz w:val="32"/>
          <w:szCs w:val="24"/>
          <w:highlight w:val="none"/>
          <w:lang w:eastAsia="zh-CN"/>
        </w:rPr>
        <w:t>应</w:t>
      </w:r>
      <w:r>
        <w:rPr>
          <w:rFonts w:hint="default" w:ascii="Times New Roman" w:hAnsi="Times New Roman" w:eastAsia="仿宋_GB2312" w:cs="Times New Roman"/>
          <w:color w:val="000000"/>
          <w:sz w:val="32"/>
          <w:szCs w:val="24"/>
          <w:highlight w:val="none"/>
        </w:rPr>
        <w:t>根据生产工艺、卫生控制要求有序合理布局。各作业区之间应有效分隔或分离，防止交叉污染。食糖生产作业区划分要求见表2。</w:t>
      </w:r>
    </w:p>
    <w:bookmarkEnd w:id="15"/>
    <w:p>
      <w:pPr>
        <w:pStyle w:val="10"/>
        <w:shd w:val="clear"/>
        <w:spacing w:line="594" w:lineRule="exact"/>
        <w:jc w:val="center"/>
        <w:rPr>
          <w:rFonts w:hint="default" w:ascii="Times New Roman" w:hAnsi="Times New Roman" w:eastAsia="楷体_GB2312" w:cs="Times New Roman"/>
          <w:color w:val="000000"/>
          <w:highlight w:val="none"/>
        </w:rPr>
      </w:pPr>
      <w:r>
        <w:rPr>
          <w:rFonts w:hint="default" w:ascii="Times New Roman" w:hAnsi="Times New Roman" w:eastAsia="楷体_GB2312" w:cs="Times New Roman"/>
          <w:color w:val="000000"/>
          <w:highlight w:val="none"/>
        </w:rPr>
        <w:t>表2 食糖生产作业区划分</w:t>
      </w:r>
    </w:p>
    <w:tbl>
      <w:tblPr>
        <w:tblStyle w:val="16"/>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2238"/>
        <w:gridCol w:w="3145"/>
        <w:gridCol w:w="2247"/>
        <w:gridCol w:w="15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1221" w:type="pct"/>
            <w:tcMar>
              <w:top w:w="0" w:type="dxa"/>
              <w:left w:w="105" w:type="dxa"/>
              <w:bottom w:w="0" w:type="dxa"/>
              <w:right w:w="105" w:type="dxa"/>
            </w:tcMar>
            <w:vAlign w:val="center"/>
          </w:tcPr>
          <w:p>
            <w:pPr>
              <w:widowControl/>
              <w:shd w:val="clear"/>
              <w:spacing w:line="480" w:lineRule="atLeast"/>
              <w:jc w:val="center"/>
              <w:textAlignment w:val="baseline"/>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产品类别名称</w:t>
            </w:r>
          </w:p>
        </w:tc>
        <w:tc>
          <w:tcPr>
            <w:tcW w:w="1716" w:type="pct"/>
            <w:tcMar>
              <w:top w:w="0" w:type="dxa"/>
              <w:left w:w="105" w:type="dxa"/>
              <w:bottom w:w="0" w:type="dxa"/>
              <w:right w:w="105" w:type="dxa"/>
            </w:tcMar>
            <w:vAlign w:val="center"/>
          </w:tcPr>
          <w:p>
            <w:pPr>
              <w:widowControl/>
              <w:shd w:val="clear"/>
              <w:wordWrap w:val="0"/>
              <w:spacing w:line="480" w:lineRule="atLeast"/>
              <w:jc w:val="center"/>
              <w:textAlignment w:val="baseline"/>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一般作业区</w:t>
            </w:r>
          </w:p>
        </w:tc>
        <w:tc>
          <w:tcPr>
            <w:tcW w:w="1226" w:type="pct"/>
            <w:tcMar>
              <w:top w:w="0" w:type="dxa"/>
              <w:left w:w="105" w:type="dxa"/>
              <w:bottom w:w="0" w:type="dxa"/>
              <w:right w:w="105" w:type="dxa"/>
            </w:tcMar>
            <w:vAlign w:val="center"/>
          </w:tcPr>
          <w:p>
            <w:pPr>
              <w:widowControl/>
              <w:shd w:val="clear"/>
              <w:wordWrap w:val="0"/>
              <w:spacing w:line="480" w:lineRule="atLeast"/>
              <w:jc w:val="center"/>
              <w:textAlignment w:val="baseline"/>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准清洁作业区</w:t>
            </w:r>
          </w:p>
        </w:tc>
        <w:tc>
          <w:tcPr>
            <w:tcW w:w="835" w:type="pct"/>
            <w:tcMar>
              <w:top w:w="0" w:type="dxa"/>
              <w:left w:w="105" w:type="dxa"/>
              <w:bottom w:w="0" w:type="dxa"/>
              <w:right w:w="105" w:type="dxa"/>
            </w:tcMar>
            <w:vAlign w:val="center"/>
          </w:tcPr>
          <w:p>
            <w:pPr>
              <w:widowControl/>
              <w:shd w:val="clear"/>
              <w:wordWrap w:val="0"/>
              <w:spacing w:line="480" w:lineRule="atLeast"/>
              <w:jc w:val="center"/>
              <w:textAlignment w:val="baseline"/>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清洁作业区</w:t>
            </w:r>
          </w:p>
        </w:tc>
      </w:tr>
      <w:tr>
        <w:tblPrEx>
          <w:tblCellMar>
            <w:top w:w="0" w:type="dxa"/>
            <w:left w:w="0" w:type="dxa"/>
            <w:bottom w:w="0" w:type="dxa"/>
            <w:right w:w="0" w:type="dxa"/>
          </w:tblCellMar>
        </w:tblPrEx>
        <w:trPr>
          <w:trHeight w:val="465" w:hRule="atLeast"/>
          <w:jc w:val="center"/>
        </w:trPr>
        <w:tc>
          <w:tcPr>
            <w:tcW w:w="1221" w:type="pct"/>
            <w:shd w:val="clear" w:color="auto" w:fill="auto"/>
            <w:tcMar>
              <w:top w:w="0" w:type="dxa"/>
              <w:left w:w="105" w:type="dxa"/>
              <w:bottom w:w="0" w:type="dxa"/>
              <w:right w:w="105" w:type="dxa"/>
            </w:tcMar>
            <w:vAlign w:val="center"/>
          </w:tcPr>
          <w:p>
            <w:pPr>
              <w:widowControl/>
              <w:shd w:val="clear"/>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白砂糖、绵白糖、赤砂糖</w:t>
            </w:r>
          </w:p>
        </w:tc>
        <w:tc>
          <w:tcPr>
            <w:tcW w:w="171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制糖原料贮存场所（如甘蔗、甜菜堆场）、</w:t>
            </w:r>
            <w:r>
              <w:rPr>
                <w:rFonts w:hint="default" w:ascii="Times New Roman" w:hAnsi="Times New Roman" w:eastAsia="仿宋_GB2312" w:cs="Times New Roman"/>
                <w:color w:val="auto"/>
                <w:sz w:val="24"/>
                <w:highlight w:val="none"/>
              </w:rPr>
              <w:t>原糖</w:t>
            </w:r>
            <w:r>
              <w:rPr>
                <w:rFonts w:hint="default" w:ascii="Times New Roman" w:hAnsi="Times New Roman" w:eastAsia="仿宋_GB2312" w:cs="Times New Roman"/>
                <w:color w:val="000000"/>
                <w:sz w:val="24"/>
                <w:highlight w:val="none"/>
              </w:rPr>
              <w:t>及包装材料仓库、生产辅料库、生产加工和辅助间（</w:t>
            </w:r>
            <w:r>
              <w:rPr>
                <w:rFonts w:hint="eastAsia" w:eastAsia="仿宋_GB2312" w:cs="Times New Roman"/>
                <w:color w:val="000000"/>
                <w:sz w:val="24"/>
                <w:highlight w:val="none"/>
                <w:lang w:eastAsia="zh-CN"/>
              </w:rPr>
              <w:t>提取糖汁</w:t>
            </w:r>
            <w:r>
              <w:rPr>
                <w:rFonts w:hint="eastAsia" w:eastAsia="仿宋_GB2312"/>
                <w:color w:val="000000"/>
                <w:sz w:val="24"/>
                <w:highlight w:val="none"/>
              </w:rPr>
              <w:t>/溶糖</w:t>
            </w:r>
            <w:r>
              <w:rPr>
                <w:rFonts w:hint="default" w:ascii="Times New Roman" w:hAnsi="Times New Roman" w:eastAsia="仿宋_GB2312" w:cs="Times New Roman"/>
                <w:color w:val="000000"/>
                <w:sz w:val="24"/>
                <w:highlight w:val="none"/>
              </w:rPr>
              <w:t>、清净、蒸发、煮糖、分蜜等）、成品库和供水、供电、供蒸汽、安全环保设施车间等</w:t>
            </w:r>
          </w:p>
        </w:tc>
        <w:tc>
          <w:tcPr>
            <w:tcW w:w="122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包装材料的准备间、包装间等</w:t>
            </w:r>
          </w:p>
        </w:tc>
        <w:tc>
          <w:tcPr>
            <w:tcW w:w="835" w:type="pct"/>
            <w:tcMar>
              <w:top w:w="0" w:type="dxa"/>
              <w:left w:w="105" w:type="dxa"/>
              <w:bottom w:w="0" w:type="dxa"/>
              <w:right w:w="105" w:type="dxa"/>
            </w:tcMar>
            <w:vAlign w:val="center"/>
          </w:tcPr>
          <w:p>
            <w:pPr>
              <w:widowControl/>
              <w:shd w:val="clear"/>
              <w:wordWrap w:val="0"/>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1221" w:type="pct"/>
            <w:shd w:val="clear" w:color="auto" w:fill="auto"/>
            <w:tcMar>
              <w:top w:w="0" w:type="dxa"/>
              <w:left w:w="105" w:type="dxa"/>
              <w:bottom w:w="0" w:type="dxa"/>
              <w:right w:w="105" w:type="dxa"/>
            </w:tcMar>
            <w:vAlign w:val="center"/>
          </w:tcPr>
          <w:p>
            <w:pPr>
              <w:widowControl/>
              <w:shd w:val="clear"/>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冰糖</w:t>
            </w:r>
          </w:p>
        </w:tc>
        <w:tc>
          <w:tcPr>
            <w:tcW w:w="171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原材料及包装材料仓库、成品库等</w:t>
            </w:r>
          </w:p>
        </w:tc>
        <w:tc>
          <w:tcPr>
            <w:tcW w:w="122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生产加工间（溶糖、浓缩、结晶等）、包装材料的准备间、包装间等</w:t>
            </w:r>
          </w:p>
        </w:tc>
        <w:tc>
          <w:tcPr>
            <w:tcW w:w="835" w:type="pct"/>
            <w:tcMar>
              <w:top w:w="0" w:type="dxa"/>
              <w:left w:w="105" w:type="dxa"/>
              <w:bottom w:w="0" w:type="dxa"/>
              <w:right w:w="105" w:type="dxa"/>
            </w:tcMar>
            <w:vAlign w:val="center"/>
          </w:tcPr>
          <w:p>
            <w:pPr>
              <w:widowControl/>
              <w:shd w:val="clear"/>
              <w:wordWrap w:val="0"/>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1221" w:type="pct"/>
            <w:shd w:val="clear" w:color="auto" w:fill="auto"/>
            <w:tcMar>
              <w:top w:w="0" w:type="dxa"/>
              <w:left w:w="105" w:type="dxa"/>
              <w:bottom w:w="0" w:type="dxa"/>
              <w:right w:w="105" w:type="dxa"/>
            </w:tcMar>
            <w:vAlign w:val="center"/>
          </w:tcPr>
          <w:p>
            <w:pPr>
              <w:widowControl/>
              <w:shd w:val="clear"/>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71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原材料及包装材料仓库、生产辅料库、成品库等</w:t>
            </w:r>
          </w:p>
        </w:tc>
        <w:tc>
          <w:tcPr>
            <w:tcW w:w="122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生产加工间（压制、烘干等）、包装材料的准备间、包装间等</w:t>
            </w:r>
          </w:p>
        </w:tc>
        <w:tc>
          <w:tcPr>
            <w:tcW w:w="835" w:type="pct"/>
            <w:tcMar>
              <w:top w:w="0" w:type="dxa"/>
              <w:left w:w="105" w:type="dxa"/>
              <w:bottom w:w="0" w:type="dxa"/>
              <w:right w:w="105" w:type="dxa"/>
            </w:tcMar>
            <w:vAlign w:val="center"/>
          </w:tcPr>
          <w:p>
            <w:pPr>
              <w:widowControl/>
              <w:shd w:val="clear"/>
              <w:wordWrap w:val="0"/>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1221" w:type="pct"/>
            <w:tcMar>
              <w:top w:w="0" w:type="dxa"/>
              <w:left w:w="105" w:type="dxa"/>
              <w:bottom w:w="0" w:type="dxa"/>
              <w:right w:w="105" w:type="dxa"/>
            </w:tcMar>
            <w:vAlign w:val="center"/>
          </w:tcPr>
          <w:p>
            <w:pPr>
              <w:widowControl/>
              <w:shd w:val="clear"/>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冰片糖</w:t>
            </w:r>
          </w:p>
        </w:tc>
        <w:tc>
          <w:tcPr>
            <w:tcW w:w="171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原材料及包装材料仓库、生产辅料库、成品库等</w:t>
            </w:r>
          </w:p>
        </w:tc>
        <w:tc>
          <w:tcPr>
            <w:tcW w:w="122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生产加工间（溶糖、蒸发、冷却成型等）、包装材料的准备间、包装间等</w:t>
            </w:r>
          </w:p>
        </w:tc>
        <w:tc>
          <w:tcPr>
            <w:tcW w:w="835" w:type="pct"/>
            <w:tcMar>
              <w:top w:w="0" w:type="dxa"/>
              <w:left w:w="105" w:type="dxa"/>
              <w:bottom w:w="0" w:type="dxa"/>
              <w:right w:w="105" w:type="dxa"/>
            </w:tcMar>
            <w:vAlign w:val="center"/>
          </w:tcPr>
          <w:p>
            <w:pPr>
              <w:widowControl/>
              <w:shd w:val="clear"/>
              <w:wordWrap w:val="0"/>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1221" w:type="pct"/>
            <w:tcMar>
              <w:top w:w="0" w:type="dxa"/>
              <w:left w:w="105" w:type="dxa"/>
              <w:bottom w:w="0" w:type="dxa"/>
              <w:right w:w="105" w:type="dxa"/>
            </w:tcMar>
            <w:vAlign w:val="center"/>
          </w:tcPr>
          <w:p>
            <w:pPr>
              <w:widowControl/>
              <w:shd w:val="clear"/>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红糖</w:t>
            </w:r>
          </w:p>
        </w:tc>
        <w:tc>
          <w:tcPr>
            <w:tcW w:w="171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eastAsia="仿宋_GB2312"/>
                <w:color w:val="000000"/>
                <w:sz w:val="24"/>
                <w:highlight w:val="none"/>
              </w:rPr>
              <w:t>原材料及包装材料仓库</w:t>
            </w:r>
            <w:r>
              <w:rPr>
                <w:rFonts w:hint="default" w:ascii="Times New Roman" w:hAnsi="Times New Roman" w:eastAsia="仿宋_GB2312" w:cs="Times New Roman"/>
                <w:color w:val="000000"/>
                <w:sz w:val="24"/>
                <w:highlight w:val="none"/>
              </w:rPr>
              <w:t>、生产辅料库、生产加工间（</w:t>
            </w:r>
            <w:r>
              <w:rPr>
                <w:rFonts w:hint="default" w:eastAsia="仿宋_GB2312" w:cs="Times New Roman"/>
                <w:color w:val="000000"/>
                <w:sz w:val="24"/>
                <w:highlight w:val="none"/>
                <w:lang w:val="en-US"/>
              </w:rPr>
              <w:t>提取糖汁</w:t>
            </w:r>
            <w:r>
              <w:rPr>
                <w:rFonts w:hint="default" w:ascii="Times New Roman" w:hAnsi="Times New Roman" w:eastAsia="仿宋_GB2312" w:cs="Times New Roman"/>
                <w:color w:val="000000"/>
                <w:sz w:val="24"/>
                <w:highlight w:val="none"/>
              </w:rPr>
              <w:t>、清净、浓缩）、成品库等</w:t>
            </w:r>
          </w:p>
        </w:tc>
        <w:tc>
          <w:tcPr>
            <w:tcW w:w="122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生产加工间（煮制、冷却成糖等）、包装材料的准备间、包装间等</w:t>
            </w:r>
          </w:p>
        </w:tc>
        <w:tc>
          <w:tcPr>
            <w:tcW w:w="835" w:type="pct"/>
            <w:tcMar>
              <w:top w:w="0" w:type="dxa"/>
              <w:left w:w="105" w:type="dxa"/>
              <w:bottom w:w="0" w:type="dxa"/>
              <w:right w:w="105" w:type="dxa"/>
            </w:tcMar>
            <w:vAlign w:val="center"/>
          </w:tcPr>
          <w:p>
            <w:pPr>
              <w:widowControl/>
              <w:shd w:val="clear"/>
              <w:wordWrap w:val="0"/>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1221" w:type="pct"/>
            <w:tcMar>
              <w:top w:w="0" w:type="dxa"/>
              <w:left w:w="105" w:type="dxa"/>
              <w:bottom w:w="0" w:type="dxa"/>
              <w:right w:w="105" w:type="dxa"/>
            </w:tcMar>
            <w:vAlign w:val="center"/>
          </w:tcPr>
          <w:p>
            <w:pPr>
              <w:widowControl/>
              <w:shd w:val="clear"/>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71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原材料及包装材料仓库、生产辅料库、生产加工间（密闭管道生产）、成品库等</w:t>
            </w:r>
          </w:p>
        </w:tc>
        <w:tc>
          <w:tcPr>
            <w:tcW w:w="122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生产加工间（间歇性非密闭设备生产）、包装间（如有）等</w:t>
            </w:r>
          </w:p>
        </w:tc>
        <w:tc>
          <w:tcPr>
            <w:tcW w:w="835" w:type="pct"/>
            <w:tcMar>
              <w:top w:w="0" w:type="dxa"/>
              <w:left w:w="105" w:type="dxa"/>
              <w:bottom w:w="0" w:type="dxa"/>
              <w:right w:w="105" w:type="dxa"/>
            </w:tcMar>
            <w:vAlign w:val="center"/>
          </w:tcPr>
          <w:p>
            <w:pPr>
              <w:widowControl/>
              <w:shd w:val="clear"/>
              <w:wordWrap w:val="0"/>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1221" w:type="pct"/>
            <w:tcMar>
              <w:top w:w="0" w:type="dxa"/>
              <w:left w:w="105" w:type="dxa"/>
              <w:bottom w:w="0" w:type="dxa"/>
              <w:right w:w="105" w:type="dxa"/>
            </w:tcMar>
            <w:vAlign w:val="center"/>
          </w:tcPr>
          <w:p>
            <w:pPr>
              <w:widowControl/>
              <w:shd w:val="clear"/>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其他糖</w:t>
            </w:r>
          </w:p>
        </w:tc>
        <w:tc>
          <w:tcPr>
            <w:tcW w:w="171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原材料及包装材料仓库、生产辅料库、生产加工间、成品库等</w:t>
            </w:r>
          </w:p>
        </w:tc>
        <w:tc>
          <w:tcPr>
            <w:tcW w:w="1226" w:type="pct"/>
            <w:tcMar>
              <w:top w:w="0" w:type="dxa"/>
              <w:left w:w="105" w:type="dxa"/>
              <w:bottom w:w="0" w:type="dxa"/>
              <w:right w:w="105" w:type="dxa"/>
            </w:tcMar>
            <w:vAlign w:val="center"/>
          </w:tcPr>
          <w:p>
            <w:pPr>
              <w:widowControl/>
              <w:shd w:val="clear"/>
              <w:wordWrap w:val="0"/>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包装材料的准备间、包装间等</w:t>
            </w:r>
          </w:p>
        </w:tc>
        <w:tc>
          <w:tcPr>
            <w:tcW w:w="835" w:type="pct"/>
            <w:tcMar>
              <w:top w:w="0" w:type="dxa"/>
              <w:left w:w="105" w:type="dxa"/>
              <w:bottom w:w="0" w:type="dxa"/>
              <w:right w:w="105" w:type="dxa"/>
            </w:tcMar>
            <w:vAlign w:val="center"/>
          </w:tcPr>
          <w:p>
            <w:pPr>
              <w:widowControl/>
              <w:shd w:val="clear"/>
              <w:wordWrap w:val="0"/>
              <w:spacing w:line="480" w:lineRule="atLeast"/>
              <w:jc w:val="center"/>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5000" w:type="pct"/>
            <w:gridSpan w:val="4"/>
            <w:tcMar>
              <w:top w:w="0" w:type="dxa"/>
              <w:left w:w="105" w:type="dxa"/>
              <w:bottom w:w="0" w:type="dxa"/>
              <w:right w:w="105" w:type="dxa"/>
            </w:tcMar>
            <w:vAlign w:val="center"/>
          </w:tcPr>
          <w:p>
            <w:pPr>
              <w:widowControl/>
              <w:shd w:val="clear"/>
              <w:spacing w:line="480" w:lineRule="atLeast"/>
              <w:jc w:val="left"/>
              <w:textAlignment w:val="baseline"/>
              <w:rPr>
                <w:rFonts w:hint="default" w:ascii="Times New Roman" w:hAnsi="Times New Roman" w:eastAsia="仿宋_GB2312" w:cs="Times New Roman"/>
                <w:color w:val="000000"/>
                <w:sz w:val="24"/>
                <w:highlight w:val="none"/>
              </w:rPr>
            </w:pPr>
            <w:bookmarkStart w:id="16" w:name="_Hlk219996049"/>
            <w:r>
              <w:rPr>
                <w:rFonts w:hint="default" w:ascii="Times New Roman" w:hAnsi="Times New Roman" w:eastAsia="仿宋_GB2312" w:cs="Times New Roman"/>
                <w:color w:val="000000"/>
                <w:sz w:val="24"/>
                <w:highlight w:val="none"/>
              </w:rPr>
              <w:t>注：</w:t>
            </w:r>
          </w:p>
          <w:p>
            <w:pPr>
              <w:widowControl/>
              <w:shd w:val="clear"/>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w:t>
            </w:r>
            <w:bookmarkStart w:id="17" w:name="OLE_LINK11"/>
            <w:r>
              <w:rPr>
                <w:rFonts w:hint="default" w:ascii="Times New Roman" w:hAnsi="Times New Roman" w:eastAsia="仿宋_GB2312" w:cs="Times New Roman"/>
                <w:color w:val="000000"/>
                <w:sz w:val="24"/>
                <w:highlight w:val="none"/>
              </w:rPr>
              <w:t>液体糖生产企业</w:t>
            </w:r>
            <w:bookmarkStart w:id="18" w:name="_Hlk169617149"/>
            <w:r>
              <w:rPr>
                <w:rFonts w:hint="default" w:ascii="Times New Roman" w:hAnsi="Times New Roman" w:eastAsia="仿宋_GB2312" w:cs="Times New Roman"/>
                <w:color w:val="000000"/>
                <w:sz w:val="24"/>
                <w:highlight w:val="none"/>
              </w:rPr>
              <w:t>如采用连续生产线或生产全过程均处于封闭空间并利用槽罐车灌装销售，可不单设包装间。</w:t>
            </w:r>
            <w:bookmarkEnd w:id="18"/>
          </w:p>
          <w:p>
            <w:pPr>
              <w:widowControl/>
              <w:shd w:val="clear"/>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2.分装的企业生产场所一般作业区包括原辅材料库</w:t>
            </w:r>
            <w:r>
              <w:rPr>
                <w:rFonts w:hint="eastAsia" w:eastAsia="仿宋_GB2312" w:cs="Times New Roman"/>
                <w:color w:val="000000"/>
                <w:sz w:val="24"/>
                <w:highlight w:val="none"/>
                <w:lang w:eastAsia="zh-CN"/>
              </w:rPr>
              <w:t>、</w:t>
            </w:r>
            <w:r>
              <w:rPr>
                <w:rFonts w:hint="default" w:ascii="Times New Roman" w:hAnsi="Times New Roman" w:eastAsia="仿宋_GB2312" w:cs="Times New Roman"/>
                <w:color w:val="000000"/>
                <w:sz w:val="24"/>
                <w:highlight w:val="none"/>
              </w:rPr>
              <w:t>包材库、成品库</w:t>
            </w:r>
            <w:r>
              <w:rPr>
                <w:rFonts w:hint="eastAsia" w:eastAsia="仿宋_GB2312" w:cs="Times New Roman"/>
                <w:color w:val="000000"/>
                <w:sz w:val="24"/>
                <w:highlight w:val="none"/>
                <w:lang w:eastAsia="zh-CN"/>
              </w:rPr>
              <w:t>，</w:t>
            </w:r>
            <w:r>
              <w:rPr>
                <w:rFonts w:hint="default" w:ascii="Times New Roman" w:hAnsi="Times New Roman" w:eastAsia="仿宋_GB2312" w:cs="Times New Roman"/>
                <w:color w:val="000000"/>
                <w:sz w:val="24"/>
                <w:highlight w:val="none"/>
              </w:rPr>
              <w:t>准清洁</w:t>
            </w:r>
            <w:r>
              <w:rPr>
                <w:rFonts w:hint="eastAsia" w:eastAsia="仿宋_GB2312" w:cs="Times New Roman"/>
                <w:color w:val="000000"/>
                <w:sz w:val="24"/>
                <w:highlight w:val="none"/>
                <w:lang w:eastAsia="zh-CN"/>
              </w:rPr>
              <w:t>作业</w:t>
            </w:r>
            <w:r>
              <w:rPr>
                <w:rFonts w:hint="default" w:ascii="Times New Roman" w:hAnsi="Times New Roman" w:eastAsia="仿宋_GB2312" w:cs="Times New Roman"/>
                <w:color w:val="000000"/>
                <w:sz w:val="24"/>
                <w:highlight w:val="none"/>
              </w:rPr>
              <w:t>区包括投料车间、脱包区、包装材料的准备间等，清洁作业区包括内包装车间等。</w:t>
            </w:r>
            <w:bookmarkEnd w:id="17"/>
          </w:p>
          <w:bookmarkEnd w:id="16"/>
          <w:p>
            <w:pPr>
              <w:widowControl/>
              <w:shd w:val="clear"/>
              <w:spacing w:line="480" w:lineRule="atLeast"/>
              <w:jc w:val="left"/>
              <w:textAlignment w:val="baseline"/>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3.企业可根据产品特点及工艺要求设置并优化，但不得低于本表要求。</w:t>
            </w:r>
          </w:p>
        </w:tc>
      </w:tr>
    </w:tbl>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第十一条</w:t>
      </w:r>
      <w:r>
        <w:rPr>
          <w:rFonts w:hint="default" w:ascii="Times New Roman" w:hAnsi="Times New Roman" w:cs="Times New Roman"/>
          <w:color w:val="000000"/>
          <w:sz w:val="32"/>
          <w:highlight w:val="none"/>
        </w:rPr>
        <w:t xml:space="preserve"> </w:t>
      </w:r>
      <w:r>
        <w:rPr>
          <w:rFonts w:hint="default" w:ascii="Times New Roman" w:hAnsi="Times New Roman" w:eastAsia="仿宋_GB2312" w:cs="Times New Roman"/>
          <w:color w:val="000000"/>
          <w:sz w:val="32"/>
          <w:highlight w:val="none"/>
        </w:rPr>
        <w:t>生产车间应与易产生粉尘的场所（如锅炉房）间隔适当距离，并设在主导风向的上风向位置，难以避开时应采取必要的防范措施。</w:t>
      </w:r>
    </w:p>
    <w:p>
      <w:pPr>
        <w:pStyle w:val="42"/>
        <w:shd w:val="clear"/>
        <w:spacing w:line="594" w:lineRule="exact"/>
        <w:ind w:firstLine="640"/>
        <w:rPr>
          <w:rFonts w:hint="default" w:ascii="Times New Roman" w:hAnsi="Times New Roman" w:eastAsia="仿宋" w:cs="Times New Roman"/>
          <w:color w:val="000000"/>
          <w:sz w:val="32"/>
          <w:szCs w:val="24"/>
          <w:highlight w:val="none"/>
        </w:rPr>
      </w:pPr>
      <w:bookmarkStart w:id="19" w:name="OLE_LINK16"/>
      <w:r>
        <w:rPr>
          <w:rFonts w:hint="default" w:ascii="Times New Roman" w:hAnsi="Times New Roman" w:eastAsia="黑体" w:cs="Times New Roman"/>
          <w:color w:val="000000"/>
          <w:sz w:val="32"/>
          <w:szCs w:val="24"/>
          <w:highlight w:val="none"/>
        </w:rPr>
        <w:t>第十二条</w:t>
      </w:r>
      <w:r>
        <w:rPr>
          <w:rFonts w:hint="default" w:ascii="Times New Roman" w:hAnsi="Times New Roman" w:cs="Times New Roman"/>
          <w:color w:val="000000"/>
          <w:sz w:val="32"/>
          <w:szCs w:val="24"/>
          <w:highlight w:val="none"/>
        </w:rPr>
        <w:t xml:space="preserve"> </w:t>
      </w:r>
      <w:r>
        <w:rPr>
          <w:rFonts w:hint="default" w:ascii="Times New Roman" w:hAnsi="Times New Roman" w:eastAsia="仿宋_GB2312" w:cs="Times New Roman"/>
          <w:color w:val="000000"/>
          <w:sz w:val="32"/>
          <w:szCs w:val="24"/>
          <w:highlight w:val="none"/>
        </w:rPr>
        <w:t>生产车间地面、墙壁和地面交界处应易于清洗、消毒，地面结构应有利于排污。</w:t>
      </w:r>
    </w:p>
    <w:bookmarkEnd w:id="19"/>
    <w:p>
      <w:pPr>
        <w:pStyle w:val="10"/>
        <w:shd w:val="clear"/>
        <w:spacing w:line="594" w:lineRule="exact"/>
        <w:ind w:firstLine="640" w:firstLineChars="200"/>
        <w:rPr>
          <w:rFonts w:hint="default" w:ascii="Times New Roman" w:hAnsi="Times New Roman" w:cs="Times New Roman"/>
          <w:color w:val="000000"/>
          <w:highlight w:val="none"/>
        </w:rPr>
      </w:pPr>
      <w:bookmarkStart w:id="20" w:name="OLE_LINK3"/>
      <w:r>
        <w:rPr>
          <w:rFonts w:hint="default" w:ascii="Times New Roman" w:hAnsi="Times New Roman" w:eastAsia="黑体" w:cs="Times New Roman"/>
          <w:color w:val="000000"/>
          <w:highlight w:val="none"/>
        </w:rPr>
        <w:t>第十三条</w:t>
      </w:r>
      <w:r>
        <w:rPr>
          <w:rFonts w:hint="default" w:ascii="Times New Roman" w:hAnsi="Times New Roman" w:eastAsia="宋体" w:cs="Times New Roman"/>
          <w:color w:val="000000"/>
          <w:highlight w:val="none"/>
        </w:rPr>
        <w:t xml:space="preserve"> </w:t>
      </w:r>
      <w:r>
        <w:rPr>
          <w:rFonts w:hint="default" w:ascii="Times New Roman" w:hAnsi="Times New Roman" w:cs="Times New Roman"/>
          <w:color w:val="000000"/>
          <w:highlight w:val="none"/>
        </w:rPr>
        <w:t>采用槽罐车进行灌装销售液态食糖，灌装作业区域应设于室内或棚内，禁止露天灌装。槽罐车灌装接口应配备防尘、防虫、防雨淋的防护设施。灌装前应对接口进行清洗消毒。鼓励企业采用密闭管道灌装方式，减少灌装过程中的污染风险。运输容器的使用和管理应满足《液态食品散装运输技术规范》（GB 46518）和《重点液态食品道路散装运输联单管理工作规范》的要求。</w:t>
      </w:r>
    </w:p>
    <w:p>
      <w:pPr>
        <w:pStyle w:val="10"/>
        <w:shd w:val="clear"/>
        <w:spacing w:line="594" w:lineRule="exact"/>
        <w:ind w:firstLine="640" w:firstLineChars="200"/>
        <w:rPr>
          <w:rFonts w:hint="default" w:ascii="Times New Roman" w:hAnsi="Times New Roman" w:cs="Times New Roman"/>
          <w:color w:val="000000"/>
          <w:highlight w:val="none"/>
        </w:rPr>
      </w:pPr>
    </w:p>
    <w:bookmarkEnd w:id="20"/>
    <w:p>
      <w:pPr>
        <w:pStyle w:val="5"/>
        <w:shd w:val="clear"/>
        <w:spacing w:before="0" w:after="0" w:line="594" w:lineRule="exact"/>
        <w:jc w:val="center"/>
        <w:rPr>
          <w:rFonts w:hint="default" w:ascii="Times New Roman" w:hAnsi="Times New Roman" w:cs="Times New Roman"/>
          <w:b w:val="0"/>
          <w:bCs w:val="0"/>
          <w:color w:val="000000"/>
          <w:szCs w:val="24"/>
          <w:highlight w:val="none"/>
        </w:rPr>
      </w:pPr>
      <w:r>
        <w:rPr>
          <w:rFonts w:hint="default" w:ascii="Times New Roman" w:hAnsi="Times New Roman" w:cs="Times New Roman"/>
          <w:b w:val="0"/>
          <w:bCs w:val="0"/>
          <w:color w:val="000000"/>
          <w:szCs w:val="24"/>
          <w:highlight w:val="none"/>
        </w:rPr>
        <w:t>第三章 设备设施</w:t>
      </w:r>
    </w:p>
    <w:p>
      <w:pPr>
        <w:pStyle w:val="42"/>
        <w:shd w:val="clear"/>
        <w:spacing w:line="594" w:lineRule="exact"/>
        <w:ind w:firstLine="640"/>
        <w:rPr>
          <w:rFonts w:hint="default" w:ascii="Times New Roman" w:hAnsi="Times New Roman" w:eastAsia="仿宋_GB2312" w:cs="Times New Roman"/>
          <w:color w:val="000000"/>
          <w:sz w:val="32"/>
          <w:szCs w:val="24"/>
          <w:highlight w:val="none"/>
        </w:rPr>
      </w:pPr>
      <w:bookmarkStart w:id="21" w:name="_Hlk219996103"/>
      <w:r>
        <w:rPr>
          <w:rFonts w:hint="default" w:ascii="Times New Roman" w:hAnsi="Times New Roman" w:eastAsia="黑体" w:cs="Times New Roman"/>
          <w:color w:val="000000"/>
          <w:sz w:val="32"/>
          <w:szCs w:val="24"/>
          <w:highlight w:val="none"/>
        </w:rPr>
        <w:t>第十四条</w:t>
      </w:r>
      <w:r>
        <w:rPr>
          <w:rFonts w:hint="default" w:ascii="Times New Roman" w:hAnsi="Times New Roman" w:cs="Times New Roman"/>
          <w:color w:val="000000"/>
          <w:sz w:val="32"/>
          <w:szCs w:val="32"/>
          <w:highlight w:val="none"/>
        </w:rPr>
        <w:t xml:space="preserve"> </w:t>
      </w:r>
      <w:r>
        <w:rPr>
          <w:rFonts w:hint="default" w:ascii="Times New Roman" w:hAnsi="Times New Roman" w:eastAsia="仿宋_GB2312" w:cs="Times New Roman"/>
          <w:color w:val="000000"/>
          <w:sz w:val="32"/>
          <w:szCs w:val="24"/>
          <w:highlight w:val="none"/>
        </w:rPr>
        <w:t>企业应具有与生产产品品种、数量相适应的生产设备设施，性能和精度应满足生产要求，便于操作、清洁、维护。分装企业应具备与其分装产品相适应的分装设备。食糖常规生产设备设施见表3。</w:t>
      </w:r>
    </w:p>
    <w:bookmarkEnd w:id="21"/>
    <w:p>
      <w:pPr>
        <w:pStyle w:val="42"/>
        <w:shd w:val="clear"/>
        <w:spacing w:line="594" w:lineRule="exact"/>
        <w:ind w:left="0" w:leftChars="0" w:firstLine="0" w:firstLineChars="0"/>
        <w:jc w:val="center"/>
        <w:rPr>
          <w:rFonts w:hint="default" w:ascii="Times New Roman" w:hAnsi="Times New Roman" w:eastAsia="楷体_GB2312" w:cs="Times New Roman"/>
          <w:color w:val="000000"/>
          <w:sz w:val="32"/>
          <w:szCs w:val="24"/>
          <w:highlight w:val="none"/>
        </w:rPr>
      </w:pPr>
      <w:r>
        <w:rPr>
          <w:rFonts w:hint="default" w:ascii="Times New Roman" w:hAnsi="Times New Roman" w:eastAsia="楷体_GB2312" w:cs="Times New Roman"/>
          <w:color w:val="000000"/>
          <w:sz w:val="32"/>
          <w:szCs w:val="24"/>
          <w:highlight w:val="none"/>
        </w:rPr>
        <w:t>表3 常规生产设备设施</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0"/>
        <w:gridCol w:w="2664"/>
        <w:gridCol w:w="4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shd w:val="clear" w:color="auto" w:fill="auto"/>
            <w:vAlign w:val="center"/>
          </w:tcPr>
          <w:p>
            <w:pPr>
              <w:pStyle w:val="42"/>
              <w:shd w:val="clear"/>
              <w:spacing w:line="360" w:lineRule="auto"/>
              <w:ind w:firstLine="0" w:firstLineChars="0"/>
              <w:jc w:val="center"/>
              <w:rPr>
                <w:rFonts w:hint="default" w:ascii="Times New Roman" w:hAnsi="Times New Roman" w:eastAsia="黑体" w:cs="Times New Roman"/>
                <w:color w:val="000000"/>
                <w:sz w:val="24"/>
                <w:szCs w:val="24"/>
                <w:highlight w:val="none"/>
              </w:rPr>
            </w:pPr>
            <w:r>
              <w:rPr>
                <w:rFonts w:hint="default" w:ascii="Times New Roman" w:hAnsi="Times New Roman" w:eastAsia="黑体" w:cs="Times New Roman"/>
                <w:color w:val="000000"/>
                <w:sz w:val="24"/>
                <w:szCs w:val="24"/>
                <w:highlight w:val="none"/>
              </w:rPr>
              <w:t>产品类别名称</w:t>
            </w:r>
          </w:p>
        </w:tc>
        <w:tc>
          <w:tcPr>
            <w:tcW w:w="1452" w:type="pct"/>
            <w:shd w:val="clear" w:color="auto" w:fill="auto"/>
            <w:vAlign w:val="center"/>
          </w:tcPr>
          <w:p>
            <w:pPr>
              <w:pStyle w:val="42"/>
              <w:shd w:val="clear"/>
              <w:spacing w:line="360" w:lineRule="auto"/>
              <w:ind w:firstLine="0" w:firstLineChars="0"/>
              <w:jc w:val="center"/>
              <w:rPr>
                <w:rFonts w:hint="default" w:ascii="Times New Roman" w:hAnsi="Times New Roman" w:eastAsia="黑体" w:cs="Times New Roman"/>
                <w:color w:val="000000"/>
                <w:sz w:val="24"/>
                <w:szCs w:val="24"/>
                <w:highlight w:val="none"/>
              </w:rPr>
            </w:pPr>
            <w:r>
              <w:rPr>
                <w:rFonts w:hint="default" w:ascii="Times New Roman" w:hAnsi="Times New Roman" w:eastAsia="黑体" w:cs="Times New Roman"/>
                <w:color w:val="000000"/>
                <w:sz w:val="24"/>
                <w:szCs w:val="24"/>
                <w:highlight w:val="none"/>
              </w:rPr>
              <w:t>设备设施类别</w:t>
            </w:r>
          </w:p>
        </w:tc>
        <w:tc>
          <w:tcPr>
            <w:tcW w:w="2439" w:type="pct"/>
            <w:shd w:val="clear" w:color="auto" w:fill="auto"/>
            <w:vAlign w:val="center"/>
          </w:tcPr>
          <w:p>
            <w:pPr>
              <w:pStyle w:val="42"/>
              <w:shd w:val="clear"/>
              <w:spacing w:line="360" w:lineRule="auto"/>
              <w:ind w:firstLine="0" w:firstLineChars="0"/>
              <w:jc w:val="center"/>
              <w:rPr>
                <w:rFonts w:hint="default" w:ascii="Times New Roman" w:hAnsi="Times New Roman" w:eastAsia="黑体" w:cs="Times New Roman"/>
                <w:color w:val="000000"/>
                <w:sz w:val="24"/>
                <w:szCs w:val="24"/>
                <w:highlight w:val="none"/>
              </w:rPr>
            </w:pPr>
            <w:r>
              <w:rPr>
                <w:rFonts w:hint="default" w:ascii="Times New Roman" w:hAnsi="Times New Roman" w:eastAsia="黑体" w:cs="Times New Roman"/>
                <w:color w:val="000000"/>
                <w:sz w:val="24"/>
                <w:szCs w:val="24"/>
                <w:highlight w:val="none"/>
              </w:rPr>
              <w:t>设备设施名称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restart"/>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白砂糖、绵白糖、赤砂糖</w:t>
            </w: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提取糖汁（溶糖）设备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1</w:t>
            </w:r>
            <w:r>
              <w:rPr>
                <w:rFonts w:hint="eastAsia" w:ascii="Times New Roman" w:hAnsi="Times New Roman" w:eastAsia="仿宋_GB2312" w:cs="Times New Roman"/>
                <w:color w:val="000000"/>
                <w:sz w:val="24"/>
                <w:szCs w:val="24"/>
                <w:highlight w:val="none"/>
                <w:lang w:val="en-US" w:eastAsia="zh-CN"/>
              </w:rPr>
              <w:t>.</w:t>
            </w:r>
            <w:r>
              <w:rPr>
                <w:rFonts w:hint="default" w:ascii="Times New Roman" w:hAnsi="Times New Roman" w:eastAsia="仿宋_GB2312" w:cs="Times New Roman"/>
                <w:color w:val="000000"/>
                <w:sz w:val="24"/>
                <w:szCs w:val="24"/>
                <w:highlight w:val="none"/>
              </w:rPr>
              <w:t>撕裂机、压榨机等——以甘蔗为原料</w:t>
            </w:r>
          </w:p>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2</w:t>
            </w:r>
            <w:r>
              <w:rPr>
                <w:rFonts w:hint="eastAsia" w:ascii="Times New Roman" w:hAnsi="Times New Roman" w:eastAsia="仿宋_GB2312" w:cs="Times New Roman"/>
                <w:color w:val="000000"/>
                <w:sz w:val="24"/>
                <w:szCs w:val="24"/>
                <w:highlight w:val="none"/>
                <w:lang w:val="en-US" w:eastAsia="zh-CN"/>
              </w:rPr>
              <w:t>.</w:t>
            </w:r>
            <w:r>
              <w:rPr>
                <w:rFonts w:hint="default" w:ascii="Times New Roman" w:hAnsi="Times New Roman" w:eastAsia="仿宋_GB2312" w:cs="Times New Roman"/>
                <w:color w:val="000000"/>
                <w:sz w:val="24"/>
                <w:szCs w:val="24"/>
                <w:highlight w:val="none"/>
              </w:rPr>
              <w:t>切丝机、溶糖机（溶糖罐、溶糖锅）等——以甜菜为原料</w:t>
            </w:r>
          </w:p>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3</w:t>
            </w:r>
            <w:bookmarkStart w:id="22" w:name="OLE_LINK25"/>
            <w:r>
              <w:rPr>
                <w:rFonts w:hint="eastAsia" w:ascii="Times New Roman" w:hAnsi="Times New Roman" w:eastAsia="仿宋_GB2312" w:cs="Times New Roman"/>
                <w:color w:val="000000"/>
                <w:sz w:val="24"/>
                <w:szCs w:val="24"/>
                <w:highlight w:val="none"/>
                <w:lang w:val="en-US" w:eastAsia="zh-CN"/>
              </w:rPr>
              <w:t>.</w:t>
            </w:r>
            <w:r>
              <w:rPr>
                <w:rFonts w:hint="default" w:ascii="Times New Roman" w:hAnsi="Times New Roman" w:eastAsia="仿宋_GB2312" w:cs="Times New Roman"/>
                <w:color w:val="000000"/>
                <w:sz w:val="24"/>
                <w:szCs w:val="24"/>
                <w:highlight w:val="none"/>
              </w:rPr>
              <w:t>溶糖机（溶糖罐、溶糖锅）</w:t>
            </w:r>
            <w:bookmarkEnd w:id="22"/>
            <w:r>
              <w:rPr>
                <w:rFonts w:hint="default" w:ascii="Times New Roman" w:hAnsi="Times New Roman" w:eastAsia="仿宋_GB2312" w:cs="Times New Roman"/>
                <w:color w:val="000000"/>
                <w:sz w:val="24"/>
                <w:szCs w:val="24"/>
                <w:highlight w:val="none"/>
              </w:rPr>
              <w:t>等——以原糖为原料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糖汁清净设备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石灰窑（碳酸法清净技术）、石灰消和器、硫磺炉、磷酸稀释箱、硫熏中和器（亚硫酸法清净技术）、饱充罐（碳酸法清净技术）、上浮器（磷浮清净技术）、沉降器、过滤机、压滤机（真空吸滤机）等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糖汁加热蒸发设备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加热器、蒸发罐等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蔗糖结晶及助晶设备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bookmarkStart w:id="23" w:name="OLE_LINK1"/>
            <w:r>
              <w:rPr>
                <w:rFonts w:hint="default" w:ascii="Times New Roman" w:hAnsi="Times New Roman" w:eastAsia="仿宋_GB2312" w:cs="Times New Roman"/>
                <w:color w:val="000000"/>
                <w:sz w:val="24"/>
                <w:szCs w:val="24"/>
                <w:highlight w:val="none"/>
              </w:rPr>
              <w:t>助晶箱、助晶机、冷凝器、结晶罐等</w:t>
            </w:r>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成糖分蜜设备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分蜜机、连续或间歇分离机等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干燥设备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干燥机、筛选设备、除尘设备等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bookmarkStart w:id="24" w:name="_Hlk224822474"/>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包装设备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计量包装机等</w:t>
            </w:r>
          </w:p>
        </w:tc>
      </w:tr>
      <w:bookmark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restart"/>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冰糖</w:t>
            </w: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溶糖设备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溶糖机（溶糖罐、溶糖锅）等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糖汁加热蒸发设备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浓缩罐（蒸发罐）等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蔗糖结晶及分离设备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摇摆式结晶罐（结晶盆、结晶箱）、离心机等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干燥设备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隧道式连续烘干机（烘干间）等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包装设备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计量包装机等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restart"/>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方糖</w:t>
            </w: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压制成型设备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冲压机等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烘干设备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隧道式连续烘干机等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包装设备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排列包装机等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restart"/>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冰片糖</w:t>
            </w: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调料设备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调料机等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煮糖设备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熬糖机等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冷却成型设备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冷却成型机或床等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包装设备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计量包装机等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restart"/>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红糖</w:t>
            </w: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提取糖汁设备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压榨机等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糖汁清净设备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沉降器、压滤机等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糖汁加热蒸发设备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蒸发罐、连续煮糖机等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冷却成型设备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多层冷却成型机、振动输送机等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包装设备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计量包装机等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restart"/>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液体糖</w:t>
            </w: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提取糖汁设备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压榨机等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糖汁清净设备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沉降器、压滤机、糖浆清净设备（除色、除盐等功能）等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糖汁加热蒸发设备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蒸发罐、蒸发器等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溶糖设备（固体食糖投料生产）</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溶糖罐、过滤机等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糖浆杀菌或除菌设备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杀菌机或除菌过滤器等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包装设备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计量包装机等（根据散装槽车、瓶装、桶装等包装形式选择适配设备设施）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7" w:type="pct"/>
            <w:vMerge w:val="restart"/>
            <w:shd w:val="clear" w:color="auto" w:fill="auto"/>
            <w:vAlign w:val="center"/>
          </w:tcPr>
          <w:p>
            <w:pPr>
              <w:pStyle w:val="42"/>
              <w:shd w:val="clear"/>
              <w:spacing w:line="360" w:lineRule="auto"/>
              <w:ind w:firstLine="0" w:firstLineChars="0"/>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其他糖</w:t>
            </w: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原料加工设备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溶糖机（溶糖罐、溶糖锅）、浓缩罐等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成糖设备</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冷却成型机等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pct"/>
            <w:vMerge w:val="continue"/>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p>
        </w:tc>
        <w:tc>
          <w:tcPr>
            <w:tcW w:w="1452" w:type="pct"/>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包装设备等</w:t>
            </w:r>
          </w:p>
        </w:tc>
        <w:tc>
          <w:tcPr>
            <w:tcW w:w="2439" w:type="pct"/>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计量包装机等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shd w:val="clear" w:color="auto" w:fill="auto"/>
            <w:vAlign w:val="center"/>
          </w:tcPr>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注：</w:t>
            </w:r>
          </w:p>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1.其他糖根据生产工艺和最后成品需求配备生产设备。</w:t>
            </w:r>
          </w:p>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bookmarkStart w:id="25" w:name="_Hlk219996121"/>
            <w:r>
              <w:rPr>
                <w:rFonts w:hint="default" w:ascii="Times New Roman" w:hAnsi="Times New Roman" w:eastAsia="仿宋_GB2312" w:cs="Times New Roman"/>
                <w:color w:val="000000"/>
                <w:sz w:val="24"/>
                <w:szCs w:val="24"/>
                <w:highlight w:val="none"/>
              </w:rPr>
              <w:t>2.分装常规生产设备设施包括投料设备、计量设备、包装设备等。</w:t>
            </w:r>
          </w:p>
          <w:bookmarkEnd w:id="25"/>
          <w:p>
            <w:pPr>
              <w:pStyle w:val="42"/>
              <w:shd w:val="clear"/>
              <w:spacing w:line="360" w:lineRule="auto"/>
              <w:ind w:firstLine="0" w:firstLineChars="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3.本表所列设备设施为常规设备设施，企业可根据实际生产情况优化调整。</w:t>
            </w:r>
          </w:p>
        </w:tc>
      </w:tr>
    </w:tbl>
    <w:p>
      <w:pPr>
        <w:pStyle w:val="42"/>
        <w:shd w:val="clear"/>
        <w:spacing w:line="594" w:lineRule="exact"/>
        <w:ind w:firstLine="640"/>
        <w:rPr>
          <w:rFonts w:hint="default" w:ascii="Times New Roman" w:hAnsi="Times New Roman" w:eastAsia="仿宋_GB2312" w:cs="Times New Roman"/>
          <w:color w:val="000000"/>
          <w:sz w:val="32"/>
          <w:szCs w:val="24"/>
          <w:highlight w:val="none"/>
        </w:rPr>
      </w:pPr>
      <w:r>
        <w:rPr>
          <w:rFonts w:hint="default" w:ascii="Times New Roman" w:hAnsi="Times New Roman" w:eastAsia="黑体" w:cs="Times New Roman"/>
          <w:color w:val="000000"/>
          <w:sz w:val="32"/>
          <w:szCs w:val="24"/>
          <w:highlight w:val="none"/>
        </w:rPr>
        <w:t>第十五条</w:t>
      </w:r>
      <w:r>
        <w:rPr>
          <w:rFonts w:hint="default" w:ascii="Times New Roman" w:hAnsi="Times New Roman" w:cs="Times New Roman"/>
          <w:color w:val="000000"/>
          <w:sz w:val="32"/>
          <w:szCs w:val="24"/>
          <w:highlight w:val="none"/>
        </w:rPr>
        <w:t xml:space="preserve"> </w:t>
      </w:r>
      <w:bookmarkStart w:id="26" w:name="_Hlk210988646"/>
      <w:r>
        <w:rPr>
          <w:rFonts w:hint="default" w:ascii="Times New Roman" w:hAnsi="Times New Roman" w:eastAsia="仿宋_GB2312" w:cs="Times New Roman"/>
          <w:color w:val="000000"/>
          <w:sz w:val="32"/>
          <w:szCs w:val="24"/>
          <w:highlight w:val="none"/>
        </w:rPr>
        <w:t>生产设备的选型、安装及验收应符合相关要求，生产设备的运行使用应安全可靠、便于操作、维修和保养且避免或减少污染。</w:t>
      </w:r>
    </w:p>
    <w:bookmarkEnd w:id="26"/>
    <w:p>
      <w:pPr>
        <w:pStyle w:val="42"/>
        <w:shd w:val="clear"/>
        <w:spacing w:line="594" w:lineRule="exact"/>
        <w:ind w:firstLine="640"/>
        <w:rPr>
          <w:rFonts w:hint="default" w:ascii="Times New Roman" w:hAnsi="Times New Roman" w:eastAsia="仿宋_GB2312" w:cs="Times New Roman"/>
          <w:color w:val="000000"/>
          <w:sz w:val="32"/>
          <w:szCs w:val="24"/>
          <w:highlight w:val="none"/>
        </w:rPr>
      </w:pPr>
      <w:r>
        <w:rPr>
          <w:rFonts w:hint="default" w:ascii="Times New Roman" w:hAnsi="Times New Roman" w:eastAsia="黑体" w:cs="Times New Roman"/>
          <w:color w:val="000000"/>
          <w:sz w:val="32"/>
          <w:szCs w:val="24"/>
          <w:highlight w:val="none"/>
        </w:rPr>
        <w:t>第十六条</w:t>
      </w:r>
      <w:r>
        <w:rPr>
          <w:rFonts w:hint="default" w:ascii="Times New Roman" w:hAnsi="Times New Roman" w:cs="Times New Roman"/>
          <w:color w:val="000000"/>
          <w:sz w:val="32"/>
          <w:szCs w:val="24"/>
          <w:highlight w:val="none"/>
        </w:rPr>
        <w:t xml:space="preserve"> </w:t>
      </w:r>
      <w:r>
        <w:rPr>
          <w:rFonts w:hint="default" w:ascii="Times New Roman" w:hAnsi="Times New Roman" w:eastAsia="仿宋_GB2312" w:cs="Times New Roman"/>
          <w:color w:val="000000"/>
          <w:sz w:val="32"/>
          <w:szCs w:val="24"/>
          <w:highlight w:val="none"/>
        </w:rPr>
        <w:t>生产车间内设备与设备之间</w:t>
      </w:r>
      <w:r>
        <w:rPr>
          <w:rFonts w:hint="eastAsia" w:ascii="Times New Roman" w:hAnsi="Times New Roman" w:eastAsia="仿宋_GB2312" w:cs="Times New Roman"/>
          <w:color w:val="000000"/>
          <w:sz w:val="32"/>
          <w:szCs w:val="24"/>
          <w:highlight w:val="none"/>
          <w:lang w:eastAsia="zh-CN"/>
        </w:rPr>
        <w:t>、</w:t>
      </w:r>
      <w:r>
        <w:rPr>
          <w:rFonts w:hint="default" w:ascii="Times New Roman" w:hAnsi="Times New Roman" w:eastAsia="仿宋_GB2312" w:cs="Times New Roman"/>
          <w:color w:val="000000"/>
          <w:sz w:val="32"/>
          <w:szCs w:val="24"/>
          <w:highlight w:val="none"/>
        </w:rPr>
        <w:t>设备与墙壁之间</w:t>
      </w:r>
      <w:r>
        <w:rPr>
          <w:rFonts w:hint="eastAsia" w:ascii="Times New Roman" w:hAnsi="Times New Roman" w:eastAsia="仿宋_GB2312" w:cs="Times New Roman"/>
          <w:color w:val="000000"/>
          <w:sz w:val="32"/>
          <w:szCs w:val="24"/>
          <w:highlight w:val="none"/>
          <w:lang w:eastAsia="zh-CN"/>
        </w:rPr>
        <w:t>应</w:t>
      </w:r>
      <w:r>
        <w:rPr>
          <w:rFonts w:hint="default" w:ascii="Times New Roman" w:hAnsi="Times New Roman" w:eastAsia="仿宋_GB2312" w:cs="Times New Roman"/>
          <w:color w:val="000000"/>
          <w:sz w:val="32"/>
          <w:szCs w:val="24"/>
          <w:highlight w:val="none"/>
        </w:rPr>
        <w:t>留有足够的通道或工作空间，以便于操作、清洗和维护。</w:t>
      </w:r>
    </w:p>
    <w:p>
      <w:pPr>
        <w:pStyle w:val="42"/>
        <w:shd w:val="clear"/>
        <w:spacing w:line="594" w:lineRule="exact"/>
        <w:ind w:firstLine="640"/>
        <w:rPr>
          <w:rFonts w:hint="default" w:ascii="Times New Roman" w:hAnsi="Times New Roman" w:eastAsia="仿宋" w:cs="Times New Roman"/>
          <w:color w:val="000000"/>
          <w:sz w:val="32"/>
          <w:szCs w:val="24"/>
          <w:highlight w:val="none"/>
        </w:rPr>
      </w:pPr>
      <w:r>
        <w:rPr>
          <w:rFonts w:hint="default" w:ascii="Times New Roman" w:hAnsi="Times New Roman" w:eastAsia="黑体" w:cs="Times New Roman"/>
          <w:color w:val="000000"/>
          <w:sz w:val="32"/>
          <w:szCs w:val="24"/>
          <w:highlight w:val="none"/>
        </w:rPr>
        <w:t>第十七条</w:t>
      </w:r>
      <w:r>
        <w:rPr>
          <w:rFonts w:hint="default" w:ascii="Times New Roman" w:hAnsi="Times New Roman" w:eastAsia="仿宋" w:cs="Times New Roman"/>
          <w:color w:val="000000"/>
          <w:sz w:val="32"/>
          <w:szCs w:val="24"/>
          <w:highlight w:val="none"/>
        </w:rPr>
        <w:t xml:space="preserve"> </w:t>
      </w:r>
      <w:r>
        <w:rPr>
          <w:rFonts w:hint="default" w:ascii="Times New Roman" w:hAnsi="Times New Roman" w:eastAsia="仿宋_GB2312" w:cs="Times New Roman"/>
          <w:color w:val="000000"/>
          <w:sz w:val="32"/>
          <w:szCs w:val="24"/>
          <w:highlight w:val="none"/>
        </w:rPr>
        <w:t>用于生产和检验的计量器具、检验设备应按规定进行检定或校准。企业应建立检定、校准计划，并保留相关记录。检验设备在使用前和使用后应及时进行校准或验证。</w:t>
      </w:r>
    </w:p>
    <w:p>
      <w:pPr>
        <w:pStyle w:val="42"/>
        <w:shd w:val="clear"/>
        <w:spacing w:line="594" w:lineRule="exact"/>
        <w:ind w:firstLine="640"/>
        <w:rPr>
          <w:rFonts w:hint="default" w:ascii="Times New Roman" w:hAnsi="Times New Roman" w:eastAsia="仿宋" w:cs="Times New Roman"/>
          <w:color w:val="000000"/>
          <w:sz w:val="32"/>
          <w:szCs w:val="24"/>
          <w:highlight w:val="none"/>
        </w:rPr>
      </w:pPr>
      <w:r>
        <w:rPr>
          <w:rFonts w:hint="default" w:ascii="Times New Roman" w:hAnsi="Times New Roman" w:eastAsia="黑体" w:cs="Times New Roman"/>
          <w:color w:val="000000"/>
          <w:sz w:val="32"/>
          <w:szCs w:val="24"/>
          <w:highlight w:val="none"/>
        </w:rPr>
        <w:t>第十八条</w:t>
      </w:r>
      <w:r>
        <w:rPr>
          <w:rFonts w:hint="default" w:ascii="Times New Roman" w:hAnsi="Times New Roman" w:cs="Times New Roman"/>
          <w:color w:val="000000"/>
          <w:sz w:val="32"/>
          <w:szCs w:val="32"/>
          <w:highlight w:val="none"/>
        </w:rPr>
        <w:t xml:space="preserve"> </w:t>
      </w:r>
      <w:r>
        <w:rPr>
          <w:rFonts w:hint="default" w:ascii="Times New Roman" w:hAnsi="Times New Roman" w:eastAsia="仿宋_GB2312" w:cs="Times New Roman"/>
          <w:color w:val="000000"/>
          <w:sz w:val="32"/>
          <w:szCs w:val="24"/>
          <w:highlight w:val="none"/>
        </w:rPr>
        <w:t>车间内直接用于生产的设备、操作台、传送带、管路和工器具等，应使用无毒、无味、耐腐蚀、非吸收性、不易脱落、可重复清洗和易于消毒的材料制作。</w:t>
      </w:r>
    </w:p>
    <w:p>
      <w:pPr>
        <w:pStyle w:val="42"/>
        <w:shd w:val="clear"/>
        <w:spacing w:line="594" w:lineRule="exact"/>
        <w:ind w:firstLine="640"/>
        <w:rPr>
          <w:rFonts w:hint="default" w:ascii="Times New Roman" w:hAnsi="Times New Roman" w:eastAsia="仿宋_GB2312" w:cs="Times New Roman"/>
          <w:color w:val="000000"/>
          <w:sz w:val="32"/>
          <w:szCs w:val="24"/>
          <w:highlight w:val="none"/>
        </w:rPr>
      </w:pPr>
      <w:r>
        <w:rPr>
          <w:rFonts w:hint="default" w:ascii="Times New Roman" w:hAnsi="Times New Roman" w:eastAsia="黑体" w:cs="Times New Roman"/>
          <w:color w:val="000000"/>
          <w:sz w:val="32"/>
          <w:szCs w:val="24"/>
          <w:highlight w:val="none"/>
        </w:rPr>
        <w:t>第十九条</w:t>
      </w:r>
      <w:r>
        <w:rPr>
          <w:rFonts w:hint="default" w:ascii="Times New Roman" w:hAnsi="Times New Roman" w:cs="Times New Roman"/>
          <w:color w:val="000000"/>
          <w:sz w:val="32"/>
          <w:szCs w:val="24"/>
          <w:highlight w:val="none"/>
        </w:rPr>
        <w:t xml:space="preserve"> </w:t>
      </w:r>
      <w:bookmarkStart w:id="27" w:name="_Hlk210988788"/>
      <w:r>
        <w:rPr>
          <w:rFonts w:hint="default" w:ascii="Times New Roman" w:hAnsi="Times New Roman" w:eastAsia="仿宋_GB2312" w:cs="Times New Roman"/>
          <w:color w:val="000000"/>
          <w:sz w:val="32"/>
          <w:szCs w:val="24"/>
          <w:highlight w:val="none"/>
        </w:rPr>
        <w:t>与设备连接的主要固定管道应按照用途</w:t>
      </w:r>
      <w:r>
        <w:rPr>
          <w:rFonts w:hint="eastAsia" w:ascii="Times New Roman" w:hAnsi="Times New Roman" w:eastAsia="仿宋_GB2312" w:cs="Times New Roman"/>
          <w:color w:val="000000"/>
          <w:sz w:val="32"/>
          <w:szCs w:val="24"/>
          <w:highlight w:val="none"/>
          <w:lang w:eastAsia="zh-CN"/>
        </w:rPr>
        <w:t>、</w:t>
      </w:r>
      <w:r>
        <w:rPr>
          <w:rFonts w:hint="default" w:ascii="Times New Roman" w:hAnsi="Times New Roman" w:eastAsia="仿宋_GB2312" w:cs="Times New Roman"/>
          <w:color w:val="000000"/>
          <w:sz w:val="32"/>
          <w:szCs w:val="24"/>
          <w:highlight w:val="none"/>
        </w:rPr>
        <w:t>输送介质及输送方向进行明确区分，规范</w:t>
      </w:r>
      <w:r>
        <w:rPr>
          <w:rFonts w:hint="eastAsia" w:ascii="Times New Roman" w:hAnsi="Times New Roman" w:eastAsia="仿宋_GB2312" w:cs="Times New Roman"/>
          <w:color w:val="000000"/>
          <w:sz w:val="32"/>
          <w:szCs w:val="24"/>
          <w:highlight w:val="none"/>
          <w:lang w:eastAsia="zh-CN"/>
        </w:rPr>
        <w:t>标示</w:t>
      </w:r>
      <w:r>
        <w:rPr>
          <w:rFonts w:hint="default" w:ascii="Times New Roman" w:hAnsi="Times New Roman" w:eastAsia="仿宋_GB2312" w:cs="Times New Roman"/>
          <w:color w:val="000000"/>
          <w:sz w:val="32"/>
          <w:szCs w:val="24"/>
          <w:highlight w:val="none"/>
        </w:rPr>
        <w:t>。</w:t>
      </w:r>
    </w:p>
    <w:bookmarkEnd w:id="27"/>
    <w:p>
      <w:pPr>
        <w:pStyle w:val="42"/>
        <w:shd w:val="clear"/>
        <w:spacing w:line="594" w:lineRule="exact"/>
        <w:ind w:firstLine="640"/>
        <w:rPr>
          <w:rFonts w:hint="default" w:ascii="Times New Roman" w:hAnsi="Times New Roman" w:eastAsia="仿宋_GB2312" w:cs="Times New Roman"/>
          <w:color w:val="000000"/>
          <w:sz w:val="32"/>
          <w:szCs w:val="24"/>
          <w:highlight w:val="none"/>
        </w:rPr>
      </w:pPr>
      <w:r>
        <w:rPr>
          <w:rFonts w:hint="default" w:ascii="Times New Roman" w:hAnsi="Times New Roman" w:eastAsia="黑体" w:cs="Times New Roman"/>
          <w:color w:val="000000"/>
          <w:sz w:val="32"/>
          <w:szCs w:val="24"/>
          <w:highlight w:val="none"/>
        </w:rPr>
        <w:t>第二十条</w:t>
      </w:r>
      <w:r>
        <w:rPr>
          <w:rFonts w:hint="default" w:ascii="Times New Roman" w:hAnsi="Times New Roman" w:cs="Times New Roman"/>
          <w:color w:val="000000"/>
          <w:sz w:val="32"/>
          <w:szCs w:val="24"/>
          <w:highlight w:val="none"/>
        </w:rPr>
        <w:t xml:space="preserve"> </w:t>
      </w:r>
      <w:r>
        <w:rPr>
          <w:rFonts w:hint="default" w:ascii="Times New Roman" w:hAnsi="Times New Roman" w:eastAsia="仿宋_GB2312" w:cs="Times New Roman"/>
          <w:color w:val="000000"/>
          <w:sz w:val="32"/>
          <w:szCs w:val="24"/>
          <w:highlight w:val="none"/>
        </w:rPr>
        <w:t>生产场所或车间应设置合理的供水设施，食品加工用水应符合《生活饮用水卫生标准》（GB 5749）要求，接触食品用水和非接触食品用水应以完全分离的管路输送，避免交叉污染，各管路应明确标</w:t>
      </w:r>
      <w:r>
        <w:rPr>
          <w:rFonts w:hint="eastAsia" w:ascii="Times New Roman" w:hAnsi="Times New Roman" w:eastAsia="仿宋_GB2312" w:cs="Times New Roman"/>
          <w:color w:val="000000"/>
          <w:sz w:val="32"/>
          <w:szCs w:val="24"/>
          <w:highlight w:val="none"/>
          <w:lang w:eastAsia="zh-CN"/>
        </w:rPr>
        <w:t>示</w:t>
      </w:r>
      <w:r>
        <w:rPr>
          <w:rFonts w:hint="default" w:ascii="Times New Roman" w:hAnsi="Times New Roman" w:eastAsia="仿宋_GB2312" w:cs="Times New Roman"/>
          <w:color w:val="000000"/>
          <w:sz w:val="32"/>
          <w:szCs w:val="24"/>
          <w:highlight w:val="none"/>
        </w:rPr>
        <w:t>以便区分。</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第二十一条</w:t>
      </w:r>
      <w:r>
        <w:rPr>
          <w:rFonts w:hint="default" w:ascii="Times New Roman" w:hAnsi="Times New Roman" w:cs="Times New Roman"/>
          <w:color w:val="000000"/>
          <w:sz w:val="32"/>
          <w:szCs w:val="32"/>
          <w:highlight w:val="none"/>
        </w:rPr>
        <w:t xml:space="preserve"> </w:t>
      </w:r>
      <w:bookmarkStart w:id="28" w:name="_Hlk165277363"/>
      <w:r>
        <w:rPr>
          <w:rFonts w:hint="default" w:ascii="Times New Roman" w:hAnsi="Times New Roman" w:eastAsia="仿宋_GB2312" w:cs="Times New Roman"/>
          <w:color w:val="000000"/>
          <w:sz w:val="32"/>
          <w:highlight w:val="none"/>
        </w:rPr>
        <w:t>生产车间地面应设置合理排水坡度，保证地面水可以自然流向地漏、排水沟</w:t>
      </w:r>
      <w:bookmarkEnd w:id="28"/>
      <w:r>
        <w:rPr>
          <w:rFonts w:hint="default" w:ascii="Times New Roman" w:hAnsi="Times New Roman" w:eastAsia="仿宋_GB2312" w:cs="Times New Roman"/>
          <w:color w:val="000000"/>
          <w:sz w:val="32"/>
          <w:highlight w:val="none"/>
        </w:rPr>
        <w:t>，排水设施出口应有防止虫害侵入的措施。</w:t>
      </w:r>
    </w:p>
    <w:p>
      <w:pPr>
        <w:shd w:val="clear"/>
        <w:spacing w:line="594" w:lineRule="exact"/>
        <w:ind w:left="40" w:firstLine="640" w:firstLineChars="200"/>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第二十二条</w:t>
      </w:r>
      <w:r>
        <w:rPr>
          <w:rFonts w:hint="default" w:ascii="Times New Roman" w:hAnsi="Times New Roman" w:cs="Times New Roman"/>
          <w:color w:val="000000"/>
          <w:szCs w:val="32"/>
          <w:highlight w:val="none"/>
        </w:rPr>
        <w:t xml:space="preserve"> </w:t>
      </w:r>
      <w:bookmarkStart w:id="29" w:name="_Hlk211000539"/>
      <w:r>
        <w:rPr>
          <w:rFonts w:hint="default" w:ascii="Times New Roman" w:hAnsi="Times New Roman" w:eastAsia="仿宋_GB2312" w:cs="Times New Roman"/>
          <w:color w:val="000000"/>
          <w:sz w:val="32"/>
          <w:highlight w:val="none"/>
        </w:rPr>
        <w:t>清洁作业区、准清洁作业区入口处应设置单独更衣室。不同清洁作业区应分别设置人员洗手、消毒、干手等设备设施。</w:t>
      </w:r>
    </w:p>
    <w:p>
      <w:pPr>
        <w:pStyle w:val="10"/>
        <w:shd w:val="clear"/>
        <w:spacing w:line="594" w:lineRule="exact"/>
        <w:ind w:firstLine="640" w:firstLineChars="200"/>
        <w:rPr>
          <w:rFonts w:hint="default" w:ascii="Times New Roman" w:hAnsi="Times New Roman" w:eastAsia="仿宋" w:cs="Times New Roman"/>
          <w:color w:val="000000"/>
          <w:highlight w:val="none"/>
        </w:rPr>
      </w:pPr>
      <w:r>
        <w:rPr>
          <w:rFonts w:hint="default" w:ascii="Times New Roman" w:hAnsi="Times New Roman" w:eastAsia="黑体" w:cs="Times New Roman"/>
          <w:color w:val="000000"/>
          <w:highlight w:val="none"/>
        </w:rPr>
        <w:t>第二十三条</w:t>
      </w:r>
      <w:r>
        <w:rPr>
          <w:rFonts w:hint="default" w:ascii="Times New Roman" w:hAnsi="Times New Roman" w:eastAsia="宋体" w:cs="Times New Roman"/>
          <w:color w:val="000000"/>
          <w:szCs w:val="32"/>
          <w:highlight w:val="none"/>
        </w:rPr>
        <w:t xml:space="preserve"> </w:t>
      </w:r>
      <w:r>
        <w:rPr>
          <w:rFonts w:hint="default" w:ascii="Times New Roman" w:hAnsi="Times New Roman" w:cs="Times New Roman"/>
          <w:color w:val="000000"/>
          <w:highlight w:val="none"/>
        </w:rPr>
        <w:t>工作服应与其用途相适应，按规定定期洗涤，保持清洁、良好状态。</w:t>
      </w:r>
    </w:p>
    <w:bookmarkEnd w:id="29"/>
    <w:p>
      <w:pPr>
        <w:shd w:val="clear"/>
        <w:spacing w:line="594" w:lineRule="exact"/>
        <w:ind w:firstLine="640" w:firstLineChars="200"/>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第二十四条</w:t>
      </w:r>
      <w:r>
        <w:rPr>
          <w:rFonts w:hint="default" w:ascii="Times New Roman" w:hAnsi="Times New Roman" w:cs="Times New Roman"/>
          <w:color w:val="000000"/>
          <w:sz w:val="32"/>
          <w:szCs w:val="32"/>
          <w:highlight w:val="none"/>
        </w:rPr>
        <w:t xml:space="preserve"> </w:t>
      </w:r>
      <w:r>
        <w:rPr>
          <w:rFonts w:hint="default" w:ascii="Times New Roman" w:hAnsi="Times New Roman" w:eastAsia="仿宋_GB2312" w:cs="Times New Roman"/>
          <w:color w:val="000000"/>
          <w:sz w:val="32"/>
          <w:highlight w:val="none"/>
        </w:rPr>
        <w:t>应按照产品执行标准及检验管理制度中规定的检验项目进行检验。自行开展相关检验的企业应配备满足原料、半成品、成品检验所需的检验设备设施，并确保检验设备的性能、精度满足检验要求。如需在生产区域实施检验，应根据车间环境要求合理设置，不应引起污染。检验设备设施的数量应与企业生产能力相适应。分装企业应配备与其分装产品相适应的检验设备。常规检验项目及常用检验设备设施见表4。</w:t>
      </w:r>
    </w:p>
    <w:p>
      <w:pPr>
        <w:pStyle w:val="10"/>
        <w:shd w:val="clear"/>
        <w:tabs>
          <w:tab w:val="left" w:pos="858"/>
        </w:tabs>
        <w:spacing w:line="594" w:lineRule="exact"/>
        <w:ind w:firstLine="1600" w:firstLineChars="500"/>
        <w:rPr>
          <w:rFonts w:hint="default" w:ascii="Times New Roman" w:hAnsi="Times New Roman" w:eastAsia="楷体_GB2312" w:cs="Times New Roman"/>
          <w:color w:val="000000"/>
          <w:highlight w:val="none"/>
        </w:rPr>
      </w:pPr>
      <w:r>
        <w:rPr>
          <w:rFonts w:hint="default" w:ascii="Times New Roman" w:hAnsi="Times New Roman" w:eastAsia="楷体_GB2312" w:cs="Times New Roman"/>
          <w:color w:val="000000"/>
          <w:highlight w:val="none"/>
        </w:rPr>
        <w:t>表4</w:t>
      </w:r>
      <w:bookmarkStart w:id="30" w:name="_Hlk210999296"/>
      <w:r>
        <w:rPr>
          <w:rFonts w:hint="default" w:ascii="Times New Roman" w:hAnsi="Times New Roman" w:eastAsia="楷体_GB2312" w:cs="Times New Roman"/>
          <w:color w:val="000000"/>
          <w:highlight w:val="none"/>
        </w:rPr>
        <w:t xml:space="preserve"> 常规检验项目及常用检验设备</w:t>
      </w:r>
      <w:bookmarkEnd w:id="30"/>
      <w:r>
        <w:rPr>
          <w:rFonts w:hint="default" w:ascii="Times New Roman" w:hAnsi="Times New Roman" w:eastAsia="楷体_GB2312" w:cs="Times New Roman"/>
          <w:color w:val="000000"/>
          <w:highlight w:val="none"/>
        </w:rPr>
        <w:t>设施</w:t>
      </w:r>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7"/>
        <w:gridCol w:w="1880"/>
        <w:gridCol w:w="5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5" w:type="pct"/>
            <w:tcBorders>
              <w:top w:val="single" w:color="auto" w:sz="6" w:space="0"/>
              <w:left w:val="single" w:color="auto" w:sz="6" w:space="0"/>
              <w:bottom w:val="single" w:color="auto" w:sz="6" w:space="0"/>
              <w:right w:val="single" w:color="auto" w:sz="6" w:space="0"/>
            </w:tcBorders>
            <w:vAlign w:val="bottom"/>
          </w:tcPr>
          <w:p>
            <w:pPr>
              <w:pStyle w:val="42"/>
              <w:shd w:val="clear"/>
              <w:spacing w:before="156" w:after="156" w:line="360" w:lineRule="auto"/>
              <w:ind w:firstLine="0" w:firstLineChars="0"/>
              <w:jc w:val="center"/>
              <w:rPr>
                <w:rFonts w:hint="default" w:ascii="Times New Roman" w:hAnsi="Times New Roman" w:eastAsia="黑体" w:cs="Times New Roman"/>
                <w:kern w:val="0"/>
                <w:sz w:val="24"/>
                <w:szCs w:val="24"/>
                <w:highlight w:val="none"/>
              </w:rPr>
            </w:pPr>
            <w:r>
              <w:rPr>
                <w:rFonts w:hint="default" w:ascii="Times New Roman" w:hAnsi="Times New Roman" w:eastAsia="黑体" w:cs="Times New Roman"/>
                <w:kern w:val="0"/>
                <w:sz w:val="24"/>
                <w:szCs w:val="24"/>
                <w:highlight w:val="none"/>
              </w:rPr>
              <w:t>产品类别名称</w:t>
            </w:r>
          </w:p>
        </w:tc>
        <w:tc>
          <w:tcPr>
            <w:tcW w:w="1025" w:type="pct"/>
            <w:tcBorders>
              <w:top w:val="single" w:color="auto" w:sz="6" w:space="0"/>
              <w:left w:val="nil"/>
              <w:bottom w:val="single" w:color="auto" w:sz="6" w:space="0"/>
              <w:right w:val="single" w:color="auto" w:sz="6" w:space="0"/>
            </w:tcBorders>
            <w:vAlign w:val="bottom"/>
          </w:tcPr>
          <w:p>
            <w:pPr>
              <w:pStyle w:val="42"/>
              <w:shd w:val="clear"/>
              <w:spacing w:before="120" w:after="120" w:line="360" w:lineRule="auto"/>
              <w:ind w:firstLine="0" w:firstLineChars="0"/>
              <w:jc w:val="center"/>
              <w:rPr>
                <w:rFonts w:hint="default" w:ascii="Times New Roman" w:hAnsi="Times New Roman" w:eastAsia="黑体" w:cs="Times New Roman"/>
                <w:kern w:val="0"/>
                <w:sz w:val="24"/>
                <w:szCs w:val="24"/>
                <w:highlight w:val="none"/>
              </w:rPr>
            </w:pPr>
            <w:r>
              <w:rPr>
                <w:rFonts w:hint="default" w:ascii="Times New Roman" w:hAnsi="Times New Roman" w:eastAsia="黑体" w:cs="Times New Roman"/>
                <w:kern w:val="0"/>
                <w:sz w:val="24"/>
                <w:szCs w:val="24"/>
                <w:highlight w:val="none"/>
              </w:rPr>
              <w:t>检验项目</w:t>
            </w:r>
          </w:p>
        </w:tc>
        <w:tc>
          <w:tcPr>
            <w:tcW w:w="2868" w:type="pct"/>
            <w:tcBorders>
              <w:top w:val="single" w:color="auto" w:sz="6" w:space="0"/>
              <w:left w:val="nil"/>
              <w:bottom w:val="single" w:color="auto" w:sz="6" w:space="0"/>
              <w:right w:val="single" w:color="auto" w:sz="6" w:space="0"/>
            </w:tcBorders>
            <w:vAlign w:val="bottom"/>
          </w:tcPr>
          <w:p>
            <w:pPr>
              <w:pStyle w:val="42"/>
              <w:shd w:val="clear"/>
              <w:spacing w:before="120" w:after="120" w:line="360" w:lineRule="auto"/>
              <w:ind w:firstLine="0" w:firstLineChars="0"/>
              <w:jc w:val="center"/>
              <w:rPr>
                <w:rFonts w:hint="default" w:ascii="Times New Roman" w:hAnsi="Times New Roman" w:eastAsia="黑体" w:cs="Times New Roman"/>
                <w:kern w:val="0"/>
                <w:sz w:val="24"/>
                <w:szCs w:val="24"/>
                <w:highlight w:val="none"/>
              </w:rPr>
            </w:pPr>
            <w:r>
              <w:rPr>
                <w:rFonts w:hint="default" w:ascii="Times New Roman" w:hAnsi="Times New Roman" w:eastAsia="黑体" w:cs="Times New Roman"/>
                <w:kern w:val="0"/>
                <w:sz w:val="24"/>
                <w:szCs w:val="24"/>
                <w:highlight w:val="none"/>
              </w:rPr>
              <w:t>检验设备设施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105" w:type="pct"/>
            <w:vMerge w:val="restart"/>
            <w:tcBorders>
              <w:top w:val="single" w:color="auto" w:sz="4" w:space="0"/>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白砂糖</w:t>
            </w: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感官</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白瓷盘等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05" w:type="pct"/>
            <w:vMerge w:val="continue"/>
            <w:tcBorders>
              <w:top w:val="single" w:color="auto" w:sz="4" w:space="0"/>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粒度</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震筛机、试验筛、电子天平</w:t>
            </w:r>
            <w:bookmarkStart w:id="31" w:name="OLE_LINK5"/>
            <w:r>
              <w:rPr>
                <w:rFonts w:hint="default" w:ascii="Times New Roman" w:hAnsi="Times New Roman" w:eastAsia="仿宋_GB2312" w:cs="Times New Roman"/>
                <w:kern w:val="0"/>
                <w:sz w:val="24"/>
                <w:szCs w:val="24"/>
                <w:highlight w:val="none"/>
              </w:rPr>
              <w:t>等</w:t>
            </w:r>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9" w:hRule="atLeast"/>
        </w:trPr>
        <w:tc>
          <w:tcPr>
            <w:tcW w:w="1105" w:type="pct"/>
            <w:vMerge w:val="continue"/>
            <w:tcBorders>
              <w:top w:val="single" w:color="auto" w:sz="4" w:space="0"/>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蔗糖分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旋光仪、分析天平（0.1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05" w:type="pct"/>
            <w:vMerge w:val="continue"/>
            <w:tcBorders>
              <w:top w:val="single" w:color="auto" w:sz="4" w:space="0"/>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还原糖分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滴定管、电子天平等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05" w:type="pct"/>
            <w:vMerge w:val="continue"/>
            <w:tcBorders>
              <w:top w:val="single" w:color="auto" w:sz="4" w:space="0"/>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电导灰分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电导率仪、电子天平等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05" w:type="pct"/>
            <w:vMerge w:val="continue"/>
            <w:tcBorders>
              <w:top w:val="single" w:color="auto" w:sz="4" w:space="0"/>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干燥失重</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w:t>
            </w:r>
            <w:bookmarkStart w:id="32" w:name="OLE_LINK7"/>
            <w:r>
              <w:rPr>
                <w:rFonts w:hint="default" w:ascii="Times New Roman" w:hAnsi="Times New Roman" w:eastAsia="仿宋_GB2312" w:cs="Times New Roman"/>
                <w:kern w:val="0"/>
                <w:sz w:val="24"/>
                <w:szCs w:val="24"/>
                <w:highlight w:val="none"/>
              </w:rPr>
              <w:t>分析天平（0.1 mg）等</w:t>
            </w:r>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色值、混浊度</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分光光度计、阿贝折光仪、酸度计、电子天平等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不溶于水杂质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显微镜、电子天平等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净含量</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电子秤或天平等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restart"/>
            <w:tcBorders>
              <w:top w:val="single" w:color="auto" w:sz="4" w:space="0"/>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绵白糖</w:t>
            </w: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感官</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白瓷盘等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总糖分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旋光仪、滴定管或干燥箱或电导率仪、分析天平（0.1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还原糖分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滴定管、电子天平等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干燥失重</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电导灰分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电导率仪、电子天平等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色值、混浊度</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分光光度计、阿贝折光仪、酸度计、电子天平等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不溶于水杂质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粒度</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显微镜等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显微镜、电子天平等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净含量</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电子秤或天平等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restart"/>
            <w:tcBorders>
              <w:top w:val="single" w:color="auto" w:sz="4" w:space="0"/>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赤砂糖</w:t>
            </w: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感官</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白瓷盘等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总糖分（蔗糖分+还原糖分）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旋光仪、滴定管、分析天平（0.1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干燥失重</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不溶于水杂质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显微镜、电子天平等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净含量</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电子秤或天平等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restart"/>
            <w:tcBorders>
              <w:top w:val="single" w:color="auto" w:sz="4" w:space="0"/>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冰糖</w:t>
            </w: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感官</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白瓷盘等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蔗糖分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旋光仪、分析天平（0.1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还原糖分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滴定管、电子天平等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干燥失重</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电导灰分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电导率仪、电子天平等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色值</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分光光度计、阿贝折光仪、酸度计、电子天平等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不溶于水杂质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显微镜、电子天平等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bottom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净含量</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电子秤或天平等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restart"/>
            <w:tcBorders>
              <w:top w:val="single" w:color="auto" w:sz="4" w:space="0"/>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方糖</w:t>
            </w: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感官</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白瓷盘等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蔗糖分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旋光仪、分析天平（0.1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还原糖分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滴定管、电子天平等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干燥失重</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色值、混浊度</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分光光度计、阿贝折光仪、酸度计、电子天平等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电导灰分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电导率仪、电子天平等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不溶于水杂质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硬度</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硬度测定仪等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碎糖量</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显微镜、电子天平等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净含量</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电子秤或天平等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restart"/>
            <w:tcBorders>
              <w:top w:val="single" w:color="auto" w:sz="4" w:space="0"/>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冰片糖</w:t>
            </w: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感官</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白瓷盘等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总糖分（蔗糖分+还原糖分）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旋光仪、滴定管、分析天平（0.1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还原糖分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滴定管、电子天平等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干燥失重</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电导灰分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电导率仪、电子天平等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不溶于水杂质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显微镜、电子天平等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bottom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净含量</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电子秤或天平等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restart"/>
            <w:tcBorders>
              <w:top w:val="single" w:color="auto" w:sz="4" w:space="0"/>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红糖</w:t>
            </w: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感官</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白瓷盘等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top w:val="single" w:color="auto" w:sz="4" w:space="0"/>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总糖分（蔗糖分+还原糖分）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旋光仪、滴定管、分析天平（0.1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干燥失重</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不溶于水杂质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干燥箱、分析天平（0.1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螨</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显微镜、电子天平等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净含量</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电子秤或天平等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restart"/>
            <w:tcBorders>
              <w:left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液体糖</w:t>
            </w: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感官</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样品杯或烧杯等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干物质（固形物）</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bookmarkStart w:id="33" w:name="OLE_LINK27"/>
            <w:r>
              <w:rPr>
                <w:rFonts w:hint="default" w:ascii="Times New Roman" w:hAnsi="Times New Roman" w:eastAsia="仿宋_GB2312" w:cs="Times New Roman"/>
                <w:kern w:val="0"/>
                <w:sz w:val="24"/>
                <w:szCs w:val="24"/>
                <w:highlight w:val="none"/>
              </w:rPr>
              <w:t>阿贝折光仪</w:t>
            </w:r>
            <w:bookmarkEnd w:id="33"/>
            <w:r>
              <w:rPr>
                <w:rFonts w:hint="default" w:ascii="Times New Roman" w:hAnsi="Times New Roman" w:eastAsia="仿宋_GB2312" w:cs="Times New Roman"/>
                <w:kern w:val="0"/>
                <w:sz w:val="24"/>
                <w:szCs w:val="24"/>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干物质中总糖分（蔗糖+还原糖）</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旋光仪、滴定管、液相色谱仪、分析天平（0.1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干物质中还原糖</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滴定管、液相色谱仪、电子天平等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灰分</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高温炉、分析天平（0.1 mg）等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色值</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分光光度计、阿贝折光仪、酸度计、电子天平等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pH</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酸度计等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菌落总数</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无菌室或超净工作台、灭菌锅、电子天平、恒温培养箱、冰箱等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大肠菌群</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无菌室或超净工作台、灭菌锅、电子天平、恒温培养箱、冰箱等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霉菌</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无菌室或超净工作台、灭菌锅、电子天平、恒温培养箱、冰箱等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酵母</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无菌室或超净工作台、灭菌锅、电子天平、恒温培养箱、冰箱等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tcBorders>
              <w:left w:val="single" w:color="auto" w:sz="4" w:space="0"/>
              <w:bottom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p>
        </w:tc>
        <w:tc>
          <w:tcPr>
            <w:tcW w:w="1025" w:type="pct"/>
            <w:tcBorders>
              <w:top w:val="single" w:color="auto" w:sz="4" w:space="0"/>
              <w:left w:val="single" w:color="auto" w:sz="4" w:space="0"/>
              <w:bottom w:val="single" w:color="auto" w:sz="4" w:space="0"/>
              <w:right w:val="single" w:color="auto" w:sz="4" w:space="0"/>
            </w:tcBorders>
            <w:vAlign w:val="center"/>
          </w:tcPr>
          <w:p>
            <w:pPr>
              <w:pStyle w:val="42"/>
              <w:shd w:val="clear"/>
              <w:spacing w:before="120" w:after="120"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净含量</w:t>
            </w:r>
          </w:p>
        </w:tc>
        <w:tc>
          <w:tcPr>
            <w:tcW w:w="2868" w:type="pct"/>
            <w:tcBorders>
              <w:top w:val="single" w:color="auto" w:sz="4" w:space="0"/>
              <w:left w:val="single" w:color="auto" w:sz="4" w:space="0"/>
              <w:bottom w:val="single" w:color="auto" w:sz="4" w:space="0"/>
              <w:right w:val="single" w:color="auto" w:sz="4" w:space="0"/>
            </w:tcBorders>
          </w:tcPr>
          <w:p>
            <w:pPr>
              <w:pStyle w:val="42"/>
              <w:shd w:val="clear"/>
              <w:spacing w:before="120" w:after="120" w:line="360" w:lineRule="auto"/>
              <w:ind w:firstLine="0" w:firstLineChars="0"/>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电子秤或天平等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tcBorders>
              <w:top w:val="single" w:color="auto" w:sz="4" w:space="0"/>
              <w:left w:val="single" w:color="auto" w:sz="4" w:space="0"/>
              <w:bottom w:val="single" w:color="auto" w:sz="4" w:space="0"/>
              <w:right w:val="single" w:color="auto" w:sz="4" w:space="0"/>
            </w:tcBorders>
          </w:tcPr>
          <w:p>
            <w:pPr>
              <w:pStyle w:val="42"/>
              <w:shd w:val="clear"/>
              <w:spacing w:line="360" w:lineRule="auto"/>
              <w:ind w:firstLine="0" w:firstLineChars="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其他糖</w:t>
            </w:r>
          </w:p>
        </w:tc>
        <w:tc>
          <w:tcPr>
            <w:tcW w:w="3894" w:type="pct"/>
            <w:gridSpan w:val="2"/>
            <w:tcBorders>
              <w:top w:val="single" w:color="auto" w:sz="4" w:space="0"/>
              <w:left w:val="single" w:color="auto" w:sz="4" w:space="0"/>
              <w:bottom w:val="single" w:color="auto" w:sz="4" w:space="0"/>
              <w:right w:val="single" w:color="auto" w:sz="4" w:space="0"/>
            </w:tcBorders>
          </w:tcPr>
          <w:p>
            <w:pPr>
              <w:shd w:val="clear"/>
              <w:spacing w:line="360" w:lineRule="auto"/>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根据产品的出厂检验项目，配备相应的检验设备。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tcPr>
          <w:p>
            <w:pPr>
              <w:pStyle w:val="5"/>
              <w:shd w:val="clear"/>
              <w:adjustRightInd w:val="0"/>
              <w:snapToGrid w:val="0"/>
              <w:spacing w:before="0" w:after="0" w:line="440" w:lineRule="exact"/>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注：本表所列检验设备设施为常规检验项目所对应的设备设施，企业可根据产品类别及生产过程风险控制情况确定检验项目，配备相应的检验设备设施。</w:t>
            </w:r>
          </w:p>
        </w:tc>
      </w:tr>
    </w:tbl>
    <w:p>
      <w:pPr>
        <w:shd w:val="clear"/>
        <w:rPr>
          <w:rFonts w:hint="default" w:ascii="Times New Roman" w:hAnsi="Times New Roman" w:cs="Times New Roman"/>
          <w:color w:val="000000"/>
          <w:highlight w:val="none"/>
        </w:rPr>
      </w:pPr>
    </w:p>
    <w:p>
      <w:pPr>
        <w:shd w:val="clear"/>
        <w:spacing w:line="594" w:lineRule="exact"/>
        <w:ind w:firstLine="640" w:firstLineChars="200"/>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第二十五条</w:t>
      </w:r>
      <w:r>
        <w:rPr>
          <w:rFonts w:hint="default" w:ascii="Times New Roman" w:hAnsi="Times New Roman" w:cs="Times New Roman"/>
          <w:color w:val="000000"/>
          <w:sz w:val="32"/>
          <w:highlight w:val="none"/>
        </w:rPr>
        <w:t xml:space="preserve"> </w:t>
      </w:r>
      <w:r>
        <w:rPr>
          <w:rFonts w:hint="default" w:ascii="Times New Roman" w:hAnsi="Times New Roman" w:eastAsia="仿宋_GB2312" w:cs="Times New Roman"/>
          <w:color w:val="000000"/>
          <w:sz w:val="32"/>
          <w:highlight w:val="none"/>
        </w:rPr>
        <w:t>采用快速检测方法的，应配备相应的检验设备。</w:t>
      </w:r>
    </w:p>
    <w:p>
      <w:pPr>
        <w:pStyle w:val="5"/>
        <w:shd w:val="clear"/>
        <w:spacing w:before="0" w:after="0" w:line="594" w:lineRule="exact"/>
        <w:jc w:val="center"/>
        <w:rPr>
          <w:rFonts w:hint="default" w:ascii="Times New Roman" w:hAnsi="Times New Roman" w:cs="Times New Roman"/>
          <w:b w:val="0"/>
          <w:bCs w:val="0"/>
          <w:color w:val="000000"/>
          <w:szCs w:val="24"/>
          <w:highlight w:val="none"/>
        </w:rPr>
      </w:pPr>
    </w:p>
    <w:p>
      <w:pPr>
        <w:pStyle w:val="5"/>
        <w:shd w:val="clear"/>
        <w:spacing w:before="0" w:after="0" w:line="594" w:lineRule="exact"/>
        <w:jc w:val="center"/>
        <w:rPr>
          <w:rFonts w:hint="default" w:ascii="Times New Roman" w:hAnsi="Times New Roman" w:cs="Times New Roman"/>
          <w:b w:val="0"/>
          <w:bCs w:val="0"/>
          <w:color w:val="000000"/>
          <w:szCs w:val="24"/>
          <w:highlight w:val="none"/>
        </w:rPr>
      </w:pPr>
      <w:r>
        <w:rPr>
          <w:rFonts w:hint="default" w:ascii="Times New Roman" w:hAnsi="Times New Roman" w:cs="Times New Roman"/>
          <w:b w:val="0"/>
          <w:bCs w:val="0"/>
          <w:color w:val="000000"/>
          <w:szCs w:val="24"/>
          <w:highlight w:val="none"/>
        </w:rPr>
        <w:t>第四章 设备布局和工艺流程</w:t>
      </w:r>
    </w:p>
    <w:p>
      <w:pPr>
        <w:pStyle w:val="10"/>
        <w:shd w:val="clear"/>
        <w:spacing w:line="594" w:lineRule="exact"/>
        <w:ind w:firstLine="640" w:firstLineChars="200"/>
        <w:rPr>
          <w:rFonts w:hint="default" w:ascii="Times New Roman" w:hAnsi="Times New Roman" w:cs="Times New Roman"/>
          <w:color w:val="000000"/>
          <w:highlight w:val="none"/>
        </w:rPr>
      </w:pPr>
      <w:bookmarkStart w:id="34" w:name="_Hlk169170654"/>
      <w:bookmarkStart w:id="35" w:name="_Hlk219996177"/>
      <w:r>
        <w:rPr>
          <w:rFonts w:hint="default" w:ascii="Times New Roman" w:hAnsi="Times New Roman" w:eastAsia="黑体" w:cs="Times New Roman"/>
          <w:color w:val="000000"/>
          <w:highlight w:val="none"/>
        </w:rPr>
        <w:t>第二十六条</w:t>
      </w:r>
      <w:bookmarkEnd w:id="34"/>
      <w:r>
        <w:rPr>
          <w:rFonts w:hint="default" w:ascii="Times New Roman" w:hAnsi="Times New Roman" w:cs="Times New Roman"/>
          <w:color w:val="000000"/>
          <w:highlight w:val="none"/>
        </w:rPr>
        <w:t xml:space="preserve"> 应具备合理的生产设备布局和工艺流程，避免交叉污染。食糖常规生产工艺流程见表5</w:t>
      </w:r>
    </w:p>
    <w:bookmarkEnd w:id="35"/>
    <w:p>
      <w:pPr>
        <w:pStyle w:val="10"/>
        <w:shd w:val="clear"/>
        <w:spacing w:line="594" w:lineRule="exact"/>
        <w:ind w:firstLine="640" w:firstLineChars="200"/>
        <w:jc w:val="center"/>
        <w:rPr>
          <w:rFonts w:hint="default" w:ascii="Times New Roman" w:hAnsi="Times New Roman" w:eastAsia="仿宋" w:cs="Times New Roman"/>
          <w:color w:val="000000"/>
          <w:highlight w:val="none"/>
        </w:rPr>
      </w:pPr>
      <w:r>
        <w:rPr>
          <w:rFonts w:hint="default" w:ascii="Times New Roman" w:hAnsi="Times New Roman" w:eastAsia="楷体_GB2312" w:cs="Times New Roman"/>
          <w:color w:val="000000"/>
          <w:highlight w:val="none"/>
        </w:rPr>
        <w:t>表5 食糖常规生产工艺流程</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7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121" w:type="pct"/>
            <w:tcBorders>
              <w:top w:val="single" w:color="auto" w:sz="4" w:space="0"/>
              <w:left w:val="single" w:color="auto" w:sz="4" w:space="0"/>
              <w:bottom w:val="single" w:color="auto" w:sz="4" w:space="0"/>
              <w:right w:val="single" w:color="auto" w:sz="4" w:space="0"/>
            </w:tcBorders>
            <w:vAlign w:val="center"/>
          </w:tcPr>
          <w:p>
            <w:pPr>
              <w:pStyle w:val="42"/>
              <w:shd w:val="clear"/>
              <w:spacing w:before="156" w:after="156" w:line="400" w:lineRule="exact"/>
              <w:ind w:firstLine="0" w:firstLineChars="0"/>
              <w:jc w:val="center"/>
              <w:rPr>
                <w:rFonts w:hint="default" w:ascii="Times New Roman" w:hAnsi="Times New Roman" w:eastAsia="黑体" w:cs="Times New Roman"/>
                <w:color w:val="000000"/>
                <w:kern w:val="0"/>
                <w:sz w:val="24"/>
                <w:szCs w:val="24"/>
                <w:highlight w:val="none"/>
              </w:rPr>
            </w:pPr>
            <w:r>
              <w:rPr>
                <w:rFonts w:hint="default" w:ascii="Times New Roman" w:hAnsi="Times New Roman" w:eastAsia="黑体" w:cs="Times New Roman"/>
                <w:color w:val="000000"/>
                <w:kern w:val="0"/>
                <w:sz w:val="24"/>
                <w:szCs w:val="24"/>
                <w:highlight w:val="none"/>
              </w:rPr>
              <w:t>产品类别名称</w:t>
            </w:r>
          </w:p>
        </w:tc>
        <w:tc>
          <w:tcPr>
            <w:tcW w:w="3878" w:type="pct"/>
            <w:tcBorders>
              <w:top w:val="single" w:color="auto" w:sz="4" w:space="0"/>
              <w:left w:val="single" w:color="auto" w:sz="4" w:space="0"/>
              <w:bottom w:val="single" w:color="auto" w:sz="4" w:space="0"/>
              <w:right w:val="single" w:color="auto" w:sz="4" w:space="0"/>
            </w:tcBorders>
            <w:vAlign w:val="center"/>
          </w:tcPr>
          <w:p>
            <w:pPr>
              <w:pStyle w:val="42"/>
              <w:shd w:val="clear"/>
              <w:spacing w:line="400" w:lineRule="exact"/>
              <w:ind w:firstLine="0" w:firstLineChars="0"/>
              <w:jc w:val="center"/>
              <w:rPr>
                <w:rFonts w:hint="default" w:ascii="Times New Roman" w:hAnsi="Times New Roman" w:eastAsia="黑体" w:cs="Times New Roman"/>
                <w:color w:val="000000"/>
                <w:kern w:val="0"/>
                <w:sz w:val="24"/>
                <w:szCs w:val="24"/>
                <w:highlight w:val="none"/>
              </w:rPr>
            </w:pPr>
            <w:r>
              <w:rPr>
                <w:rFonts w:hint="default" w:ascii="Times New Roman" w:hAnsi="Times New Roman" w:eastAsia="黑体" w:cs="Times New Roman"/>
                <w:color w:val="000000"/>
                <w:kern w:val="0"/>
                <w:sz w:val="24"/>
                <w:szCs w:val="24"/>
                <w:highlight w:val="none"/>
              </w:rPr>
              <w:t>常规工艺流程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pct"/>
            <w:tcBorders>
              <w:top w:val="single" w:color="auto" w:sz="4" w:space="0"/>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白砂糖</w:t>
            </w:r>
          </w:p>
        </w:tc>
        <w:tc>
          <w:tcPr>
            <w:tcW w:w="3878" w:type="pct"/>
            <w:tcBorders>
              <w:top w:val="single" w:color="auto" w:sz="4" w:space="0"/>
              <w:left w:val="single" w:color="auto" w:sz="4" w:space="0"/>
              <w:bottom w:val="single" w:color="auto" w:sz="4" w:space="0"/>
              <w:right w:val="single" w:color="auto" w:sz="4" w:space="0"/>
            </w:tcBorders>
          </w:tcPr>
          <w:p>
            <w:pPr>
              <w:pStyle w:val="42"/>
              <w:shd w:val="clear"/>
              <w:spacing w:line="360" w:lineRule="auto"/>
              <w:ind w:firstLine="0" w:firstLineChars="0"/>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原料→提取糖汁（溶糖）→糖汁清净→糖汁加热与蒸发→蔗糖结晶与成糖→包装等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pct"/>
            <w:tcBorders>
              <w:top w:val="single" w:color="auto" w:sz="4" w:space="0"/>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绵白糖</w:t>
            </w:r>
          </w:p>
        </w:tc>
        <w:tc>
          <w:tcPr>
            <w:tcW w:w="3878" w:type="pct"/>
            <w:tcBorders>
              <w:top w:val="single" w:color="auto" w:sz="4" w:space="0"/>
              <w:left w:val="single" w:color="auto" w:sz="4" w:space="0"/>
              <w:bottom w:val="single" w:color="auto" w:sz="4" w:space="0"/>
              <w:right w:val="single" w:color="auto" w:sz="4" w:space="0"/>
            </w:tcBorders>
          </w:tcPr>
          <w:p>
            <w:pPr>
              <w:pStyle w:val="10"/>
              <w:shd w:val="clear"/>
              <w:spacing w:line="360" w:lineRule="auto"/>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原料→提取糖汁（溶糖）→糖汁清净→糖汁加热与蒸发→蔗糖结晶与成糖→加入还原糖→包装等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pct"/>
            <w:tcBorders>
              <w:top w:val="single" w:color="auto" w:sz="4" w:space="0"/>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赤砂糖</w:t>
            </w:r>
          </w:p>
        </w:tc>
        <w:tc>
          <w:tcPr>
            <w:tcW w:w="3878" w:type="pct"/>
            <w:tcBorders>
              <w:top w:val="single" w:color="auto" w:sz="4" w:space="0"/>
              <w:left w:val="single" w:color="auto" w:sz="4" w:space="0"/>
              <w:bottom w:val="single" w:color="auto" w:sz="4" w:space="0"/>
              <w:right w:val="single" w:color="auto" w:sz="4" w:space="0"/>
            </w:tcBorders>
          </w:tcPr>
          <w:p>
            <w:pPr>
              <w:pStyle w:val="42"/>
              <w:shd w:val="clear"/>
              <w:spacing w:line="360" w:lineRule="auto"/>
              <w:ind w:firstLine="0" w:firstLineChars="0"/>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原料→提取糖汁（溶糖）→糖汁清净→糖汁加热与蒸发→蔗糖结晶与成糖→包装等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pct"/>
            <w:tcBorders>
              <w:top w:val="single" w:color="auto" w:sz="4" w:space="0"/>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冰糖</w:t>
            </w:r>
          </w:p>
        </w:tc>
        <w:tc>
          <w:tcPr>
            <w:tcW w:w="3878" w:type="pct"/>
            <w:tcBorders>
              <w:top w:val="single" w:color="auto" w:sz="4" w:space="0"/>
              <w:left w:val="single" w:color="auto" w:sz="4" w:space="0"/>
              <w:bottom w:val="single" w:color="auto" w:sz="4" w:space="0"/>
              <w:right w:val="single" w:color="auto" w:sz="4" w:space="0"/>
            </w:tcBorders>
          </w:tcPr>
          <w:p>
            <w:pPr>
              <w:pStyle w:val="42"/>
              <w:shd w:val="clear"/>
              <w:spacing w:line="360" w:lineRule="auto"/>
              <w:ind w:firstLine="0" w:firstLineChars="0"/>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原料→溶解→浓缩→结晶→干燥→包装等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pct"/>
            <w:tcBorders>
              <w:top w:val="single" w:color="auto" w:sz="4" w:space="0"/>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方糖</w:t>
            </w:r>
          </w:p>
        </w:tc>
        <w:tc>
          <w:tcPr>
            <w:tcW w:w="3878" w:type="pct"/>
            <w:tcBorders>
              <w:top w:val="single" w:color="auto" w:sz="4" w:space="0"/>
              <w:left w:val="single" w:color="auto" w:sz="4" w:space="0"/>
              <w:bottom w:val="single" w:color="auto" w:sz="4" w:space="0"/>
              <w:right w:val="single" w:color="auto" w:sz="4" w:space="0"/>
            </w:tcBorders>
          </w:tcPr>
          <w:p>
            <w:pPr>
              <w:pStyle w:val="42"/>
              <w:shd w:val="clear"/>
              <w:spacing w:line="360" w:lineRule="auto"/>
              <w:ind w:firstLine="0" w:firstLineChars="0"/>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铸造法：原料验收→投料→铸造→烘干→包装等</w:t>
            </w:r>
          </w:p>
          <w:p>
            <w:pPr>
              <w:pStyle w:val="42"/>
              <w:shd w:val="clear"/>
              <w:spacing w:line="360" w:lineRule="auto"/>
              <w:ind w:firstLine="0" w:firstLineChars="0"/>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压制法：原料验收→投料→压制→烘干→包装等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pct"/>
            <w:tcBorders>
              <w:top w:val="single" w:color="auto" w:sz="4" w:space="0"/>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冰片糖</w:t>
            </w:r>
          </w:p>
        </w:tc>
        <w:tc>
          <w:tcPr>
            <w:tcW w:w="3878" w:type="pct"/>
            <w:tcBorders>
              <w:top w:val="single" w:color="auto" w:sz="4" w:space="0"/>
              <w:left w:val="single" w:color="auto" w:sz="4" w:space="0"/>
              <w:bottom w:val="single" w:color="auto" w:sz="4" w:space="0"/>
              <w:right w:val="single" w:color="auto" w:sz="4" w:space="0"/>
            </w:tcBorders>
          </w:tcPr>
          <w:p>
            <w:pPr>
              <w:pStyle w:val="42"/>
              <w:shd w:val="clear"/>
              <w:spacing w:line="360" w:lineRule="auto"/>
              <w:ind w:firstLine="0" w:firstLineChars="0"/>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原料→溶解→浓缩→冷却成型→包装等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pct"/>
            <w:tcBorders>
              <w:top w:val="single" w:color="auto" w:sz="4" w:space="0"/>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红糖</w:t>
            </w:r>
          </w:p>
        </w:tc>
        <w:tc>
          <w:tcPr>
            <w:tcW w:w="3878" w:type="pct"/>
            <w:tcBorders>
              <w:top w:val="single" w:color="auto" w:sz="4" w:space="0"/>
              <w:left w:val="single" w:color="auto" w:sz="4" w:space="0"/>
              <w:bottom w:val="single" w:color="auto" w:sz="4" w:space="0"/>
              <w:right w:val="single" w:color="auto" w:sz="4" w:space="0"/>
            </w:tcBorders>
          </w:tcPr>
          <w:p>
            <w:pPr>
              <w:pStyle w:val="42"/>
              <w:shd w:val="clear"/>
              <w:spacing w:line="360" w:lineRule="auto"/>
              <w:ind w:firstLine="0" w:firstLineChars="0"/>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原料→提取糖汁→糖汁清净→蒸发、浓缩→冷却成糖→包装等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pct"/>
            <w:tcBorders>
              <w:top w:val="single" w:color="auto" w:sz="4" w:space="0"/>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液体糖</w:t>
            </w:r>
          </w:p>
        </w:tc>
        <w:tc>
          <w:tcPr>
            <w:tcW w:w="3878" w:type="pct"/>
            <w:tcBorders>
              <w:top w:val="single" w:color="auto" w:sz="4" w:space="0"/>
              <w:left w:val="single" w:color="auto" w:sz="4" w:space="0"/>
              <w:bottom w:val="single" w:color="auto" w:sz="4" w:space="0"/>
              <w:right w:val="single" w:color="auto" w:sz="4" w:space="0"/>
            </w:tcBorders>
          </w:tcPr>
          <w:p>
            <w:pPr>
              <w:pStyle w:val="42"/>
              <w:shd w:val="clear"/>
              <w:spacing w:line="360" w:lineRule="auto"/>
              <w:ind w:firstLine="0" w:firstLineChars="0"/>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原料→原料处理→糖汁清净→蒸发、浓缩→杀菌（除菌）→包装等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pct"/>
            <w:tcBorders>
              <w:top w:val="single" w:color="auto" w:sz="4" w:space="0"/>
              <w:left w:val="single" w:color="auto" w:sz="4" w:space="0"/>
              <w:bottom w:val="single" w:color="auto" w:sz="4" w:space="0"/>
              <w:right w:val="single" w:color="auto" w:sz="4" w:space="0"/>
            </w:tcBorders>
            <w:vAlign w:val="center"/>
          </w:tcPr>
          <w:p>
            <w:pPr>
              <w:pStyle w:val="42"/>
              <w:shd w:val="clear"/>
              <w:spacing w:line="360" w:lineRule="auto"/>
              <w:ind w:firstLine="0" w:firstLineChars="0"/>
              <w:jc w:val="center"/>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其他糖</w:t>
            </w:r>
          </w:p>
        </w:tc>
        <w:tc>
          <w:tcPr>
            <w:tcW w:w="3878" w:type="pct"/>
            <w:tcBorders>
              <w:top w:val="single" w:color="auto" w:sz="4" w:space="0"/>
              <w:left w:val="single" w:color="auto" w:sz="4" w:space="0"/>
              <w:bottom w:val="single" w:color="auto" w:sz="4" w:space="0"/>
              <w:right w:val="single" w:color="auto" w:sz="4" w:space="0"/>
            </w:tcBorders>
          </w:tcPr>
          <w:p>
            <w:pPr>
              <w:pStyle w:val="42"/>
              <w:shd w:val="clear"/>
              <w:spacing w:line="360" w:lineRule="auto"/>
              <w:ind w:firstLine="0" w:firstLineChars="0"/>
              <w:rPr>
                <w:rFonts w:hint="default" w:ascii="Times New Roman" w:hAnsi="Times New Roman" w:eastAsia="仿宋_GB2312" w:cs="Times New Roman"/>
                <w:color w:val="000000"/>
                <w:kern w:val="0"/>
                <w:sz w:val="24"/>
                <w:szCs w:val="24"/>
                <w:highlight w:val="none"/>
              </w:rPr>
            </w:pPr>
            <w:r>
              <w:rPr>
                <w:rFonts w:hint="default" w:ascii="Times New Roman" w:hAnsi="Times New Roman" w:eastAsia="仿宋_GB2312" w:cs="Times New Roman"/>
                <w:color w:val="000000"/>
                <w:kern w:val="0"/>
                <w:sz w:val="24"/>
                <w:szCs w:val="24"/>
                <w:highlight w:val="none"/>
              </w:rPr>
              <w:t>原料→</w:t>
            </w:r>
            <w:r>
              <w:rPr>
                <w:rFonts w:hint="default" w:ascii="Times New Roman" w:hAnsi="Times New Roman" w:eastAsia="仿宋_GB2312" w:cs="Times New Roman"/>
                <w:sz w:val="24"/>
                <w:szCs w:val="24"/>
                <w:highlight w:val="none"/>
              </w:rPr>
              <w:t>原料处理→成糖→包装</w:t>
            </w:r>
            <w:r>
              <w:rPr>
                <w:rFonts w:hint="default" w:ascii="Times New Roman" w:hAnsi="Times New Roman" w:eastAsia="仿宋_GB2312" w:cs="Times New Roman"/>
                <w:color w:val="000000"/>
                <w:kern w:val="0"/>
                <w:sz w:val="24"/>
                <w:szCs w:val="24"/>
                <w:highlight w:val="none"/>
              </w:rPr>
              <w:t>等</w:t>
            </w:r>
            <w:r>
              <w:rPr>
                <w:rFonts w:hint="default" w:ascii="Times New Roman" w:hAnsi="Times New Roman" w:eastAsia="仿宋_GB2312" w:cs="Times New Roman"/>
                <w:sz w:val="24"/>
                <w:szCs w:val="24"/>
                <w:highlight w:val="none"/>
              </w:rPr>
              <w:t>（可在确保食品安全的</w:t>
            </w:r>
            <w:r>
              <w:rPr>
                <w:rFonts w:hint="eastAsia" w:ascii="Times New Roman" w:hAnsi="Times New Roman" w:eastAsia="仿宋_GB2312" w:cs="Times New Roman"/>
                <w:sz w:val="24"/>
                <w:szCs w:val="24"/>
                <w:highlight w:val="none"/>
                <w:lang w:eastAsia="zh-CN"/>
              </w:rPr>
              <w:t>前提</w:t>
            </w:r>
            <w:r>
              <w:rPr>
                <w:rFonts w:hint="default" w:ascii="Times New Roman" w:hAnsi="Times New Roman" w:eastAsia="仿宋_GB2312" w:cs="Times New Roman"/>
                <w:sz w:val="24"/>
                <w:szCs w:val="24"/>
                <w:highlight w:val="none"/>
              </w:rPr>
              <w:t>下根据产品执行标准和生产实际情况进行确定。）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Borders>
              <w:top w:val="single" w:color="auto" w:sz="4" w:space="0"/>
              <w:left w:val="single" w:color="auto" w:sz="4" w:space="0"/>
              <w:bottom w:val="single" w:color="auto" w:sz="4" w:space="0"/>
              <w:right w:val="single" w:color="auto" w:sz="4" w:space="0"/>
            </w:tcBorders>
            <w:vAlign w:val="center"/>
          </w:tcPr>
          <w:p>
            <w:pPr>
              <w:pStyle w:val="42"/>
              <w:shd w:val="clear"/>
              <w:spacing w:line="360" w:lineRule="auto"/>
              <w:ind w:firstLine="0" w:firstLineChars="0"/>
              <w:rPr>
                <w:rFonts w:hint="eastAsia" w:ascii="Times New Roman" w:hAnsi="Times New Roman" w:eastAsia="仿宋_GB2312" w:cs="Times New Roman"/>
                <w:color w:val="000000"/>
                <w:kern w:val="0"/>
                <w:sz w:val="24"/>
                <w:szCs w:val="24"/>
                <w:highlight w:val="none"/>
                <w:lang w:eastAsia="zh-CN"/>
              </w:rPr>
            </w:pPr>
            <w:r>
              <w:rPr>
                <w:rFonts w:hint="default" w:ascii="Times New Roman" w:hAnsi="Times New Roman" w:eastAsia="仿宋_GB2312" w:cs="Times New Roman"/>
                <w:b w:val="0"/>
                <w:bCs w:val="0"/>
                <w:kern w:val="0"/>
                <w:sz w:val="24"/>
                <w:szCs w:val="24"/>
                <w:highlight w:val="none"/>
              </w:rPr>
              <w:t>注：</w:t>
            </w:r>
            <w:r>
              <w:rPr>
                <w:rFonts w:hint="eastAsia" w:ascii="Times New Roman" w:hAnsi="Times New Roman" w:eastAsia="仿宋_GB2312" w:cs="Times New Roman"/>
                <w:b w:val="0"/>
                <w:bCs w:val="0"/>
                <w:kern w:val="0"/>
                <w:sz w:val="24"/>
                <w:szCs w:val="24"/>
                <w:highlight w:val="none"/>
                <w:lang w:eastAsia="zh-CN"/>
              </w:rPr>
              <w:t>红糖生产应具备从甘蔗处理开始的完整生产工艺。</w:t>
            </w:r>
          </w:p>
        </w:tc>
      </w:tr>
    </w:tbl>
    <w:p>
      <w:pPr>
        <w:widowControl/>
        <w:shd w:val="clear"/>
        <w:spacing w:line="594" w:lineRule="exact"/>
        <w:ind w:firstLine="640" w:firstLineChars="200"/>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第二十七条</w:t>
      </w:r>
      <w:r>
        <w:rPr>
          <w:rFonts w:hint="default" w:ascii="Times New Roman" w:hAnsi="Times New Roman" w:cs="Times New Roman"/>
          <w:color w:val="000000"/>
          <w:sz w:val="32"/>
          <w:highlight w:val="none"/>
        </w:rPr>
        <w:t xml:space="preserve"> </w:t>
      </w:r>
      <w:r>
        <w:rPr>
          <w:rFonts w:hint="default" w:ascii="Times New Roman" w:hAnsi="Times New Roman" w:eastAsia="仿宋_GB2312" w:cs="Times New Roman"/>
          <w:color w:val="000000"/>
          <w:sz w:val="32"/>
          <w:highlight w:val="none"/>
        </w:rPr>
        <w:t>应明确产品在《食品安全国家标准  食品添加剂使用标准》（GB 2760）“食品分类系统”的最小分类号。生产过程中应按照GB 2760以及国务院卫生行政部门相关</w:t>
      </w:r>
      <w:r>
        <w:rPr>
          <w:rFonts w:hint="eastAsia" w:eastAsia="仿宋_GB2312" w:cs="Times New Roman"/>
          <w:color w:val="000000"/>
          <w:sz w:val="32"/>
          <w:highlight w:val="none"/>
          <w:lang w:eastAsia="zh-CN"/>
        </w:rPr>
        <w:t>公告的</w:t>
      </w:r>
      <w:r>
        <w:rPr>
          <w:rFonts w:hint="default" w:ascii="Times New Roman" w:hAnsi="Times New Roman" w:eastAsia="仿宋_GB2312" w:cs="Times New Roman"/>
          <w:color w:val="000000"/>
          <w:sz w:val="32"/>
          <w:highlight w:val="none"/>
        </w:rPr>
        <w:t>要求使用食品添加剂。</w:t>
      </w:r>
    </w:p>
    <w:p>
      <w:pPr>
        <w:pStyle w:val="10"/>
        <w:shd w:val="clear"/>
        <w:spacing w:line="594" w:lineRule="exact"/>
        <w:ind w:firstLine="640" w:firstLineChars="200"/>
        <w:rPr>
          <w:rFonts w:hint="default" w:ascii="Times New Roman" w:hAnsi="Times New Roman" w:cs="Times New Roman"/>
          <w:color w:val="000000"/>
          <w:highlight w:val="none"/>
        </w:rPr>
      </w:pPr>
      <w:r>
        <w:rPr>
          <w:rFonts w:hint="default" w:ascii="Times New Roman" w:hAnsi="Times New Roman" w:eastAsia="黑体" w:cs="Times New Roman"/>
          <w:color w:val="000000"/>
          <w:highlight w:val="none"/>
        </w:rPr>
        <w:t>第二十八条</w:t>
      </w:r>
      <w:r>
        <w:rPr>
          <w:rFonts w:hint="default" w:ascii="Times New Roman" w:hAnsi="Times New Roman" w:eastAsia="仿宋" w:cs="Times New Roman"/>
          <w:color w:val="000000"/>
          <w:highlight w:val="none"/>
        </w:rPr>
        <w:t xml:space="preserve"> </w:t>
      </w:r>
      <w:r>
        <w:rPr>
          <w:rFonts w:hint="default" w:ascii="Times New Roman" w:hAnsi="Times New Roman" w:cs="Times New Roman"/>
          <w:color w:val="000000"/>
          <w:highlight w:val="none"/>
        </w:rPr>
        <w:t>应通过危害分析方法明确生产过程中食品安全关键控制环节，制定产品配方、工艺规程等工艺文件，并设立相应的控制措施。</w:t>
      </w:r>
    </w:p>
    <w:p>
      <w:pPr>
        <w:pStyle w:val="10"/>
        <w:shd w:val="clear"/>
        <w:spacing w:line="594" w:lineRule="exact"/>
        <w:ind w:firstLine="640" w:firstLineChars="200"/>
        <w:rPr>
          <w:rFonts w:hint="default" w:ascii="Times New Roman" w:hAnsi="Times New Roman" w:eastAsia="仿宋" w:cs="Times New Roman"/>
          <w:color w:val="000000"/>
          <w:highlight w:val="none"/>
        </w:rPr>
      </w:pPr>
      <w:r>
        <w:rPr>
          <w:rFonts w:hint="default" w:ascii="Times New Roman" w:hAnsi="Times New Roman" w:eastAsia="黑体" w:cs="Times New Roman"/>
          <w:color w:val="000000"/>
          <w:highlight w:val="none"/>
        </w:rPr>
        <w:t>第二十九条</w:t>
      </w:r>
      <w:r>
        <w:rPr>
          <w:rFonts w:hint="default" w:ascii="Times New Roman" w:hAnsi="Times New Roman" w:eastAsia="宋体" w:cs="Times New Roman"/>
          <w:color w:val="000000"/>
          <w:highlight w:val="none"/>
        </w:rPr>
        <w:t xml:space="preserve"> </w:t>
      </w:r>
      <w:r>
        <w:rPr>
          <w:rFonts w:hint="default" w:ascii="Times New Roman" w:hAnsi="Times New Roman" w:cs="Times New Roman"/>
          <w:color w:val="000000"/>
          <w:highlight w:val="none"/>
        </w:rPr>
        <w:t>应根据产品特点和工艺要求控制生产车间环境，分蜜车间照明器具应有防爆防护措施，易产生粉尘的车间可采用局部排风等措施控制粉尘。</w:t>
      </w:r>
    </w:p>
    <w:p>
      <w:pPr>
        <w:pStyle w:val="10"/>
        <w:shd w:val="clear"/>
        <w:spacing w:line="594" w:lineRule="exact"/>
        <w:ind w:firstLine="640" w:firstLineChars="200"/>
        <w:rPr>
          <w:rFonts w:hint="default" w:ascii="Times New Roman" w:hAnsi="Times New Roman" w:eastAsia="仿宋" w:cs="Times New Roman"/>
          <w:color w:val="000000"/>
          <w:highlight w:val="none"/>
        </w:rPr>
      </w:pPr>
      <w:r>
        <w:rPr>
          <w:rFonts w:hint="default" w:ascii="Times New Roman" w:hAnsi="Times New Roman" w:eastAsia="黑体" w:cs="Times New Roman"/>
          <w:color w:val="000000"/>
          <w:highlight w:val="none"/>
        </w:rPr>
        <w:t>第三十条</w:t>
      </w:r>
      <w:r>
        <w:rPr>
          <w:rFonts w:hint="default" w:ascii="Times New Roman" w:hAnsi="Times New Roman" w:eastAsia="宋体" w:cs="Times New Roman"/>
          <w:color w:val="000000"/>
          <w:highlight w:val="none"/>
        </w:rPr>
        <w:t xml:space="preserve"> </w:t>
      </w:r>
      <w:r>
        <w:rPr>
          <w:rFonts w:hint="default" w:ascii="Times New Roman" w:hAnsi="Times New Roman" w:cs="Times New Roman"/>
          <w:color w:val="000000"/>
          <w:highlight w:val="none"/>
        </w:rPr>
        <w:t>与中间制品直接接触的设备、管道应保持清洁，设备的敞开部位应有防护措施，防止异物污染。</w:t>
      </w:r>
    </w:p>
    <w:p>
      <w:pPr>
        <w:pStyle w:val="10"/>
        <w:shd w:val="clear"/>
        <w:spacing w:line="594" w:lineRule="exact"/>
        <w:ind w:firstLine="640" w:firstLineChars="200"/>
        <w:rPr>
          <w:rFonts w:hint="default" w:ascii="Times New Roman" w:hAnsi="Times New Roman" w:eastAsia="仿宋" w:cs="Times New Roman"/>
          <w:color w:val="000000"/>
          <w:highlight w:val="none"/>
        </w:rPr>
      </w:pPr>
      <w:r>
        <w:rPr>
          <w:rFonts w:hint="default" w:ascii="Times New Roman" w:hAnsi="Times New Roman" w:eastAsia="黑体" w:cs="Times New Roman"/>
          <w:color w:val="000000"/>
          <w:highlight w:val="none"/>
        </w:rPr>
        <w:t>第三十一条</w:t>
      </w:r>
      <w:r>
        <w:rPr>
          <w:rFonts w:hint="default" w:ascii="Times New Roman" w:hAnsi="Times New Roman" w:eastAsia="宋体" w:cs="Times New Roman"/>
          <w:color w:val="000000"/>
          <w:highlight w:val="none"/>
        </w:rPr>
        <w:t xml:space="preserve"> </w:t>
      </w:r>
      <w:r>
        <w:rPr>
          <w:rFonts w:hint="default" w:ascii="Times New Roman" w:hAnsi="Times New Roman" w:cs="Times New Roman"/>
          <w:color w:val="000000"/>
          <w:highlight w:val="none"/>
        </w:rPr>
        <w:t>企业应建立工艺文件、操作规程等生产技术文件，实际操作与技术文件应保持一致性。</w:t>
      </w:r>
    </w:p>
    <w:p>
      <w:pPr>
        <w:pStyle w:val="5"/>
        <w:shd w:val="clear"/>
        <w:spacing w:before="0" w:after="0" w:line="594" w:lineRule="exact"/>
        <w:jc w:val="center"/>
        <w:rPr>
          <w:rFonts w:hint="default" w:ascii="Times New Roman" w:hAnsi="Times New Roman" w:cs="Times New Roman"/>
          <w:b w:val="0"/>
          <w:bCs w:val="0"/>
          <w:color w:val="000000"/>
          <w:szCs w:val="24"/>
          <w:highlight w:val="none"/>
        </w:rPr>
      </w:pPr>
    </w:p>
    <w:p>
      <w:pPr>
        <w:pStyle w:val="5"/>
        <w:shd w:val="clear"/>
        <w:spacing w:before="0" w:after="0" w:line="594" w:lineRule="exact"/>
        <w:jc w:val="center"/>
        <w:rPr>
          <w:rFonts w:hint="default" w:ascii="Times New Roman" w:hAnsi="Times New Roman" w:cs="Times New Roman"/>
          <w:b w:val="0"/>
          <w:bCs w:val="0"/>
          <w:color w:val="000000"/>
          <w:szCs w:val="24"/>
          <w:highlight w:val="none"/>
        </w:rPr>
      </w:pPr>
      <w:r>
        <w:rPr>
          <w:rFonts w:hint="default" w:ascii="Times New Roman" w:hAnsi="Times New Roman" w:cs="Times New Roman"/>
          <w:b w:val="0"/>
          <w:bCs w:val="0"/>
          <w:color w:val="000000"/>
          <w:szCs w:val="24"/>
          <w:highlight w:val="none"/>
        </w:rPr>
        <w:t>第五章 人员管理</w:t>
      </w:r>
    </w:p>
    <w:p>
      <w:pPr>
        <w:shd w:val="clear"/>
        <w:spacing w:line="594" w:lineRule="exact"/>
        <w:ind w:firstLine="640" w:firstLineChars="200"/>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第三十二条</w:t>
      </w:r>
      <w:r>
        <w:rPr>
          <w:rFonts w:hint="default" w:ascii="Times New Roman" w:hAnsi="Times New Roman" w:cs="Times New Roman"/>
          <w:color w:val="000000"/>
          <w:sz w:val="32"/>
          <w:highlight w:val="none"/>
        </w:rPr>
        <w:t xml:space="preserve"> </w:t>
      </w:r>
      <w:r>
        <w:rPr>
          <w:rFonts w:hint="default" w:ascii="Times New Roman" w:hAnsi="Times New Roman" w:eastAsia="仿宋_GB2312" w:cs="Times New Roman"/>
          <w:color w:val="000000"/>
          <w:sz w:val="32"/>
          <w:highlight w:val="none"/>
        </w:rPr>
        <w:t>应依法配备食品安全管理人员和食品安全专业技术人员。企业主要负责人、食品安全总监、食品安全员应符合《食品生产经营企业落实食品安全主体责任监督管理规定》。</w:t>
      </w:r>
    </w:p>
    <w:p>
      <w:pPr>
        <w:shd w:val="clear"/>
        <w:spacing w:line="594" w:lineRule="exact"/>
        <w:ind w:firstLine="640" w:firstLineChars="200"/>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 xml:space="preserve">第三十三条 </w:t>
      </w:r>
      <w:r>
        <w:rPr>
          <w:rFonts w:hint="default" w:ascii="Times New Roman" w:hAnsi="Times New Roman" w:eastAsia="仿宋_GB2312" w:cs="Times New Roman"/>
          <w:color w:val="000000"/>
          <w:sz w:val="32"/>
          <w:highlight w:val="none"/>
        </w:rPr>
        <w:t>企业应建立培训制度，制定培训计划，培训的内容应与岗位相适应。与质量安全相关岗位的人员应定期培训和考核，不具备能力的不得上岗。</w:t>
      </w:r>
    </w:p>
    <w:p>
      <w:pPr>
        <w:pStyle w:val="10"/>
        <w:shd w:val="clear"/>
        <w:spacing w:line="594" w:lineRule="exact"/>
        <w:ind w:firstLine="640" w:firstLineChars="200"/>
        <w:rPr>
          <w:rFonts w:hint="default" w:ascii="Times New Roman" w:hAnsi="Times New Roman" w:cs="Times New Roman"/>
          <w:color w:val="000000"/>
          <w:highlight w:val="none"/>
        </w:rPr>
      </w:pPr>
      <w:r>
        <w:rPr>
          <w:rFonts w:hint="default" w:ascii="Times New Roman" w:hAnsi="Times New Roman" w:eastAsia="黑体" w:cs="Times New Roman"/>
          <w:color w:val="000000"/>
          <w:highlight w:val="none"/>
        </w:rPr>
        <w:t>第三十四条</w:t>
      </w:r>
      <w:r>
        <w:rPr>
          <w:rFonts w:hint="default" w:ascii="Times New Roman" w:hAnsi="Times New Roman" w:eastAsia="宋体" w:cs="Times New Roman"/>
          <w:color w:val="000000"/>
          <w:highlight w:val="none"/>
        </w:rPr>
        <w:t xml:space="preserve"> </w:t>
      </w:r>
      <w:r>
        <w:rPr>
          <w:rFonts w:hint="default" w:ascii="Times New Roman" w:hAnsi="Times New Roman" w:cs="Times New Roman"/>
          <w:color w:val="000000"/>
          <w:highlight w:val="none"/>
        </w:rPr>
        <w:t>企业应建立从业人员健康管理制度，从事接触直接入口食品工作的人员应当每年进行健康检查，取得健康证明后方可上岗工作。患有国务院卫生行政部门规定的有碍食品安全疾病的人员，不得从事接触直接入口食品工作。</w:t>
      </w:r>
    </w:p>
    <w:p>
      <w:pPr>
        <w:pStyle w:val="5"/>
        <w:shd w:val="clear"/>
        <w:spacing w:before="0" w:after="0" w:line="594" w:lineRule="exact"/>
        <w:jc w:val="center"/>
        <w:rPr>
          <w:rFonts w:hint="default" w:ascii="Times New Roman" w:hAnsi="Times New Roman" w:cs="Times New Roman"/>
          <w:b w:val="0"/>
          <w:bCs w:val="0"/>
          <w:color w:val="000000"/>
          <w:szCs w:val="24"/>
          <w:highlight w:val="none"/>
        </w:rPr>
      </w:pPr>
    </w:p>
    <w:p>
      <w:pPr>
        <w:pStyle w:val="5"/>
        <w:shd w:val="clear"/>
        <w:spacing w:before="0" w:after="0" w:line="594" w:lineRule="exact"/>
        <w:jc w:val="center"/>
        <w:rPr>
          <w:rFonts w:hint="default" w:ascii="Times New Roman" w:hAnsi="Times New Roman" w:cs="Times New Roman"/>
          <w:b w:val="0"/>
          <w:bCs w:val="0"/>
          <w:color w:val="000000"/>
          <w:szCs w:val="24"/>
          <w:highlight w:val="none"/>
        </w:rPr>
      </w:pPr>
      <w:r>
        <w:rPr>
          <w:rFonts w:hint="default" w:ascii="Times New Roman" w:hAnsi="Times New Roman" w:cs="Times New Roman"/>
          <w:b w:val="0"/>
          <w:bCs w:val="0"/>
          <w:color w:val="000000"/>
          <w:szCs w:val="24"/>
          <w:highlight w:val="none"/>
        </w:rPr>
        <w:t>第六章 管理制度</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第三十五条</w:t>
      </w:r>
      <w:r>
        <w:rPr>
          <w:rFonts w:hint="default" w:ascii="Times New Roman" w:hAnsi="Times New Roman" w:cs="Times New Roman"/>
          <w:color w:val="000000"/>
          <w:highlight w:val="none"/>
        </w:rPr>
        <w:t xml:space="preserve"> </w:t>
      </w:r>
      <w:r>
        <w:rPr>
          <w:rFonts w:hint="default" w:ascii="Times New Roman" w:hAnsi="Times New Roman" w:eastAsia="仿宋_GB2312" w:cs="Times New Roman"/>
          <w:color w:val="000000"/>
          <w:sz w:val="32"/>
          <w:highlight w:val="none"/>
        </w:rPr>
        <w:t>建立并执行采购管理及进货查验记录制度。企业应规定食品原料、食品添加剂和食品相关产品的验收标准，定期对主要原料供应商进行评价、考核，确定合格供应商名单。</w:t>
      </w:r>
    </w:p>
    <w:p>
      <w:pPr>
        <w:shd w:val="clear"/>
        <w:autoSpaceDE w:val="0"/>
        <w:autoSpaceDN w:val="0"/>
        <w:adjustRightInd w:val="0"/>
        <w:spacing w:line="594" w:lineRule="exact"/>
        <w:ind w:right="-197" w:rightChars="-94" w:firstLine="640" w:firstLineChars="2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分装企业应建立并执行原料供应商审查制度，审查内容应包括但不限于评判标准、审查频次</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跟踪评价等。</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一）应规定食品原料、食品添加剂、食品相关产品供应商的选择、审核、评估程序，对供应商采用的流程和安全措施进行评估。食品添加剂和涉及生产许可管理的食品相关产品应查验供货者的许可证和产品合格证明。</w:t>
      </w:r>
    </w:p>
    <w:p>
      <w:pPr>
        <w:shd w:val="clear"/>
        <w:spacing w:line="594" w:lineRule="exact"/>
        <w:ind w:firstLine="640" w:firstLineChars="200"/>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（二）采用进口原糖为原料的生产企业，应查验国家有关部门出具的入境货物证明等合规文件。</w:t>
      </w:r>
    </w:p>
    <w:p>
      <w:pPr>
        <w:shd w:val="clear"/>
        <w:spacing w:line="594" w:lineRule="exact"/>
        <w:ind w:firstLine="640" w:firstLineChars="200"/>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（三）</w:t>
      </w:r>
      <w:bookmarkStart w:id="36" w:name="OLE_LINK14"/>
      <w:bookmarkStart w:id="37" w:name="_Hlk231223232"/>
      <w:r>
        <w:rPr>
          <w:rFonts w:hint="default" w:ascii="Times New Roman" w:hAnsi="Times New Roman" w:eastAsia="仿宋_GB2312" w:cs="Times New Roman"/>
          <w:color w:val="000000"/>
          <w:sz w:val="32"/>
          <w:highlight w:val="none"/>
        </w:rPr>
        <w:t>生产企业不得</w:t>
      </w:r>
      <w:r>
        <w:rPr>
          <w:rFonts w:hint="eastAsia" w:eastAsia="仿宋_GB2312" w:cs="Times New Roman"/>
          <w:color w:val="000000"/>
          <w:sz w:val="32"/>
          <w:highlight w:val="none"/>
          <w:lang w:eastAsia="zh-CN"/>
        </w:rPr>
        <w:t>以</w:t>
      </w:r>
      <w:r>
        <w:rPr>
          <w:rFonts w:hint="default" w:ascii="Times New Roman" w:hAnsi="Times New Roman" w:eastAsia="仿宋_GB2312" w:cs="Times New Roman"/>
          <w:color w:val="000000"/>
          <w:sz w:val="32"/>
          <w:highlight w:val="none"/>
        </w:rPr>
        <w:t>复合糖、复配糖浆或预混粉为原料生产加工食糖。</w:t>
      </w:r>
      <w:bookmarkEnd w:id="36"/>
      <w:bookmarkEnd w:id="37"/>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（四）食品相关产品应符合相关食品安全标准的规定，在加工、储藏和运输条件下不影响产品质量安全。</w:t>
      </w:r>
    </w:p>
    <w:p>
      <w:pPr>
        <w:shd w:val="clear"/>
        <w:spacing w:line="594" w:lineRule="exact"/>
        <w:ind w:firstLine="640" w:firstLineChars="200"/>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（五）分装企业应对其采购的</w:t>
      </w:r>
      <w:r>
        <w:rPr>
          <w:rFonts w:hint="eastAsia" w:eastAsia="仿宋_GB2312" w:cs="Times New Roman"/>
          <w:color w:val="000000"/>
          <w:sz w:val="32"/>
          <w:highlight w:val="none"/>
          <w:lang w:eastAsia="zh-CN"/>
        </w:rPr>
        <w:t>食糖原料</w:t>
      </w:r>
      <w:r>
        <w:rPr>
          <w:rFonts w:hint="default" w:ascii="Times New Roman" w:hAnsi="Times New Roman" w:eastAsia="仿宋_GB2312" w:cs="Times New Roman"/>
          <w:color w:val="000000"/>
          <w:sz w:val="32"/>
          <w:highlight w:val="none"/>
        </w:rPr>
        <w:t>制定验收、验证制度并落实</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采购国内食糖的分装企业，应审核供货企业食糖生产许可证、产品合格证明文件。采购进口食糖的分装企业，应审核相关合格证明</w:t>
      </w:r>
      <w:r>
        <w:rPr>
          <w:rFonts w:hint="eastAsia" w:eastAsia="仿宋_GB2312" w:cs="Times New Roman"/>
          <w:color w:val="000000"/>
          <w:sz w:val="32"/>
          <w:highlight w:val="none"/>
          <w:lang w:eastAsia="zh-CN"/>
        </w:rPr>
        <w:t>文件</w:t>
      </w:r>
      <w:r>
        <w:rPr>
          <w:rFonts w:hint="default" w:ascii="Times New Roman" w:hAnsi="Times New Roman" w:eastAsia="仿宋_GB2312" w:cs="Times New Roman"/>
          <w:color w:val="000000"/>
          <w:sz w:val="32"/>
          <w:highlight w:val="none"/>
        </w:rPr>
        <w:t>。</w:t>
      </w:r>
      <w:bookmarkStart w:id="38" w:name="_Hlk219996237"/>
      <w:r>
        <w:rPr>
          <w:rFonts w:hint="eastAsia" w:eastAsia="仿宋_GB2312" w:cs="Times New Roman"/>
          <w:color w:val="000000"/>
          <w:sz w:val="32"/>
          <w:highlight w:val="none"/>
          <w:lang w:eastAsia="zh-CN"/>
        </w:rPr>
        <w:t>应</w:t>
      </w:r>
      <w:r>
        <w:rPr>
          <w:rFonts w:hint="default" w:ascii="Times New Roman" w:hAnsi="Times New Roman" w:eastAsia="仿宋_GB2312" w:cs="Times New Roman"/>
          <w:color w:val="000000"/>
          <w:sz w:val="32"/>
          <w:highlight w:val="none"/>
        </w:rPr>
        <w:t>审核</w:t>
      </w:r>
      <w:r>
        <w:rPr>
          <w:rFonts w:hint="eastAsia" w:eastAsia="仿宋_GB2312" w:cs="Times New Roman"/>
          <w:color w:val="000000"/>
          <w:sz w:val="32"/>
          <w:highlight w:val="none"/>
          <w:lang w:eastAsia="zh-CN"/>
        </w:rPr>
        <w:t>原料</w:t>
      </w:r>
      <w:r>
        <w:rPr>
          <w:rFonts w:hint="default" w:ascii="Times New Roman" w:hAnsi="Times New Roman" w:eastAsia="仿宋_GB2312" w:cs="Times New Roman"/>
          <w:color w:val="000000"/>
          <w:sz w:val="32"/>
          <w:highlight w:val="none"/>
        </w:rPr>
        <w:t>产地、供应企业名称、质量等级（如有）、生产日期、保质期、贮存要求等信息并如实记录，确保产品来源可追溯。</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第三十六条</w:t>
      </w:r>
      <w:r>
        <w:rPr>
          <w:rFonts w:hint="default" w:ascii="Times New Roman" w:hAnsi="Times New Roman" w:cs="Times New Roman"/>
          <w:color w:val="000000"/>
          <w:sz w:val="32"/>
          <w:szCs w:val="32"/>
          <w:highlight w:val="none"/>
        </w:rPr>
        <w:t xml:space="preserve"> </w:t>
      </w:r>
      <w:r>
        <w:rPr>
          <w:rFonts w:hint="default" w:ascii="Times New Roman" w:hAnsi="Times New Roman" w:eastAsia="仿宋_GB2312" w:cs="Times New Roman"/>
          <w:color w:val="000000"/>
          <w:sz w:val="32"/>
          <w:highlight w:val="none"/>
        </w:rPr>
        <w:t>建立并执行生产过程控制制度。在关键环节所在区域配备相关的文件</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如岗位规程、记录表等。</w:t>
      </w:r>
      <w:r>
        <w:rPr>
          <w:rFonts w:hint="eastAsia" w:eastAsia="仿宋_GB2312" w:cs="Times New Roman"/>
          <w:color w:val="000000"/>
          <w:sz w:val="32"/>
          <w:highlight w:val="none"/>
          <w:lang w:eastAsia="zh-CN"/>
        </w:rPr>
        <w:t>在</w:t>
      </w:r>
      <w:r>
        <w:rPr>
          <w:rFonts w:hint="default" w:ascii="Times New Roman" w:hAnsi="Times New Roman" w:eastAsia="仿宋_GB2312" w:cs="Times New Roman"/>
          <w:color w:val="000000"/>
          <w:sz w:val="32"/>
          <w:highlight w:val="none"/>
        </w:rPr>
        <w:t>原料管理、生产关键环节</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如生产工序、设备、贮存、包装等</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应</w:t>
      </w:r>
      <w:r>
        <w:rPr>
          <w:rFonts w:hint="eastAsia" w:eastAsia="仿宋_GB2312" w:cs="Times New Roman"/>
          <w:color w:val="000000"/>
          <w:sz w:val="32"/>
          <w:highlight w:val="none"/>
          <w:lang w:eastAsia="zh-CN"/>
        </w:rPr>
        <w:t>如实</w:t>
      </w:r>
      <w:r>
        <w:rPr>
          <w:rFonts w:hint="default" w:ascii="Times New Roman" w:hAnsi="Times New Roman" w:eastAsia="仿宋_GB2312" w:cs="Times New Roman"/>
          <w:color w:val="000000"/>
          <w:sz w:val="32"/>
          <w:highlight w:val="none"/>
        </w:rPr>
        <w:t>记录控制措施</w:t>
      </w:r>
      <w:r>
        <w:rPr>
          <w:rFonts w:hint="eastAsia" w:eastAsia="仿宋_GB2312" w:cs="Times New Roman"/>
          <w:color w:val="000000"/>
          <w:sz w:val="32"/>
          <w:highlight w:val="none"/>
          <w:lang w:eastAsia="zh-CN"/>
        </w:rPr>
        <w:t>实施情况</w:t>
      </w:r>
      <w:r>
        <w:rPr>
          <w:rFonts w:hint="default" w:ascii="Times New Roman" w:hAnsi="Times New Roman" w:eastAsia="仿宋_GB2312" w:cs="Times New Roman"/>
          <w:color w:val="000000"/>
          <w:sz w:val="32"/>
          <w:highlight w:val="none"/>
        </w:rPr>
        <w:t>，并与企业制定的工艺文件要求一致。</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（一）卫生管理要求。</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eastAsia" w:eastAsia="仿宋_GB2312" w:cs="Times New Roman"/>
          <w:color w:val="000000"/>
          <w:sz w:val="32"/>
          <w:highlight w:val="none"/>
          <w:lang w:val="en-US" w:eastAsia="zh-CN"/>
        </w:rPr>
        <w:t>1.</w:t>
      </w:r>
      <w:r>
        <w:rPr>
          <w:rFonts w:hint="default" w:ascii="Times New Roman" w:hAnsi="Times New Roman" w:eastAsia="仿宋_GB2312" w:cs="Times New Roman"/>
          <w:color w:val="000000"/>
          <w:sz w:val="32"/>
          <w:highlight w:val="none"/>
        </w:rPr>
        <w:t>食品加工人员应保持良好的个人卫生，进入生产作业区域不应佩戴、携带、存放或使用与食品生产无关的个人用品，不应存在可能造成食品安全隐患的行为，如化妆、染指甲、喷洒香水等。</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eastAsia" w:eastAsia="仿宋_GB2312" w:cs="Times New Roman"/>
          <w:color w:val="000000"/>
          <w:sz w:val="32"/>
          <w:highlight w:val="none"/>
          <w:lang w:val="en-US" w:eastAsia="zh-CN"/>
        </w:rPr>
        <w:t>2.</w:t>
      </w:r>
      <w:r>
        <w:rPr>
          <w:rFonts w:hint="default" w:ascii="Times New Roman" w:hAnsi="Times New Roman" w:eastAsia="仿宋_GB2312" w:cs="Times New Roman"/>
          <w:color w:val="000000"/>
          <w:sz w:val="32"/>
          <w:highlight w:val="none"/>
        </w:rPr>
        <w:t>食品加工人员工作期间如佩戴手套，应洗手、消毒后佩戴，且手套需经表面消毒后方可接触食品（一次性无菌手套不需要消毒）。操作过程中手套受到污染、破损时，应立即更换。</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（二）清洁消毒要求。</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eastAsia" w:ascii="Times New Roman" w:hAnsi="Times New Roman" w:eastAsia="仿宋_GB2312" w:cs="Times New Roman"/>
          <w:color w:val="000000"/>
          <w:sz w:val="32"/>
          <w:highlight w:val="none"/>
          <w:lang w:val="en-US" w:eastAsia="zh-CN"/>
        </w:rPr>
        <w:t>1.</w:t>
      </w:r>
      <w:r>
        <w:rPr>
          <w:rFonts w:hint="eastAsia" w:eastAsia="仿宋_GB2312" w:cs="Times New Roman"/>
          <w:color w:val="000000"/>
          <w:sz w:val="32"/>
          <w:highlight w:val="none"/>
          <w:lang w:val="en-US" w:eastAsia="zh-CN"/>
        </w:rPr>
        <w:t>企业</w:t>
      </w:r>
      <w:r>
        <w:rPr>
          <w:rFonts w:hint="eastAsia" w:ascii="Times New Roman" w:hAnsi="Times New Roman" w:eastAsia="仿宋_GB2312" w:cs="Times New Roman"/>
          <w:color w:val="000000"/>
          <w:sz w:val="32"/>
          <w:highlight w:val="none"/>
          <w:lang w:val="en-US" w:eastAsia="zh-CN"/>
        </w:rPr>
        <w:t>应</w:t>
      </w:r>
      <w:r>
        <w:rPr>
          <w:rFonts w:hint="default" w:ascii="Times New Roman" w:hAnsi="Times New Roman" w:eastAsia="仿宋_GB2312" w:cs="Times New Roman"/>
          <w:color w:val="000000"/>
          <w:sz w:val="32"/>
          <w:highlight w:val="none"/>
        </w:rPr>
        <w:t>制定有效的清洗、消毒方法和管理制度，确保生产设备、工具、容器、管道等的清洁卫生和安全。</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lang w:val="en-US" w:eastAsia="zh-CN"/>
        </w:rPr>
      </w:pPr>
      <w:r>
        <w:rPr>
          <w:rFonts w:hint="eastAsia" w:ascii="Times New Roman" w:hAnsi="Times New Roman" w:eastAsia="仿宋_GB2312" w:cs="Times New Roman"/>
          <w:color w:val="000000"/>
          <w:sz w:val="32"/>
          <w:highlight w:val="none"/>
          <w:lang w:val="en-US" w:eastAsia="zh-CN"/>
        </w:rPr>
        <w:t>2.分装企业原料放置预处理区、包装车间应有空气消毒措施并定时消毒。</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（三）生产过程控制制度中应明确相关要求。</w:t>
      </w:r>
    </w:p>
    <w:bookmarkEnd w:id="38"/>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eastAsia" w:eastAsia="仿宋_GB2312" w:cs="Times New Roman"/>
          <w:color w:val="000000"/>
          <w:sz w:val="32"/>
          <w:highlight w:val="none"/>
          <w:lang w:val="en-US" w:eastAsia="zh-CN"/>
        </w:rPr>
        <w:t>1.</w:t>
      </w:r>
      <w:r>
        <w:rPr>
          <w:rFonts w:hint="default" w:ascii="Times New Roman" w:hAnsi="Times New Roman" w:eastAsia="仿宋_GB2312" w:cs="Times New Roman"/>
          <w:color w:val="000000"/>
          <w:sz w:val="32"/>
          <w:highlight w:val="none"/>
        </w:rPr>
        <w:t>生产企业应对生产过程中的关键点进行控制，有硫漂工艺的，应按工艺合理控制二氧化硫的加入量，按照《食品安全国家标准 食品添加剂使用标准》（GB 2760）的规定控制残留量，并建立监控记录。</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eastAsia" w:eastAsia="仿宋_GB2312" w:cs="Times New Roman"/>
          <w:color w:val="000000"/>
          <w:sz w:val="32"/>
          <w:highlight w:val="none"/>
          <w:lang w:val="en-US" w:eastAsia="zh-CN"/>
        </w:rPr>
        <w:t>2.</w:t>
      </w:r>
      <w:r>
        <w:rPr>
          <w:rFonts w:hint="default" w:ascii="Times New Roman" w:hAnsi="Times New Roman" w:eastAsia="仿宋_GB2312" w:cs="Times New Roman"/>
          <w:color w:val="000000"/>
          <w:sz w:val="32"/>
          <w:highlight w:val="none"/>
        </w:rPr>
        <w:t>产品裸露区域应建立防护制度，确保无食品安全风险。</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eastAsia" w:eastAsia="仿宋_GB2312" w:cs="Times New Roman"/>
          <w:color w:val="000000"/>
          <w:sz w:val="32"/>
          <w:highlight w:val="none"/>
          <w:lang w:val="en-US" w:eastAsia="zh-CN"/>
        </w:rPr>
        <w:t>3.</w:t>
      </w:r>
      <w:r>
        <w:rPr>
          <w:rFonts w:hint="default" w:ascii="Times New Roman" w:hAnsi="Times New Roman" w:eastAsia="仿宋_GB2312" w:cs="Times New Roman"/>
          <w:color w:val="000000"/>
          <w:sz w:val="32"/>
          <w:highlight w:val="none"/>
        </w:rPr>
        <w:t>应制定生产过程中防止异物进入产品的控制措施，重点控制金属杂质等。</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eastAsia" w:eastAsia="仿宋_GB2312" w:cs="Times New Roman"/>
          <w:color w:val="000000"/>
          <w:sz w:val="32"/>
          <w:highlight w:val="none"/>
          <w:lang w:val="en-US" w:eastAsia="zh-CN"/>
        </w:rPr>
        <w:t>4.</w:t>
      </w:r>
      <w:r>
        <w:rPr>
          <w:rFonts w:hint="default" w:ascii="Times New Roman" w:hAnsi="Times New Roman" w:eastAsia="仿宋_GB2312" w:cs="Times New Roman"/>
          <w:color w:val="000000"/>
          <w:sz w:val="32"/>
          <w:highlight w:val="none"/>
        </w:rPr>
        <w:t>设立产品包装工序要求。包装车间应设有温湿度监控，企业应根据产品特性和工艺要求确定适宜的温湿度控制范围，并定期记录。确保产品在包装过程中不会因吸潮而导致质量不符合标准要求。</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bookmarkStart w:id="39" w:name="OLE_LINK13"/>
      <w:bookmarkStart w:id="40" w:name="_Hlk219996225"/>
      <w:r>
        <w:rPr>
          <w:rFonts w:hint="eastAsia" w:eastAsia="仿宋_GB2312" w:cs="Times New Roman"/>
          <w:color w:val="000000"/>
          <w:sz w:val="32"/>
          <w:highlight w:val="none"/>
          <w:lang w:val="en-US" w:eastAsia="zh-CN"/>
        </w:rPr>
        <w:t>5.分装过程管理要求。食糖分装不得添加其他食品原料。分装企业应制定食品安全风险防控措施，防范生物、化学、物理污染。</w:t>
      </w:r>
    </w:p>
    <w:bookmarkEnd w:id="39"/>
    <w:bookmarkEnd w:id="40"/>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 xml:space="preserve">第三十七条 </w:t>
      </w:r>
      <w:r>
        <w:rPr>
          <w:rFonts w:hint="default" w:ascii="Times New Roman" w:hAnsi="Times New Roman" w:eastAsia="仿宋_GB2312" w:cs="Times New Roman"/>
          <w:color w:val="000000"/>
          <w:sz w:val="32"/>
          <w:highlight w:val="none"/>
        </w:rPr>
        <w:t>建立并执行检验管理及出厂检验记录制度</w:t>
      </w:r>
      <w:r>
        <w:rPr>
          <w:rFonts w:hint="eastAsia" w:eastAsia="仿宋_GB2312" w:cs="Times New Roman"/>
          <w:color w:val="000000"/>
          <w:sz w:val="32"/>
          <w:highlight w:val="none"/>
          <w:lang w:eastAsia="zh-CN"/>
        </w:rPr>
        <w:t>，涵盖</w:t>
      </w:r>
      <w:r>
        <w:rPr>
          <w:rFonts w:hint="default" w:ascii="Times New Roman" w:hAnsi="Times New Roman" w:eastAsia="仿宋_GB2312" w:cs="Times New Roman"/>
          <w:color w:val="000000"/>
          <w:sz w:val="32"/>
          <w:highlight w:val="none"/>
        </w:rPr>
        <w:t>原料检验、过程检验、出厂检验及产品留样的方式及要求</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过程检验包括但不限于对半成品质量、安全指标的监测。产品执行标准规定出厂检验要求的，应按标准规定执行。执行标准未规定出厂检验要求的，应综合考虑产品特性、工艺特点、生产过程控制等因素确定检验项目、检验频次、检验方法等检验要求。</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（一）自行检验。自行检验的企业应具备与所检项目相适应的检验室和检验能力。使用快速检测方法及设备，应定期与国家标准规定的检验方法进行比对或验证，</w:t>
      </w:r>
      <w:r>
        <w:rPr>
          <w:rFonts w:hint="eastAsia" w:eastAsia="仿宋_GB2312" w:cs="Times New Roman"/>
          <w:color w:val="000000"/>
          <w:sz w:val="32"/>
          <w:highlight w:val="none"/>
          <w:lang w:eastAsia="zh-CN"/>
        </w:rPr>
        <w:t>确保</w:t>
      </w:r>
      <w:r>
        <w:rPr>
          <w:rFonts w:hint="default" w:ascii="Times New Roman" w:hAnsi="Times New Roman" w:eastAsia="仿宋_GB2312" w:cs="Times New Roman"/>
          <w:color w:val="000000"/>
          <w:sz w:val="32"/>
          <w:highlight w:val="none"/>
        </w:rPr>
        <w:t>检测结果准确。当快速检测方法检测结果显示异常时，应使用国家标准规定的检验方法进行验证。</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（二）委托检验。不能自行检验的，可委托具有检验资质的检测机构进行检验，并妥善保存检验报告。</w:t>
      </w:r>
    </w:p>
    <w:p>
      <w:pPr>
        <w:keepNext w:val="0"/>
        <w:keepLines w:val="0"/>
        <w:pageBreakBefore w:val="0"/>
        <w:widowControl/>
        <w:shd w:val="clear"/>
        <w:kinsoku/>
        <w:wordWrap/>
        <w:overflowPunct/>
        <w:topLinePunct w:val="0"/>
        <w:autoSpaceDE/>
        <w:autoSpaceDN/>
        <w:bidi w:val="0"/>
        <w:adjustRightInd/>
        <w:snapToGrid/>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三）产品留样。每批产品均应有留样，产品留样间（区）应满足产品贮存条件要求，留样数量应满足复检要求，产品留样应保存至保质期满并有记录。对无明确保质期的产品，自出厂之日起留样不少于2年并有记录。对过期产品进行科学处置，如实完整记录留样及过期产品处置相关信息。无法以最小销售包装形式留样的产品，留样方式由企业自行确定，留样应当加贴可用于追溯的标签。</w:t>
      </w:r>
    </w:p>
    <w:p>
      <w:pPr>
        <w:keepNext w:val="0"/>
        <w:keepLines w:val="0"/>
        <w:pageBreakBefore w:val="0"/>
        <w:widowControl/>
        <w:shd w:val="clear"/>
        <w:kinsoku/>
        <w:wordWrap/>
        <w:overflowPunct/>
        <w:topLinePunct w:val="0"/>
        <w:autoSpaceDE/>
        <w:autoSpaceDN/>
        <w:bidi w:val="0"/>
        <w:adjustRightInd/>
        <w:snapToGrid/>
        <w:spacing w:line="594" w:lineRule="exact"/>
        <w:ind w:firstLine="645"/>
        <w:textAlignment w:val="baseline"/>
        <w:rPr>
          <w:rFonts w:hint="eastAsia" w:ascii="Times New Roman" w:hAnsi="Times New Roman" w:eastAsia="仿宋_GB2312" w:cs="Times New Roman"/>
          <w:color w:val="000000"/>
          <w:sz w:val="32"/>
          <w:highlight w:val="none"/>
          <w:lang w:eastAsia="zh-CN"/>
        </w:rPr>
      </w:pPr>
      <w:r>
        <w:rPr>
          <w:rFonts w:hint="eastAsia" w:eastAsia="仿宋_GB2312" w:cs="Times New Roman"/>
          <w:color w:val="000000"/>
          <w:sz w:val="32"/>
          <w:highlight w:val="none"/>
          <w:lang w:eastAsia="zh-CN"/>
        </w:rPr>
        <w:t>食糖分装也应按照本条规定开展检验并留样。</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94" w:lineRule="exact"/>
        <w:ind w:left="0" w:leftChars="0" w:firstLine="641" w:firstLineChars="0"/>
        <w:rPr>
          <w:rFonts w:hint="eastAsia" w:ascii="Times New Roman" w:hAnsi="Times New Roman"/>
          <w:color w:val="000000"/>
          <w:szCs w:val="32"/>
          <w:highlight w:val="none"/>
        </w:rPr>
      </w:pPr>
      <w:r>
        <w:rPr>
          <w:rFonts w:hint="eastAsia" w:ascii="Times New Roman" w:hAnsi="Times New Roman" w:eastAsia="黑体" w:cs="Times New Roman"/>
          <w:b w:val="0"/>
          <w:bCs w:val="0"/>
          <w:strike w:val="0"/>
          <w:dstrike w:val="0"/>
          <w:color w:val="000000"/>
          <w:kern w:val="0"/>
          <w:sz w:val="32"/>
          <w:szCs w:val="32"/>
          <w:highlight w:val="none"/>
          <w:lang w:val="en-US" w:eastAsia="zh-CN" w:bidi="ar-SA"/>
        </w:rPr>
        <w:t xml:space="preserve">第三十八条 </w:t>
      </w:r>
      <w:r>
        <w:rPr>
          <w:rFonts w:hint="eastAsia" w:ascii="Times New Roman" w:hAnsi="Times New Roman"/>
          <w:color w:val="000000"/>
          <w:szCs w:val="32"/>
          <w:highlight w:val="none"/>
          <w:lang w:eastAsia="zh-CN"/>
        </w:rPr>
        <w:t>建立并执行</w:t>
      </w:r>
      <w:r>
        <w:rPr>
          <w:rFonts w:hint="eastAsia" w:ascii="Times New Roman" w:hAnsi="Times New Roman"/>
          <w:color w:val="000000"/>
          <w:szCs w:val="32"/>
          <w:highlight w:val="none"/>
        </w:rPr>
        <w:t>产品标签管理制度。严格按照《食品标识监督管理办法》《食品安全国家标准 预包装食品标签通则》（GB 7718）等法律法规</w:t>
      </w:r>
      <w:r>
        <w:rPr>
          <w:rFonts w:hint="eastAsia" w:ascii="Times New Roman" w:hAnsi="Times New Roman"/>
          <w:color w:val="000000"/>
          <w:szCs w:val="32"/>
          <w:highlight w:val="none"/>
          <w:lang w:eastAsia="zh-CN"/>
        </w:rPr>
        <w:t>规章</w:t>
      </w:r>
      <w:r>
        <w:rPr>
          <w:rFonts w:hint="eastAsia" w:ascii="Times New Roman" w:hAnsi="Times New Roman"/>
          <w:color w:val="000000"/>
          <w:szCs w:val="32"/>
          <w:highlight w:val="none"/>
        </w:rPr>
        <w:t>及食品安全国家标准的规定</w:t>
      </w:r>
      <w:r>
        <w:rPr>
          <w:rFonts w:hint="eastAsia" w:ascii="Times New Roman" w:hAnsi="Times New Roman"/>
          <w:color w:val="000000"/>
          <w:szCs w:val="32"/>
          <w:highlight w:val="none"/>
          <w:lang w:eastAsia="zh-CN"/>
        </w:rPr>
        <w:t>规范标示，确保</w:t>
      </w:r>
      <w:r>
        <w:rPr>
          <w:rFonts w:hint="eastAsia" w:ascii="Times New Roman" w:hAnsi="Times New Roman"/>
          <w:color w:val="000000"/>
          <w:szCs w:val="32"/>
          <w:highlight w:val="none"/>
        </w:rPr>
        <w:t>标签</w:t>
      </w:r>
      <w:r>
        <w:rPr>
          <w:rFonts w:hint="eastAsia" w:ascii="Times New Roman" w:hAnsi="Times New Roman"/>
          <w:color w:val="000000"/>
          <w:szCs w:val="32"/>
          <w:highlight w:val="none"/>
          <w:lang w:eastAsia="zh-CN"/>
        </w:rPr>
        <w:t>标识</w:t>
      </w:r>
      <w:r>
        <w:rPr>
          <w:rFonts w:hint="eastAsia" w:ascii="Times New Roman" w:hAnsi="Times New Roman"/>
          <w:color w:val="000000"/>
          <w:szCs w:val="32"/>
          <w:highlight w:val="none"/>
        </w:rPr>
        <w:t>真实、准确。对标签内容应进行审核，必要时可委托有资质的检验机构进行标签检验，确保食品标签符合规定。</w:t>
      </w:r>
    </w:p>
    <w:p>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94" w:lineRule="exact"/>
        <w:ind w:left="0" w:leftChars="0" w:firstLine="641" w:firstLineChars="0"/>
        <w:rPr>
          <w:rFonts w:hint="eastAsia" w:ascii="Times New Roman" w:hAnsi="Times New Roman" w:eastAsia="黑体" w:cs="Times New Roman"/>
          <w:b w:val="0"/>
          <w:bCs w:val="0"/>
          <w:strike w:val="0"/>
          <w:dstrike w:val="0"/>
          <w:color w:val="000000"/>
          <w:kern w:val="0"/>
          <w:sz w:val="32"/>
          <w:szCs w:val="32"/>
          <w:highlight w:val="none"/>
          <w:lang w:val="en-US" w:eastAsia="zh-CN" w:bidi="ar-SA"/>
        </w:rPr>
      </w:pPr>
      <w:r>
        <w:rPr>
          <w:rFonts w:hint="eastAsia" w:ascii="Times New Roman" w:hAnsi="Times New Roman"/>
          <w:color w:val="000000"/>
          <w:szCs w:val="32"/>
          <w:highlight w:val="none"/>
        </w:rPr>
        <w:t>分装</w:t>
      </w:r>
      <w:r>
        <w:rPr>
          <w:rFonts w:hint="eastAsia" w:ascii="Times New Roman" w:hAnsi="Times New Roman"/>
          <w:color w:val="000000"/>
          <w:szCs w:val="32"/>
          <w:highlight w:val="none"/>
          <w:lang w:eastAsia="zh-CN"/>
        </w:rPr>
        <w:t>产品</w:t>
      </w:r>
      <w:r>
        <w:rPr>
          <w:rFonts w:hint="eastAsia" w:ascii="Times New Roman" w:hAnsi="Times New Roman"/>
          <w:color w:val="000000"/>
          <w:szCs w:val="32"/>
          <w:highlight w:val="none"/>
        </w:rPr>
        <w:t>应当注明“分装”字样</w:t>
      </w:r>
      <w:r>
        <w:rPr>
          <w:rFonts w:hint="eastAsia" w:ascii="Times New Roman" w:hAnsi="Times New Roman"/>
          <w:color w:val="000000"/>
          <w:szCs w:val="32"/>
          <w:highlight w:val="none"/>
          <w:lang w:eastAsia="zh-CN"/>
        </w:rPr>
        <w:t>，</w:t>
      </w:r>
      <w:r>
        <w:rPr>
          <w:rFonts w:hint="eastAsia" w:ascii="Times New Roman" w:hAnsi="Times New Roman"/>
          <w:color w:val="000000"/>
          <w:szCs w:val="32"/>
          <w:highlight w:val="none"/>
        </w:rPr>
        <w:t>其配料表应当标注被分装</w:t>
      </w:r>
      <w:r>
        <w:rPr>
          <w:rFonts w:hint="eastAsia" w:ascii="Times New Roman" w:hAnsi="Times New Roman"/>
          <w:color w:val="000000"/>
          <w:szCs w:val="32"/>
          <w:highlight w:val="none"/>
          <w:lang w:eastAsia="zh-CN"/>
        </w:rPr>
        <w:t>产品</w:t>
      </w:r>
      <w:r>
        <w:rPr>
          <w:rFonts w:hint="eastAsia" w:ascii="Times New Roman" w:hAnsi="Times New Roman"/>
          <w:color w:val="000000"/>
          <w:szCs w:val="32"/>
          <w:highlight w:val="none"/>
        </w:rPr>
        <w:t>的配料表信息。</w:t>
      </w:r>
    </w:p>
    <w:p>
      <w:pPr>
        <w:keepNext w:val="0"/>
        <w:keepLines w:val="0"/>
        <w:pageBreakBefore w:val="0"/>
        <w:shd w:val="clear"/>
        <w:kinsoku/>
        <w:wordWrap/>
        <w:overflowPunct/>
        <w:topLinePunct w:val="0"/>
        <w:autoSpaceDE/>
        <w:autoSpaceDN/>
        <w:bidi w:val="0"/>
        <w:adjustRightInd/>
        <w:snapToGrid/>
        <w:spacing w:line="594" w:lineRule="exact"/>
        <w:ind w:firstLine="627" w:firstLineChars="196"/>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第三十</w:t>
      </w:r>
      <w:r>
        <w:rPr>
          <w:rFonts w:hint="eastAsia" w:eastAsia="黑体" w:cs="Times New Roman"/>
          <w:color w:val="000000"/>
          <w:sz w:val="32"/>
          <w:highlight w:val="none"/>
          <w:lang w:eastAsia="zh-CN"/>
        </w:rPr>
        <w:t>九</w:t>
      </w:r>
      <w:r>
        <w:rPr>
          <w:rFonts w:hint="default" w:ascii="Times New Roman" w:hAnsi="Times New Roman" w:eastAsia="黑体" w:cs="Times New Roman"/>
          <w:color w:val="000000"/>
          <w:sz w:val="32"/>
          <w:highlight w:val="none"/>
        </w:rPr>
        <w:t>条</w:t>
      </w:r>
      <w:r>
        <w:rPr>
          <w:rFonts w:hint="default" w:ascii="Times New Roman" w:hAnsi="Times New Roman" w:cs="Times New Roman"/>
          <w:color w:val="000000"/>
          <w:sz w:val="32"/>
          <w:highlight w:val="none"/>
        </w:rPr>
        <w:t xml:space="preserve"> </w:t>
      </w:r>
      <w:r>
        <w:rPr>
          <w:rFonts w:hint="default" w:ascii="Times New Roman" w:hAnsi="Times New Roman" w:eastAsia="仿宋_GB2312" w:cs="Times New Roman"/>
          <w:color w:val="000000"/>
          <w:sz w:val="32"/>
          <w:highlight w:val="none"/>
        </w:rPr>
        <w:t>建立并执行</w:t>
      </w:r>
      <w:bookmarkStart w:id="41" w:name="OLE_LINK26"/>
      <w:r>
        <w:rPr>
          <w:rFonts w:hint="default" w:ascii="Times New Roman" w:hAnsi="Times New Roman" w:eastAsia="仿宋_GB2312" w:cs="Times New Roman"/>
          <w:color w:val="000000"/>
          <w:sz w:val="32"/>
          <w:highlight w:val="none"/>
        </w:rPr>
        <w:t>运输和交付</w:t>
      </w:r>
      <w:bookmarkEnd w:id="41"/>
      <w:r>
        <w:rPr>
          <w:rFonts w:hint="default" w:ascii="Times New Roman" w:hAnsi="Times New Roman" w:eastAsia="仿宋_GB2312" w:cs="Times New Roman"/>
          <w:color w:val="000000"/>
          <w:sz w:val="32"/>
          <w:highlight w:val="none"/>
        </w:rPr>
        <w:t>管理制度。根据食糖的特点和卫生需要规定运输和交付要求，防止产品因高温、潮湿等因素导致产品不符合标准要求，且不得与有毒、有害或有异味的物品一同贮存</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运输。</w:t>
      </w:r>
    </w:p>
    <w:p>
      <w:pPr>
        <w:shd w:val="clear"/>
        <w:autoSpaceDE w:val="0"/>
        <w:autoSpaceDN w:val="0"/>
        <w:adjustRightInd w:val="0"/>
        <w:spacing w:line="594" w:lineRule="exact"/>
        <w:ind w:firstLine="640" w:firstLineChars="200"/>
        <w:jc w:val="left"/>
        <w:rPr>
          <w:rFonts w:hint="default" w:ascii="Times New Roman" w:hAnsi="Times New Roman" w:eastAsia="仿宋" w:cs="Times New Roman"/>
          <w:color w:val="000000"/>
          <w:sz w:val="32"/>
          <w:highlight w:val="none"/>
        </w:rPr>
      </w:pPr>
      <w:r>
        <w:rPr>
          <w:rFonts w:hint="default" w:ascii="Times New Roman" w:hAnsi="Times New Roman" w:eastAsia="黑体" w:cs="Times New Roman"/>
          <w:color w:val="000000"/>
          <w:sz w:val="32"/>
          <w:highlight w:val="none"/>
        </w:rPr>
        <w:t>第</w:t>
      </w:r>
      <w:r>
        <w:rPr>
          <w:rFonts w:hint="eastAsia" w:eastAsia="黑体" w:cs="Times New Roman"/>
          <w:color w:val="000000"/>
          <w:sz w:val="32"/>
          <w:highlight w:val="none"/>
          <w:lang w:eastAsia="zh-CN"/>
        </w:rPr>
        <w:t>四十</w:t>
      </w:r>
      <w:r>
        <w:rPr>
          <w:rFonts w:hint="default" w:ascii="Times New Roman" w:hAnsi="Times New Roman" w:eastAsia="黑体" w:cs="Times New Roman"/>
          <w:color w:val="000000"/>
          <w:sz w:val="32"/>
          <w:highlight w:val="none"/>
        </w:rPr>
        <w:t>条</w:t>
      </w:r>
      <w:r>
        <w:rPr>
          <w:rFonts w:hint="default" w:ascii="Times New Roman" w:hAnsi="Times New Roman" w:cs="Times New Roman"/>
          <w:color w:val="000000"/>
          <w:highlight w:val="none"/>
        </w:rPr>
        <w:t xml:space="preserve"> </w:t>
      </w:r>
      <w:r>
        <w:rPr>
          <w:rFonts w:hint="default" w:ascii="Times New Roman" w:hAnsi="Times New Roman" w:eastAsia="仿宋_GB2312" w:cs="Times New Roman"/>
          <w:color w:val="000000"/>
          <w:sz w:val="32"/>
          <w:highlight w:val="none"/>
        </w:rPr>
        <w:t>建立食品安全追溯制度。如实记录原料采购与验收、生产加工、产品检验、出厂销售等全过程信息，实现产品有效追溯。企业应当合理设定产品批次，建立批生产记录，如实记录投料的原料名称、投料数量、产品批号、投料日期等信息。</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第四十</w:t>
      </w:r>
      <w:r>
        <w:rPr>
          <w:rFonts w:hint="eastAsia" w:eastAsia="黑体" w:cs="Times New Roman"/>
          <w:color w:val="000000"/>
          <w:sz w:val="32"/>
          <w:highlight w:val="none"/>
          <w:lang w:eastAsia="zh-CN"/>
        </w:rPr>
        <w:t>一</w:t>
      </w:r>
      <w:r>
        <w:rPr>
          <w:rFonts w:hint="default" w:ascii="Times New Roman" w:hAnsi="Times New Roman" w:eastAsia="黑体" w:cs="Times New Roman"/>
          <w:color w:val="000000"/>
          <w:sz w:val="32"/>
          <w:highlight w:val="none"/>
        </w:rPr>
        <w:t>条</w:t>
      </w:r>
      <w:r>
        <w:rPr>
          <w:rFonts w:hint="default" w:ascii="Times New Roman" w:hAnsi="Times New Roman" w:cs="Times New Roman"/>
          <w:color w:val="000000"/>
          <w:sz w:val="32"/>
          <w:highlight w:val="none"/>
        </w:rPr>
        <w:t xml:space="preserve"> </w:t>
      </w:r>
      <w:r>
        <w:rPr>
          <w:rFonts w:hint="default" w:ascii="Times New Roman" w:hAnsi="Times New Roman" w:eastAsia="仿宋_GB2312" w:cs="Times New Roman"/>
          <w:color w:val="000000"/>
          <w:sz w:val="32"/>
          <w:highlight w:val="none"/>
        </w:rPr>
        <w:t>企业应建立食品安全自查制度。定期对食品安全状况进行检查评价，检查发现不符合食品生产要求或有发生食品安全事故潜在风险的，应立即停止生产，采取整改措施。</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自查内容应包括但不限于食品原料、食品添加剂、食品相关产品进货查验情况</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生产过程控制情况</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人员管理情况</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检验管理情况</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记录及文件管理情况等。</w:t>
      </w:r>
    </w:p>
    <w:p>
      <w:pPr>
        <w:pStyle w:val="10"/>
        <w:shd w:val="clear"/>
        <w:spacing w:line="594" w:lineRule="exact"/>
        <w:ind w:firstLine="640" w:firstLineChars="200"/>
        <w:rPr>
          <w:rFonts w:hint="default" w:ascii="Times New Roman" w:hAnsi="Times New Roman" w:cs="Times New Roman"/>
          <w:color w:val="000000"/>
          <w:highlight w:val="none"/>
        </w:rPr>
      </w:pPr>
      <w:r>
        <w:rPr>
          <w:rFonts w:hint="default" w:ascii="Times New Roman" w:hAnsi="Times New Roman" w:eastAsia="黑体" w:cs="Times New Roman"/>
          <w:color w:val="000000"/>
          <w:highlight w:val="none"/>
        </w:rPr>
        <w:t>第四十</w:t>
      </w:r>
      <w:r>
        <w:rPr>
          <w:rFonts w:hint="eastAsia" w:ascii="Times New Roman" w:hAnsi="Times New Roman" w:eastAsia="黑体" w:cs="Times New Roman"/>
          <w:color w:val="000000"/>
          <w:highlight w:val="none"/>
          <w:lang w:eastAsia="zh-CN"/>
        </w:rPr>
        <w:t>二</w:t>
      </w:r>
      <w:r>
        <w:rPr>
          <w:rFonts w:hint="default" w:ascii="Times New Roman" w:hAnsi="Times New Roman" w:eastAsia="黑体" w:cs="Times New Roman"/>
          <w:color w:val="000000"/>
          <w:highlight w:val="none"/>
        </w:rPr>
        <w:t>条</w:t>
      </w:r>
      <w:r>
        <w:rPr>
          <w:rFonts w:hint="default" w:ascii="Times New Roman" w:hAnsi="Times New Roman" w:eastAsia="宋体" w:cs="Times New Roman"/>
          <w:color w:val="000000"/>
          <w:highlight w:val="none"/>
        </w:rPr>
        <w:t xml:space="preserve"> </w:t>
      </w:r>
      <w:r>
        <w:rPr>
          <w:rFonts w:hint="default" w:ascii="Times New Roman" w:hAnsi="Times New Roman" w:cs="Times New Roman"/>
          <w:color w:val="000000"/>
          <w:highlight w:val="none"/>
        </w:rPr>
        <w:t>建立并执行不合格品管理及不安全食品召回制度。企业应明确对在验收和生产过程中发现的不合格原料、半成品和成品进行标示、贮存和处置</w:t>
      </w:r>
      <w:r>
        <w:rPr>
          <w:rFonts w:hint="eastAsia" w:ascii="Times New Roman" w:hAnsi="Times New Roman" w:cs="Times New Roman"/>
          <w:color w:val="000000"/>
          <w:highlight w:val="none"/>
          <w:lang w:eastAsia="zh-CN"/>
        </w:rPr>
        <w:t>的</w:t>
      </w:r>
      <w:r>
        <w:rPr>
          <w:rFonts w:hint="default" w:ascii="Times New Roman" w:hAnsi="Times New Roman" w:cs="Times New Roman"/>
          <w:color w:val="000000"/>
          <w:highlight w:val="none"/>
        </w:rPr>
        <w:t>措施，不合格品应与合格品分开放置并明显标记。如实、完整记录不合格品保存和处理情况。企业应对召回的食品采取补救、无害化处置、销毁等措施，如实记录召回和处置情况，并向所在地县级市场监管部门报告。</w:t>
      </w:r>
    </w:p>
    <w:p>
      <w:pPr>
        <w:pStyle w:val="10"/>
        <w:shd w:val="clear"/>
        <w:spacing w:line="594" w:lineRule="exact"/>
        <w:ind w:firstLine="640" w:firstLineChars="200"/>
        <w:rPr>
          <w:rFonts w:hint="default" w:ascii="Times New Roman" w:hAnsi="Times New Roman" w:cs="Times New Roman"/>
          <w:color w:val="000000"/>
          <w:highlight w:val="none"/>
        </w:rPr>
      </w:pPr>
      <w:r>
        <w:rPr>
          <w:rFonts w:hint="default" w:ascii="Times New Roman" w:hAnsi="Times New Roman" w:eastAsia="黑体" w:cs="Times New Roman"/>
          <w:color w:val="000000"/>
          <w:highlight w:val="none"/>
        </w:rPr>
        <w:t>第四十</w:t>
      </w:r>
      <w:r>
        <w:rPr>
          <w:rFonts w:hint="eastAsia" w:ascii="Times New Roman" w:hAnsi="Times New Roman" w:eastAsia="黑体" w:cs="Times New Roman"/>
          <w:color w:val="000000"/>
          <w:highlight w:val="none"/>
          <w:lang w:eastAsia="zh-CN"/>
        </w:rPr>
        <w:t>三</w:t>
      </w:r>
      <w:r>
        <w:rPr>
          <w:rFonts w:hint="default" w:ascii="Times New Roman" w:hAnsi="Times New Roman" w:eastAsia="黑体" w:cs="Times New Roman"/>
          <w:color w:val="000000"/>
          <w:highlight w:val="none"/>
        </w:rPr>
        <w:t>条</w:t>
      </w:r>
      <w:r>
        <w:rPr>
          <w:rFonts w:hint="default" w:ascii="Times New Roman" w:hAnsi="Times New Roman" w:eastAsia="宋体" w:cs="Times New Roman"/>
          <w:color w:val="000000"/>
          <w:highlight w:val="none"/>
        </w:rPr>
        <w:t xml:space="preserve"> </w:t>
      </w:r>
      <w:r>
        <w:rPr>
          <w:rFonts w:hint="default" w:ascii="Times New Roman" w:hAnsi="Times New Roman" w:cs="Times New Roman"/>
          <w:color w:val="000000"/>
          <w:highlight w:val="none"/>
        </w:rPr>
        <w:t>企业应制定食品安全事故处置方案，定期检查各项食品安全防范措施的落实情况，及时消除食品安全隐患。</w:t>
      </w:r>
    </w:p>
    <w:p>
      <w:pPr>
        <w:pStyle w:val="10"/>
        <w:shd w:val="clear"/>
        <w:tabs>
          <w:tab w:val="left" w:pos="858"/>
        </w:tabs>
        <w:spacing w:line="594" w:lineRule="exact"/>
        <w:ind w:firstLine="640" w:firstLineChars="200"/>
        <w:rPr>
          <w:rFonts w:hint="eastAsia" w:ascii="Times New Roman" w:hAnsi="Times New Roman" w:eastAsia="仿宋_GB2312" w:cs="Times New Roman"/>
          <w:color w:val="000000"/>
          <w:highlight w:val="none"/>
          <w:lang w:eastAsia="zh-CN"/>
        </w:rPr>
      </w:pPr>
      <w:bookmarkStart w:id="42" w:name="_Hlk219996259"/>
      <w:r>
        <w:rPr>
          <w:rFonts w:hint="default" w:ascii="Times New Roman" w:hAnsi="Times New Roman" w:eastAsia="黑体" w:cs="Times New Roman"/>
          <w:color w:val="000000"/>
          <w:highlight w:val="none"/>
        </w:rPr>
        <w:t>第四十</w:t>
      </w:r>
      <w:r>
        <w:rPr>
          <w:rFonts w:hint="eastAsia" w:ascii="Times New Roman" w:hAnsi="Times New Roman" w:eastAsia="黑体" w:cs="Times New Roman"/>
          <w:color w:val="000000"/>
          <w:highlight w:val="none"/>
          <w:lang w:eastAsia="zh-CN"/>
        </w:rPr>
        <w:t>四</w:t>
      </w:r>
      <w:r>
        <w:rPr>
          <w:rFonts w:hint="default" w:ascii="Times New Roman" w:hAnsi="Times New Roman" w:eastAsia="黑体" w:cs="Times New Roman"/>
          <w:color w:val="000000"/>
          <w:highlight w:val="none"/>
        </w:rPr>
        <w:t>条</w:t>
      </w:r>
      <w:r>
        <w:rPr>
          <w:rFonts w:hint="default" w:ascii="Times New Roman" w:hAnsi="Times New Roman" w:eastAsia="宋体" w:cs="Times New Roman"/>
          <w:color w:val="000000"/>
          <w:highlight w:val="none"/>
        </w:rPr>
        <w:t xml:space="preserve"> </w:t>
      </w:r>
      <w:r>
        <w:rPr>
          <w:rFonts w:hint="default" w:ascii="Times New Roman" w:hAnsi="Times New Roman" w:cs="Times New Roman"/>
          <w:color w:val="000000"/>
          <w:highlight w:val="none"/>
        </w:rPr>
        <w:t>其他制度</w:t>
      </w:r>
      <w:r>
        <w:rPr>
          <w:rFonts w:hint="eastAsia" w:ascii="Times New Roman" w:hAnsi="Times New Roman" w:cs="Times New Roman"/>
          <w:color w:val="000000"/>
          <w:highlight w:val="none"/>
          <w:lang w:eastAsia="zh-CN"/>
        </w:rPr>
        <w:t>。</w:t>
      </w:r>
    </w:p>
    <w:bookmarkEnd w:id="42"/>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（一）建立并执行食品安全防护制度。应建立食品防护计划，评估产品面临蓄意破坏等外来危害的可能，最大限度降低因故意污染、蓄意破坏等人为因素造成食品受到生物、化学、物理方面</w:t>
      </w:r>
      <w:r>
        <w:rPr>
          <w:rFonts w:hint="eastAsia" w:eastAsia="仿宋_GB2312" w:cs="Times New Roman"/>
          <w:color w:val="000000"/>
          <w:sz w:val="32"/>
          <w:highlight w:val="none"/>
          <w:lang w:eastAsia="zh-CN"/>
        </w:rPr>
        <w:t>污染</w:t>
      </w:r>
      <w:r>
        <w:rPr>
          <w:rFonts w:hint="default" w:ascii="Times New Roman" w:hAnsi="Times New Roman" w:eastAsia="仿宋_GB2312" w:cs="Times New Roman"/>
          <w:color w:val="000000"/>
          <w:sz w:val="32"/>
          <w:highlight w:val="none"/>
        </w:rPr>
        <w:t>的风险。</w:t>
      </w:r>
    </w:p>
    <w:p>
      <w:pPr>
        <w:pStyle w:val="10"/>
        <w:shd w:val="clear"/>
        <w:tabs>
          <w:tab w:val="left" w:pos="858"/>
        </w:tabs>
        <w:spacing w:line="594" w:lineRule="exact"/>
        <w:ind w:firstLine="640" w:firstLineChars="200"/>
        <w:rPr>
          <w:rFonts w:hint="default" w:ascii="Times New Roman" w:hAnsi="Times New Roman" w:cs="Times New Roman"/>
          <w:color w:val="000000"/>
          <w:highlight w:val="none"/>
        </w:rPr>
      </w:pPr>
      <w:bookmarkStart w:id="43" w:name="_Hlk219996277"/>
      <w:r>
        <w:rPr>
          <w:rFonts w:hint="default" w:ascii="Times New Roman" w:hAnsi="Times New Roman" w:cs="Times New Roman"/>
          <w:color w:val="000000"/>
          <w:highlight w:val="none"/>
        </w:rPr>
        <w:t>（二）建立仓储管理制度</w:t>
      </w:r>
      <w:r>
        <w:rPr>
          <w:rFonts w:hint="eastAsia" w:ascii="Times New Roman" w:hAnsi="Times New Roman" w:cs="Times New Roman"/>
          <w:color w:val="000000"/>
          <w:highlight w:val="none"/>
          <w:lang w:eastAsia="zh-CN"/>
        </w:rPr>
        <w:t>。</w:t>
      </w:r>
      <w:r>
        <w:rPr>
          <w:rFonts w:hint="default" w:ascii="Times New Roman" w:hAnsi="Times New Roman" w:cs="Times New Roman"/>
          <w:color w:val="000000"/>
          <w:highlight w:val="none"/>
        </w:rPr>
        <w:t>原料、成品、包装材料等应依据性质的不同分设贮存场所或分区域码放，并有明确标识，防止交叉污染。不合格、退货或召回的物料或产品应分区域存放，并明确标示。</w:t>
      </w:r>
    </w:p>
    <w:p>
      <w:pPr>
        <w:pStyle w:val="10"/>
        <w:shd w:val="clear"/>
        <w:tabs>
          <w:tab w:val="left" w:pos="858"/>
        </w:tabs>
        <w:spacing w:line="594" w:lineRule="exact"/>
        <w:ind w:firstLine="627" w:firstLineChars="196"/>
        <w:rPr>
          <w:rFonts w:hint="default" w:ascii="Times New Roman" w:hAnsi="Times New Roman" w:cs="Times New Roman"/>
          <w:color w:val="000000"/>
          <w:highlight w:val="none"/>
        </w:rPr>
      </w:pPr>
      <w:r>
        <w:rPr>
          <w:rFonts w:hint="default" w:ascii="Times New Roman" w:hAnsi="Times New Roman" w:cs="Times New Roman"/>
          <w:color w:val="000000"/>
          <w:highlight w:val="none"/>
        </w:rPr>
        <w:t>（三）建立</w:t>
      </w:r>
      <w:bookmarkStart w:id="44" w:name="OLE_LINK41"/>
      <w:r>
        <w:rPr>
          <w:rFonts w:hint="default" w:ascii="Times New Roman" w:hAnsi="Times New Roman" w:cs="Times New Roman"/>
          <w:color w:val="000000"/>
          <w:highlight w:val="none"/>
        </w:rPr>
        <w:t>生产设备管理制度</w:t>
      </w:r>
      <w:bookmarkEnd w:id="44"/>
      <w:r>
        <w:rPr>
          <w:rFonts w:hint="eastAsia" w:ascii="Times New Roman" w:hAnsi="Times New Roman" w:cs="Times New Roman"/>
          <w:color w:val="000000"/>
          <w:highlight w:val="none"/>
          <w:lang w:eastAsia="zh-CN"/>
        </w:rPr>
        <w:t>。</w:t>
      </w:r>
      <w:r>
        <w:rPr>
          <w:rFonts w:hint="default" w:ascii="Times New Roman" w:hAnsi="Times New Roman" w:cs="Times New Roman"/>
          <w:color w:val="000000"/>
          <w:highlight w:val="none"/>
        </w:rPr>
        <w:t>设备台账、说明书、档案应保管齐全</w:t>
      </w:r>
      <w:r>
        <w:rPr>
          <w:rFonts w:hint="eastAsia" w:ascii="Times New Roman" w:hAnsi="Times New Roman" w:cs="Times New Roman"/>
          <w:color w:val="000000"/>
          <w:highlight w:val="none"/>
          <w:lang w:eastAsia="zh-CN"/>
        </w:rPr>
        <w:t>。应</w:t>
      </w:r>
      <w:r>
        <w:rPr>
          <w:rFonts w:hint="default" w:ascii="Times New Roman" w:hAnsi="Times New Roman" w:cs="Times New Roman"/>
          <w:color w:val="000000"/>
          <w:highlight w:val="none"/>
        </w:rPr>
        <w:t>制定设备使用、清洁、维护和维修的操作规程，并保存相应记录，确保各项性能满足工艺要求。</w:t>
      </w:r>
    </w:p>
    <w:p>
      <w:pPr>
        <w:shd w:val="clear"/>
        <w:autoSpaceDE w:val="0"/>
        <w:autoSpaceDN w:val="0"/>
        <w:adjustRightInd w:val="0"/>
        <w:spacing w:line="594" w:lineRule="exact"/>
        <w:ind w:right="-197" w:rightChars="-94" w:firstLine="640" w:firstLineChars="2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（四）建立并执行文件管理制度。对文件进行有效管理，确保各相关场所使用的文件均为有效版本。</w:t>
      </w:r>
    </w:p>
    <w:bookmarkEnd w:id="43"/>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（五）委托生产企业应建立食品安全管理制度，按照《食品委托生产监督管理办法》要求，制定《食品安全总监职责》《食品安全员守则》等，严格落实食品安全主体责任。</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（六）鼓励企业采用信息化方式记录生产过程，采用计算机系统及网络技术对上述记录进行数据采集和管理。</w:t>
      </w:r>
    </w:p>
    <w:p>
      <w:pPr>
        <w:pStyle w:val="5"/>
        <w:shd w:val="clear"/>
        <w:spacing w:before="0" w:after="0" w:line="594" w:lineRule="exact"/>
        <w:jc w:val="center"/>
        <w:rPr>
          <w:rFonts w:hint="default" w:ascii="Times New Roman" w:hAnsi="Times New Roman" w:cs="Times New Roman"/>
          <w:b w:val="0"/>
          <w:bCs w:val="0"/>
          <w:color w:val="000000"/>
          <w:szCs w:val="24"/>
          <w:highlight w:val="none"/>
        </w:rPr>
      </w:pPr>
    </w:p>
    <w:p>
      <w:pPr>
        <w:pStyle w:val="5"/>
        <w:shd w:val="clear"/>
        <w:spacing w:before="0" w:after="0" w:line="594" w:lineRule="exact"/>
        <w:jc w:val="center"/>
        <w:rPr>
          <w:rFonts w:hint="default" w:ascii="Times New Roman" w:hAnsi="Times New Roman" w:cs="Times New Roman"/>
          <w:b w:val="0"/>
          <w:bCs w:val="0"/>
          <w:color w:val="000000"/>
          <w:szCs w:val="24"/>
          <w:highlight w:val="none"/>
        </w:rPr>
      </w:pPr>
      <w:r>
        <w:rPr>
          <w:rFonts w:hint="default" w:ascii="Times New Roman" w:hAnsi="Times New Roman" w:cs="Times New Roman"/>
          <w:b w:val="0"/>
          <w:bCs w:val="0"/>
          <w:color w:val="000000"/>
          <w:szCs w:val="24"/>
          <w:highlight w:val="none"/>
        </w:rPr>
        <w:t>第七章 试制产品检验</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第四十</w:t>
      </w:r>
      <w:r>
        <w:rPr>
          <w:rFonts w:hint="eastAsia" w:eastAsia="黑体" w:cs="Times New Roman"/>
          <w:color w:val="000000"/>
          <w:sz w:val="32"/>
          <w:highlight w:val="none"/>
          <w:lang w:eastAsia="zh-CN"/>
        </w:rPr>
        <w:t>五</w:t>
      </w:r>
      <w:r>
        <w:rPr>
          <w:rFonts w:hint="default" w:ascii="Times New Roman" w:hAnsi="Times New Roman" w:eastAsia="黑体" w:cs="Times New Roman"/>
          <w:color w:val="000000"/>
          <w:sz w:val="32"/>
          <w:highlight w:val="none"/>
        </w:rPr>
        <w:t>条</w:t>
      </w:r>
      <w:r>
        <w:rPr>
          <w:rFonts w:hint="default" w:ascii="Times New Roman" w:hAnsi="Times New Roman" w:cs="Times New Roman"/>
          <w:color w:val="000000"/>
          <w:sz w:val="32"/>
          <w:highlight w:val="none"/>
        </w:rPr>
        <w:t xml:space="preserve"> </w:t>
      </w:r>
      <w:r>
        <w:rPr>
          <w:rFonts w:hint="default" w:ascii="Times New Roman" w:hAnsi="Times New Roman" w:eastAsia="仿宋_GB2312" w:cs="Times New Roman"/>
          <w:color w:val="000000"/>
          <w:sz w:val="32"/>
          <w:highlight w:val="none"/>
        </w:rPr>
        <w:t>企业应按所申报食糖类别和执行标准，提供同一品种、同一批次的试制产品检验合格报告，企业应对检验报告真实性负责。</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黑体" w:cs="Times New Roman"/>
          <w:color w:val="000000"/>
          <w:sz w:val="32"/>
          <w:highlight w:val="none"/>
        </w:rPr>
        <w:t>第四十</w:t>
      </w:r>
      <w:r>
        <w:rPr>
          <w:rFonts w:hint="eastAsia" w:eastAsia="黑体" w:cs="Times New Roman"/>
          <w:color w:val="000000"/>
          <w:sz w:val="32"/>
          <w:highlight w:val="none"/>
          <w:lang w:eastAsia="zh-CN"/>
        </w:rPr>
        <w:t>六</w:t>
      </w:r>
      <w:r>
        <w:rPr>
          <w:rFonts w:hint="default" w:ascii="Times New Roman" w:hAnsi="Times New Roman" w:eastAsia="黑体" w:cs="Times New Roman"/>
          <w:color w:val="000000"/>
          <w:sz w:val="32"/>
          <w:highlight w:val="none"/>
        </w:rPr>
        <w:t>条</w:t>
      </w:r>
      <w:r>
        <w:rPr>
          <w:rFonts w:hint="default" w:ascii="Times New Roman" w:hAnsi="Times New Roman" w:cs="Times New Roman"/>
          <w:color w:val="000000"/>
          <w:sz w:val="32"/>
          <w:highlight w:val="none"/>
        </w:rPr>
        <w:t xml:space="preserve"> </w:t>
      </w:r>
      <w:r>
        <w:rPr>
          <w:rFonts w:hint="default" w:ascii="Times New Roman" w:hAnsi="Times New Roman" w:eastAsia="仿宋_GB2312" w:cs="Times New Roman"/>
          <w:color w:val="000000"/>
          <w:sz w:val="32"/>
          <w:highlight w:val="none"/>
        </w:rPr>
        <w:t>检验项目应符合相应的食品安全国家标准及企业明示的产品执行标准，包括国家标准、行业标准、地方标准、团体标准、企业标准及国务院卫生行政部门相关公告。</w:t>
      </w:r>
    </w:p>
    <w:p>
      <w:pPr>
        <w:widowControl/>
        <w:shd w:val="clear"/>
        <w:spacing w:line="594" w:lineRule="exact"/>
        <w:ind w:firstLine="645"/>
        <w:textAlignment w:val="baseline"/>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食糖生产涉及的主要标准参见附件1，食糖涉及的检验项目与方法参见附件2</w:t>
      </w:r>
      <w:r>
        <w:rPr>
          <w:rFonts w:hint="eastAsia"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10。</w:t>
      </w:r>
    </w:p>
    <w:p>
      <w:pPr>
        <w:pStyle w:val="10"/>
        <w:shd w:val="clear"/>
        <w:tabs>
          <w:tab w:val="left" w:pos="858"/>
        </w:tabs>
        <w:spacing w:line="594" w:lineRule="exact"/>
        <w:ind w:firstLine="640" w:firstLineChars="200"/>
        <w:rPr>
          <w:rFonts w:hint="default" w:ascii="Times New Roman" w:hAnsi="Times New Roman" w:cs="Times New Roman"/>
          <w:color w:val="000000"/>
          <w:highlight w:val="none"/>
        </w:rPr>
      </w:pPr>
    </w:p>
    <w:p>
      <w:pPr>
        <w:pStyle w:val="5"/>
        <w:shd w:val="clear"/>
        <w:spacing w:before="0" w:after="0" w:line="594" w:lineRule="exact"/>
        <w:jc w:val="center"/>
        <w:rPr>
          <w:rFonts w:hint="default" w:ascii="Times New Roman" w:hAnsi="Times New Roman" w:cs="Times New Roman"/>
          <w:b w:val="0"/>
          <w:bCs w:val="0"/>
          <w:color w:val="000000"/>
          <w:szCs w:val="24"/>
          <w:highlight w:val="none"/>
        </w:rPr>
      </w:pPr>
      <w:r>
        <w:rPr>
          <w:rFonts w:hint="default" w:ascii="Times New Roman" w:hAnsi="Times New Roman" w:cs="Times New Roman"/>
          <w:b w:val="0"/>
          <w:bCs w:val="0"/>
          <w:color w:val="000000"/>
          <w:szCs w:val="24"/>
          <w:highlight w:val="none"/>
        </w:rPr>
        <w:t>第八章 附 则</w:t>
      </w:r>
    </w:p>
    <w:p>
      <w:pPr>
        <w:pStyle w:val="10"/>
        <w:shd w:val="clear"/>
        <w:spacing w:line="594" w:lineRule="exact"/>
        <w:ind w:firstLine="640" w:firstLineChars="200"/>
        <w:rPr>
          <w:rFonts w:hint="default" w:ascii="Times New Roman" w:hAnsi="Times New Roman" w:cs="Times New Roman"/>
          <w:color w:val="000000"/>
          <w:highlight w:val="none"/>
        </w:rPr>
      </w:pPr>
      <w:r>
        <w:rPr>
          <w:rFonts w:hint="default" w:ascii="Times New Roman" w:hAnsi="Times New Roman" w:eastAsia="黑体" w:cs="Times New Roman"/>
          <w:color w:val="000000"/>
          <w:highlight w:val="none"/>
        </w:rPr>
        <w:t>第四十</w:t>
      </w:r>
      <w:r>
        <w:rPr>
          <w:rFonts w:hint="eastAsia" w:ascii="Times New Roman" w:hAnsi="Times New Roman" w:eastAsia="黑体" w:cs="Times New Roman"/>
          <w:color w:val="000000"/>
          <w:highlight w:val="none"/>
          <w:lang w:eastAsia="zh-CN"/>
        </w:rPr>
        <w:t>七</w:t>
      </w:r>
      <w:r>
        <w:rPr>
          <w:rFonts w:hint="default" w:ascii="Times New Roman" w:hAnsi="Times New Roman" w:eastAsia="黑体" w:cs="Times New Roman"/>
          <w:color w:val="000000"/>
          <w:highlight w:val="none"/>
        </w:rPr>
        <w:t>条</w:t>
      </w:r>
      <w:r>
        <w:rPr>
          <w:rFonts w:hint="default" w:ascii="Times New Roman" w:hAnsi="Times New Roman" w:eastAsia="宋体" w:cs="Times New Roman"/>
          <w:color w:val="000000"/>
          <w:kern w:val="0"/>
          <w:szCs w:val="21"/>
          <w:highlight w:val="none"/>
        </w:rPr>
        <w:t xml:space="preserve"> </w:t>
      </w:r>
      <w:r>
        <w:rPr>
          <w:rFonts w:hint="default" w:ascii="Times New Roman" w:hAnsi="Times New Roman" w:cs="Times New Roman"/>
          <w:color w:val="000000"/>
          <w:highlight w:val="none"/>
        </w:rPr>
        <w:t>制糖生产线须符合国家发展</w:t>
      </w:r>
      <w:r>
        <w:rPr>
          <w:rFonts w:hint="eastAsia" w:ascii="Times New Roman" w:hAnsi="Times New Roman" w:cs="Times New Roman"/>
          <w:color w:val="000000"/>
          <w:highlight w:val="none"/>
          <w:lang w:eastAsia="zh-CN"/>
        </w:rPr>
        <w:t>和</w:t>
      </w:r>
      <w:r>
        <w:rPr>
          <w:rFonts w:hint="default" w:ascii="Times New Roman" w:hAnsi="Times New Roman" w:cs="Times New Roman"/>
          <w:color w:val="000000"/>
          <w:highlight w:val="none"/>
        </w:rPr>
        <w:t>改革委员会发布的《产业结构调整指导目录》的规定。</w:t>
      </w:r>
    </w:p>
    <w:p>
      <w:pPr>
        <w:pStyle w:val="10"/>
        <w:shd w:val="clear"/>
        <w:spacing w:line="594" w:lineRule="exact"/>
        <w:ind w:firstLine="640" w:firstLineChars="200"/>
        <w:rPr>
          <w:rFonts w:hint="default" w:ascii="Times New Roman" w:hAnsi="Times New Roman" w:eastAsia="宋体" w:cs="Times New Roman"/>
          <w:color w:val="000000"/>
          <w:kern w:val="0"/>
          <w:szCs w:val="21"/>
          <w:highlight w:val="none"/>
        </w:rPr>
      </w:pPr>
      <w:r>
        <w:rPr>
          <w:rFonts w:hint="default" w:ascii="Times New Roman" w:hAnsi="Times New Roman" w:eastAsia="黑体" w:cs="Times New Roman"/>
          <w:color w:val="000000"/>
          <w:highlight w:val="none"/>
        </w:rPr>
        <w:t>第四十</w:t>
      </w:r>
      <w:r>
        <w:rPr>
          <w:rFonts w:hint="eastAsia" w:ascii="Times New Roman" w:hAnsi="Times New Roman" w:eastAsia="黑体" w:cs="Times New Roman"/>
          <w:color w:val="000000"/>
          <w:highlight w:val="none"/>
          <w:lang w:eastAsia="zh-CN"/>
        </w:rPr>
        <w:t>八</w:t>
      </w:r>
      <w:r>
        <w:rPr>
          <w:rFonts w:hint="default" w:ascii="Times New Roman" w:hAnsi="Times New Roman" w:eastAsia="黑体" w:cs="Times New Roman"/>
          <w:color w:val="000000"/>
          <w:highlight w:val="none"/>
        </w:rPr>
        <w:t xml:space="preserve">条 </w:t>
      </w:r>
      <w:r>
        <w:rPr>
          <w:rFonts w:hint="default" w:ascii="Times New Roman" w:hAnsi="Times New Roman" w:cs="Times New Roman"/>
          <w:color w:val="000000"/>
          <w:highlight w:val="none"/>
        </w:rPr>
        <w:t>《细则》由国家市场监督管理总局负责解释。</w:t>
      </w:r>
    </w:p>
    <w:p>
      <w:pPr>
        <w:pStyle w:val="10"/>
        <w:shd w:val="clear"/>
        <w:spacing w:line="594" w:lineRule="exact"/>
        <w:ind w:firstLine="640" w:firstLineChars="200"/>
        <w:rPr>
          <w:rFonts w:hint="default" w:ascii="Times New Roman" w:hAnsi="Times New Roman" w:cs="Times New Roman"/>
          <w:color w:val="000000"/>
          <w:highlight w:val="none"/>
        </w:rPr>
      </w:pPr>
      <w:bookmarkStart w:id="45" w:name="OLE_LINK17"/>
      <w:r>
        <w:rPr>
          <w:rFonts w:hint="default" w:ascii="Times New Roman" w:hAnsi="Times New Roman" w:eastAsia="黑体" w:cs="Times New Roman"/>
          <w:color w:val="000000"/>
          <w:highlight w:val="none"/>
        </w:rPr>
        <w:t>第四十</w:t>
      </w:r>
      <w:r>
        <w:rPr>
          <w:rFonts w:hint="eastAsia" w:ascii="Times New Roman" w:hAnsi="Times New Roman" w:eastAsia="黑体" w:cs="Times New Roman"/>
          <w:color w:val="000000"/>
          <w:highlight w:val="none"/>
          <w:lang w:eastAsia="zh-CN"/>
        </w:rPr>
        <w:t>九</w:t>
      </w:r>
      <w:r>
        <w:rPr>
          <w:rFonts w:hint="default" w:ascii="Times New Roman" w:hAnsi="Times New Roman" w:eastAsia="黑体" w:cs="Times New Roman"/>
          <w:color w:val="000000"/>
          <w:highlight w:val="none"/>
        </w:rPr>
        <w:t>条</w:t>
      </w:r>
      <w:r>
        <w:rPr>
          <w:rFonts w:hint="default" w:ascii="Times New Roman" w:hAnsi="Times New Roman" w:eastAsia="宋体" w:cs="Times New Roman"/>
          <w:color w:val="000000"/>
          <w:kern w:val="0"/>
          <w:szCs w:val="21"/>
          <w:highlight w:val="none"/>
        </w:rPr>
        <w:t xml:space="preserve"> </w:t>
      </w:r>
      <w:r>
        <w:rPr>
          <w:rFonts w:hint="default" w:ascii="Times New Roman" w:hAnsi="Times New Roman" w:cs="Times New Roman"/>
          <w:color w:val="000000"/>
          <w:highlight w:val="none"/>
        </w:rPr>
        <w:t>《细则》自XXXX年XX月XX日起实施，原《糖生产许可证审查细则（2006版）》同时废止。</w:t>
      </w:r>
    </w:p>
    <w:bookmarkEnd w:id="45"/>
    <w:p>
      <w:pPr>
        <w:shd w:val="clear"/>
        <w:spacing w:line="360" w:lineRule="auto"/>
        <w:ind w:firstLine="640" w:firstLineChars="200"/>
        <w:jc w:val="left"/>
        <w:rPr>
          <w:rFonts w:hint="default" w:ascii="Times New Roman" w:hAnsi="Times New Roman" w:eastAsia="仿宋_GB2312" w:cs="Times New Roman"/>
          <w:color w:val="000000"/>
          <w:sz w:val="32"/>
          <w:highlight w:val="none"/>
        </w:rPr>
      </w:pPr>
      <w:bookmarkStart w:id="46" w:name="OLE_LINK79"/>
      <w:bookmarkStart w:id="47" w:name="_Hlk223615925"/>
    </w:p>
    <w:p>
      <w:pPr>
        <w:shd w:val="clear"/>
        <w:spacing w:line="360" w:lineRule="auto"/>
        <w:ind w:firstLine="640" w:firstLineChars="200"/>
        <w:jc w:val="left"/>
        <w:rPr>
          <w:rFonts w:hint="default" w:ascii="Times New Roman" w:hAnsi="Times New Roman" w:eastAsia="仿宋_GB2312" w:cs="Times New Roman"/>
          <w:b w:val="0"/>
          <w:bCs w:val="0"/>
          <w:color w:val="000000"/>
          <w:kern w:val="2"/>
          <w:sz w:val="32"/>
          <w:szCs w:val="24"/>
          <w:highlight w:val="none"/>
        </w:rPr>
      </w:pPr>
      <w:r>
        <w:rPr>
          <w:rFonts w:hint="default" w:ascii="Times New Roman" w:hAnsi="Times New Roman" w:eastAsia="仿宋_GB2312" w:cs="Times New Roman"/>
          <w:color w:val="000000"/>
          <w:sz w:val="32"/>
          <w:highlight w:val="none"/>
        </w:rPr>
        <w:t>附件：</w:t>
      </w:r>
      <w:r>
        <w:rPr>
          <w:rFonts w:hint="default" w:ascii="Times New Roman" w:hAnsi="Times New Roman" w:eastAsia="仿宋_GB2312" w:cs="Times New Roman"/>
          <w:b w:val="0"/>
          <w:bCs w:val="0"/>
          <w:color w:val="000000"/>
          <w:kern w:val="2"/>
          <w:sz w:val="32"/>
          <w:szCs w:val="24"/>
          <w:highlight w:val="none"/>
        </w:rPr>
        <w:t>1</w:t>
      </w:r>
      <w:r>
        <w:rPr>
          <w:rFonts w:hint="default" w:ascii="Times New Roman" w:hAnsi="Times New Roman" w:eastAsia="仿宋_GB2312" w:cs="Times New Roman"/>
          <w:b w:val="0"/>
          <w:bCs w:val="0"/>
          <w:color w:val="000000"/>
          <w:kern w:val="2"/>
          <w:sz w:val="32"/>
          <w:szCs w:val="24"/>
          <w:highlight w:val="none"/>
          <w:lang w:val="en-US" w:eastAsia="zh-CN"/>
        </w:rPr>
        <w:t>.</w:t>
      </w:r>
      <w:r>
        <w:rPr>
          <w:rFonts w:hint="default" w:ascii="Times New Roman" w:hAnsi="Times New Roman" w:eastAsia="仿宋_GB2312" w:cs="Times New Roman"/>
          <w:b w:val="0"/>
          <w:bCs w:val="0"/>
          <w:color w:val="000000"/>
          <w:kern w:val="2"/>
          <w:sz w:val="32"/>
          <w:szCs w:val="24"/>
          <w:highlight w:val="none"/>
        </w:rPr>
        <w:t>食糖生产涉及的主要标准</w:t>
      </w:r>
    </w:p>
    <w:p>
      <w:pPr>
        <w:shd w:val="clear"/>
        <w:spacing w:line="360" w:lineRule="auto"/>
        <w:ind w:firstLine="1600" w:firstLineChars="5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2</w:t>
      </w:r>
      <w:r>
        <w:rPr>
          <w:rFonts w:hint="eastAsia" w:eastAsia="仿宋_GB2312" w:cs="Times New Roman"/>
          <w:color w:val="000000"/>
          <w:sz w:val="32"/>
          <w:highlight w:val="none"/>
          <w:lang w:val="en-US" w:eastAsia="zh-CN"/>
        </w:rPr>
        <w:t>.</w:t>
      </w:r>
      <w:r>
        <w:rPr>
          <w:rFonts w:hint="default" w:ascii="Times New Roman" w:hAnsi="Times New Roman" w:eastAsia="仿宋_GB2312" w:cs="Times New Roman"/>
          <w:color w:val="000000"/>
          <w:sz w:val="32"/>
          <w:highlight w:val="none"/>
        </w:rPr>
        <w:t>白砂糖涉及的检验项目与方法</w:t>
      </w:r>
    </w:p>
    <w:p>
      <w:pPr>
        <w:shd w:val="clear"/>
        <w:spacing w:line="360" w:lineRule="auto"/>
        <w:ind w:firstLine="1600" w:firstLineChars="5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3</w:t>
      </w:r>
      <w:r>
        <w:rPr>
          <w:rFonts w:hint="eastAsia" w:eastAsia="仿宋_GB2312" w:cs="Times New Roman"/>
          <w:color w:val="000000"/>
          <w:sz w:val="32"/>
          <w:highlight w:val="none"/>
          <w:lang w:val="en-US" w:eastAsia="zh-CN"/>
        </w:rPr>
        <w:t>.</w:t>
      </w:r>
      <w:r>
        <w:rPr>
          <w:rFonts w:hint="default" w:ascii="Times New Roman" w:hAnsi="Times New Roman" w:eastAsia="仿宋_GB2312" w:cs="Times New Roman"/>
          <w:color w:val="000000"/>
          <w:sz w:val="32"/>
          <w:highlight w:val="none"/>
        </w:rPr>
        <w:t>绵白糖涉及的检验项目与方法</w:t>
      </w:r>
    </w:p>
    <w:p>
      <w:pPr>
        <w:shd w:val="clear"/>
        <w:spacing w:line="360" w:lineRule="auto"/>
        <w:ind w:firstLine="1600" w:firstLineChars="5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4</w:t>
      </w:r>
      <w:r>
        <w:rPr>
          <w:rFonts w:hint="eastAsia" w:eastAsia="仿宋_GB2312" w:cs="Times New Roman"/>
          <w:color w:val="000000"/>
          <w:sz w:val="32"/>
          <w:highlight w:val="none"/>
          <w:lang w:val="en-US" w:eastAsia="zh-CN"/>
        </w:rPr>
        <w:t>.</w:t>
      </w:r>
      <w:r>
        <w:rPr>
          <w:rFonts w:hint="default" w:ascii="Times New Roman" w:hAnsi="Times New Roman" w:eastAsia="仿宋_GB2312" w:cs="Times New Roman"/>
          <w:color w:val="000000"/>
          <w:sz w:val="32"/>
          <w:highlight w:val="none"/>
        </w:rPr>
        <w:t>赤砂糖涉及的检验项目与方法</w:t>
      </w:r>
    </w:p>
    <w:p>
      <w:pPr>
        <w:shd w:val="clear"/>
        <w:spacing w:line="360" w:lineRule="auto"/>
        <w:ind w:firstLine="1600" w:firstLineChars="5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5</w:t>
      </w:r>
      <w:r>
        <w:rPr>
          <w:rFonts w:hint="eastAsia" w:eastAsia="仿宋_GB2312" w:cs="Times New Roman"/>
          <w:color w:val="000000"/>
          <w:sz w:val="32"/>
          <w:highlight w:val="none"/>
          <w:lang w:val="en-US" w:eastAsia="zh-CN"/>
        </w:rPr>
        <w:t>.</w:t>
      </w:r>
      <w:r>
        <w:rPr>
          <w:rFonts w:hint="default" w:ascii="Times New Roman" w:hAnsi="Times New Roman" w:eastAsia="仿宋_GB2312" w:cs="Times New Roman"/>
          <w:color w:val="000000"/>
          <w:sz w:val="32"/>
          <w:highlight w:val="none"/>
        </w:rPr>
        <w:t>冰糖涉及的检验项目与方法</w:t>
      </w:r>
    </w:p>
    <w:p>
      <w:pPr>
        <w:shd w:val="clear"/>
        <w:spacing w:line="360" w:lineRule="auto"/>
        <w:ind w:firstLine="1600" w:firstLineChars="5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6</w:t>
      </w:r>
      <w:r>
        <w:rPr>
          <w:rFonts w:hint="eastAsia" w:eastAsia="仿宋_GB2312" w:cs="Times New Roman"/>
          <w:color w:val="000000"/>
          <w:sz w:val="32"/>
          <w:highlight w:val="none"/>
          <w:lang w:val="en-US" w:eastAsia="zh-CN"/>
        </w:rPr>
        <w:t>.</w:t>
      </w:r>
      <w:r>
        <w:rPr>
          <w:rFonts w:hint="default" w:ascii="Times New Roman" w:hAnsi="Times New Roman" w:eastAsia="仿宋_GB2312" w:cs="Times New Roman"/>
          <w:color w:val="000000"/>
          <w:sz w:val="32"/>
          <w:highlight w:val="none"/>
        </w:rPr>
        <w:t>方糖涉及的检验项目与方法</w:t>
      </w:r>
    </w:p>
    <w:p>
      <w:pPr>
        <w:shd w:val="clear"/>
        <w:spacing w:line="360" w:lineRule="auto"/>
        <w:ind w:firstLine="1600" w:firstLineChars="5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7</w:t>
      </w:r>
      <w:r>
        <w:rPr>
          <w:rFonts w:hint="eastAsia" w:eastAsia="仿宋_GB2312" w:cs="Times New Roman"/>
          <w:color w:val="000000"/>
          <w:sz w:val="32"/>
          <w:highlight w:val="none"/>
          <w:lang w:val="en-US" w:eastAsia="zh-CN"/>
        </w:rPr>
        <w:t>.</w:t>
      </w:r>
      <w:r>
        <w:rPr>
          <w:rFonts w:hint="default" w:ascii="Times New Roman" w:hAnsi="Times New Roman" w:eastAsia="仿宋_GB2312" w:cs="Times New Roman"/>
          <w:color w:val="000000"/>
          <w:sz w:val="32"/>
          <w:highlight w:val="none"/>
        </w:rPr>
        <w:t>冰片糖涉及的检验项目与方法</w:t>
      </w:r>
    </w:p>
    <w:p>
      <w:pPr>
        <w:shd w:val="clear"/>
        <w:spacing w:line="360" w:lineRule="auto"/>
        <w:ind w:firstLine="1600" w:firstLineChars="5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8</w:t>
      </w:r>
      <w:r>
        <w:rPr>
          <w:rFonts w:hint="eastAsia" w:eastAsia="仿宋_GB2312" w:cs="Times New Roman"/>
          <w:color w:val="000000"/>
          <w:sz w:val="32"/>
          <w:highlight w:val="none"/>
          <w:lang w:val="en-US" w:eastAsia="zh-CN"/>
        </w:rPr>
        <w:t>.</w:t>
      </w:r>
      <w:r>
        <w:rPr>
          <w:rFonts w:hint="default" w:ascii="Times New Roman" w:hAnsi="Times New Roman" w:eastAsia="仿宋_GB2312" w:cs="Times New Roman"/>
          <w:color w:val="000000"/>
          <w:sz w:val="32"/>
          <w:highlight w:val="none"/>
        </w:rPr>
        <w:t>红糖涉及的检验项目与方法</w:t>
      </w:r>
    </w:p>
    <w:p>
      <w:pPr>
        <w:shd w:val="clear"/>
        <w:spacing w:line="360" w:lineRule="auto"/>
        <w:ind w:firstLine="1600" w:firstLineChars="5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9</w:t>
      </w:r>
      <w:r>
        <w:rPr>
          <w:rFonts w:hint="eastAsia" w:eastAsia="仿宋_GB2312" w:cs="Times New Roman"/>
          <w:color w:val="000000"/>
          <w:sz w:val="32"/>
          <w:highlight w:val="none"/>
          <w:lang w:val="en-US" w:eastAsia="zh-CN"/>
        </w:rPr>
        <w:t>.</w:t>
      </w:r>
      <w:r>
        <w:rPr>
          <w:rFonts w:hint="default" w:ascii="Times New Roman" w:hAnsi="Times New Roman" w:eastAsia="仿宋_GB2312" w:cs="Times New Roman"/>
          <w:color w:val="000000"/>
          <w:sz w:val="32"/>
          <w:highlight w:val="none"/>
        </w:rPr>
        <w:t>液体糖涉及的检验项目与方法</w:t>
      </w:r>
    </w:p>
    <w:p>
      <w:pPr>
        <w:shd w:val="clear"/>
        <w:spacing w:line="360" w:lineRule="auto"/>
        <w:ind w:firstLine="1600" w:firstLineChars="500"/>
        <w:jc w:val="left"/>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color w:val="000000"/>
          <w:sz w:val="32"/>
          <w:highlight w:val="none"/>
        </w:rPr>
        <w:t>10</w:t>
      </w:r>
      <w:r>
        <w:rPr>
          <w:rFonts w:hint="eastAsia" w:eastAsia="仿宋_GB2312" w:cs="Times New Roman"/>
          <w:color w:val="000000"/>
          <w:sz w:val="32"/>
          <w:highlight w:val="none"/>
          <w:lang w:val="en-US" w:eastAsia="zh-CN"/>
        </w:rPr>
        <w:t>.</w:t>
      </w:r>
      <w:r>
        <w:rPr>
          <w:rFonts w:hint="default" w:ascii="Times New Roman" w:hAnsi="Times New Roman" w:eastAsia="仿宋_GB2312" w:cs="Times New Roman"/>
          <w:color w:val="000000"/>
          <w:sz w:val="32"/>
          <w:highlight w:val="none"/>
        </w:rPr>
        <w:t>其他糖涉及的检验项目与方法</w:t>
      </w:r>
    </w:p>
    <w:bookmarkEnd w:id="46"/>
    <w:p>
      <w:pPr>
        <w:shd w:val="clear"/>
        <w:rPr>
          <w:rFonts w:hint="default" w:ascii="Times New Roman" w:hAnsi="Times New Roman" w:eastAsia="黑体" w:cs="Times New Roman"/>
          <w:color w:val="000000"/>
          <w:highlight w:val="none"/>
        </w:rPr>
      </w:pPr>
      <w:r>
        <w:rPr>
          <w:rFonts w:hint="default" w:ascii="Times New Roman" w:hAnsi="Times New Roman" w:eastAsia="黑体" w:cs="Times New Roman"/>
          <w:color w:val="000000"/>
          <w:highlight w:val="none"/>
        </w:rPr>
        <w:br w:type="page"/>
      </w:r>
    </w:p>
    <w:p>
      <w:pPr>
        <w:pStyle w:val="10"/>
        <w:shd w:val="clear"/>
        <w:spacing w:line="360" w:lineRule="auto"/>
        <w:jc w:val="left"/>
        <w:rPr>
          <w:rFonts w:hint="default" w:ascii="Times New Roman" w:hAnsi="Times New Roman" w:eastAsia="黑体" w:cs="Times New Roman"/>
          <w:color w:val="000000"/>
          <w:highlight w:val="none"/>
        </w:rPr>
      </w:pPr>
      <w:r>
        <w:rPr>
          <w:rFonts w:hint="default" w:ascii="Times New Roman" w:hAnsi="Times New Roman" w:eastAsia="黑体" w:cs="Times New Roman"/>
          <w:color w:val="000000"/>
          <w:highlight w:val="none"/>
        </w:rPr>
        <w:t>附件1</w:t>
      </w:r>
    </w:p>
    <w:p>
      <w:pPr>
        <w:pStyle w:val="10"/>
        <w:shd w:val="clear"/>
        <w:spacing w:line="360" w:lineRule="auto"/>
        <w:jc w:val="center"/>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000000"/>
          <w:sz w:val="44"/>
          <w:szCs w:val="44"/>
          <w:highlight w:val="none"/>
        </w:rPr>
        <w:t>食糖生产涉及的主要标准</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2097"/>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黑体" w:cs="Times New Roman"/>
                <w:color w:val="000000"/>
                <w:kern w:val="0"/>
                <w:sz w:val="24"/>
                <w:highlight w:val="none"/>
                <w:u w:val="single"/>
              </w:rPr>
            </w:pPr>
            <w:r>
              <w:rPr>
                <w:rFonts w:hint="default" w:ascii="Times New Roman" w:hAnsi="Times New Roman" w:eastAsia="黑体" w:cs="Times New Roman"/>
                <w:color w:val="000000"/>
                <w:kern w:val="0"/>
                <w:sz w:val="24"/>
                <w:highlight w:val="none"/>
              </w:rPr>
              <w:t>序号</w:t>
            </w:r>
          </w:p>
        </w:tc>
        <w:tc>
          <w:tcPr>
            <w:tcW w:w="1143" w:type="pct"/>
            <w:tcBorders>
              <w:top w:val="single" w:color="auto" w:sz="4" w:space="0"/>
              <w:left w:val="single" w:color="auto" w:sz="4" w:space="0"/>
              <w:bottom w:val="single" w:color="auto" w:sz="4" w:space="0"/>
              <w:right w:val="single" w:color="auto" w:sz="4" w:space="0"/>
            </w:tcBorders>
            <w:shd w:val="clear" w:color="000000" w:fill="FFFFFF"/>
            <w:vAlign w:val="center"/>
          </w:tcPr>
          <w:p>
            <w:pPr>
              <w:shd w:val="clear"/>
              <w:adjustRightInd w:val="0"/>
              <w:snapToGrid w:val="0"/>
              <w:spacing w:line="360" w:lineRule="exact"/>
              <w:jc w:val="center"/>
              <w:rPr>
                <w:rFonts w:hint="default" w:ascii="Times New Roman" w:hAnsi="Times New Roman" w:eastAsia="黑体" w:cs="Times New Roman"/>
                <w:color w:val="000000"/>
                <w:kern w:val="0"/>
                <w:sz w:val="24"/>
                <w:highlight w:val="none"/>
                <w:u w:val="single"/>
              </w:rPr>
            </w:pPr>
            <w:r>
              <w:rPr>
                <w:rFonts w:hint="default" w:ascii="Times New Roman" w:hAnsi="Times New Roman" w:eastAsia="黑体" w:cs="Times New Roman"/>
                <w:color w:val="000000"/>
                <w:kern w:val="0"/>
                <w:sz w:val="24"/>
                <w:highlight w:val="none"/>
              </w:rPr>
              <w:t>标准号</w:t>
            </w:r>
          </w:p>
        </w:tc>
        <w:tc>
          <w:tcPr>
            <w:tcW w:w="3400" w:type="pct"/>
            <w:tcBorders>
              <w:top w:val="single" w:color="auto" w:sz="4" w:space="0"/>
              <w:left w:val="single" w:color="auto" w:sz="4" w:space="0"/>
              <w:bottom w:val="single" w:color="auto" w:sz="4" w:space="0"/>
              <w:right w:val="single" w:color="auto" w:sz="4" w:space="0"/>
            </w:tcBorders>
            <w:shd w:val="clear" w:color="000000" w:fill="FFFFFF"/>
            <w:vAlign w:val="center"/>
          </w:tcPr>
          <w:p>
            <w:pPr>
              <w:shd w:val="clear"/>
              <w:adjustRightInd w:val="0"/>
              <w:snapToGrid w:val="0"/>
              <w:spacing w:line="360" w:lineRule="exact"/>
              <w:jc w:val="center"/>
              <w:rPr>
                <w:rFonts w:hint="default" w:ascii="Times New Roman" w:hAnsi="Times New Roman" w:eastAsia="黑体" w:cs="Times New Roman"/>
                <w:color w:val="000000"/>
                <w:kern w:val="0"/>
                <w:sz w:val="24"/>
                <w:highlight w:val="none"/>
                <w:u w:val="single"/>
              </w:rPr>
            </w:pPr>
            <w:r>
              <w:rPr>
                <w:rFonts w:hint="default" w:ascii="Times New Roman" w:hAnsi="Times New Roman" w:eastAsia="黑体" w:cs="Times New Roman"/>
                <w:color w:val="000000"/>
                <w:kern w:val="0"/>
                <w:sz w:val="24"/>
                <w:highlight w:val="none"/>
              </w:rPr>
              <w:t>标准名称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sz w:val="24"/>
                <w:highlight w:val="none"/>
              </w:rPr>
              <w:t>GB 13104</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sz w:val="24"/>
                <w:highlight w:val="none"/>
              </w:rPr>
              <w:t>食品安全国家标准 食糖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2</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 2760</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食品添加剂使用标准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3</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 2762</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食品中污染物限量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4</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 7718</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预包装食品标签通则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5</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 14881</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食品生产通用卫生规范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6</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 46518</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液态食品散装运输技术规范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7</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9289</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制糖工业术语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8</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35886</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食糖分类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9</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10498</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糖料甘蔗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10</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10496</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糖料甜菜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11</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15108</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原糖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12</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317</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白砂糖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13</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1445</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绵白糖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14</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35884</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赤砂糖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15</w:t>
            </w:r>
          </w:p>
        </w:tc>
        <w:tc>
          <w:tcPr>
            <w:tcW w:w="1143" w:type="pct"/>
            <w:tcBorders>
              <w:top w:val="single" w:color="auto" w:sz="4" w:space="0"/>
              <w:left w:val="single" w:color="auto" w:sz="4" w:space="0"/>
              <w:bottom w:val="single" w:color="auto" w:sz="4" w:space="0"/>
              <w:right w:val="single" w:color="auto" w:sz="4" w:space="0"/>
            </w:tcBorders>
            <w:vAlign w:val="center"/>
          </w:tcPr>
          <w:p>
            <w:pPr>
              <w:widowControl/>
              <w:shd w:val="clear"/>
              <w:spacing w:line="270" w:lineRule="atLeas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35883</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冰糖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16</w:t>
            </w:r>
          </w:p>
        </w:tc>
        <w:tc>
          <w:tcPr>
            <w:tcW w:w="1143" w:type="pct"/>
            <w:tcBorders>
              <w:top w:val="single" w:color="auto" w:sz="4" w:space="0"/>
              <w:left w:val="single" w:color="auto" w:sz="4" w:space="0"/>
              <w:bottom w:val="single" w:color="auto" w:sz="4" w:space="0"/>
              <w:right w:val="single" w:color="auto" w:sz="4" w:space="0"/>
            </w:tcBorders>
            <w:vAlign w:val="center"/>
          </w:tcPr>
          <w:p>
            <w:pPr>
              <w:widowControl/>
              <w:shd w:val="clear"/>
              <w:spacing w:line="270" w:lineRule="atLeas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35888</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方糖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17</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GB/T 35885</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红糖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18</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2685</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冰片糖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19</w:t>
            </w:r>
          </w:p>
        </w:tc>
        <w:tc>
          <w:tcPr>
            <w:tcW w:w="1143" w:type="pct"/>
            <w:tcBorders>
              <w:top w:val="single" w:color="auto" w:sz="4" w:space="0"/>
              <w:left w:val="single" w:color="auto" w:sz="4" w:space="0"/>
              <w:bottom w:val="single" w:color="auto" w:sz="4" w:space="0"/>
              <w:right w:val="single" w:color="auto" w:sz="4" w:space="0"/>
            </w:tcBorders>
            <w:vAlign w:val="center"/>
          </w:tcPr>
          <w:p>
            <w:pPr>
              <w:widowControl/>
              <w:shd w:val="clear"/>
              <w:spacing w:line="270" w:lineRule="atLeas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4562</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块糖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20</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4563</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金砂糖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21</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4564</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精幼砂糖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22</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4565</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全糖粉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23</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4566</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黄方糖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24</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4567</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黑糖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25</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4092</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糖霜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26</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4093</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液体糖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27</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4095</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黄砂糖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2</w:t>
            </w:r>
            <w:r>
              <w:rPr>
                <w:rFonts w:hint="default" w:eastAsia="仿宋_GB2312" w:cs="Times New Roman"/>
                <w:color w:val="000000"/>
                <w:kern w:val="0"/>
                <w:sz w:val="24"/>
                <w:highlight w:val="none"/>
                <w:lang w:val="en-US"/>
              </w:rPr>
              <w:t>8</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GB 5009.12</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食品中铅的测定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lang w:val="en-US"/>
              </w:rPr>
            </w:pPr>
            <w:r>
              <w:rPr>
                <w:rFonts w:hint="default" w:eastAsia="仿宋_GB2312" w:cs="Times New Roman"/>
                <w:color w:val="000000"/>
                <w:kern w:val="0"/>
                <w:sz w:val="24"/>
                <w:highlight w:val="none"/>
                <w:lang w:val="en-US"/>
              </w:rPr>
              <w:t>29</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GB 5009.11</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食品安全国家标准 食品中总砷及无机砷的测定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3</w:t>
            </w:r>
            <w:r>
              <w:rPr>
                <w:rFonts w:hint="default" w:eastAsia="仿宋_GB2312" w:cs="Times New Roman"/>
                <w:color w:val="000000"/>
                <w:kern w:val="0"/>
                <w:sz w:val="24"/>
                <w:highlight w:val="none"/>
                <w:lang w:val="en-US"/>
              </w:rPr>
              <w:t>0</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"http://down.foodmate.net/standard/sort/3/41939.html" \t "_blank" \o "GB/T 10499-2014 糖料甘蔗试验方法（2015-2-1实施）"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kern w:val="0"/>
                <w:sz w:val="24"/>
                <w:highlight w:val="none"/>
              </w:rPr>
              <w:t>GB/T 10499</w:t>
            </w:r>
            <w:r>
              <w:rPr>
                <w:rFonts w:hint="default" w:ascii="Times New Roman" w:hAnsi="Times New Roman" w:eastAsia="仿宋_GB2312" w:cs="Times New Roman"/>
                <w:color w:val="000000"/>
                <w:kern w:val="0"/>
                <w:sz w:val="24"/>
                <w:highlight w:val="none"/>
              </w:rPr>
              <w:fldChar w:fldCharType="end"/>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糖料甘蔗试验方法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3</w:t>
            </w:r>
            <w:r>
              <w:rPr>
                <w:rFonts w:hint="default" w:eastAsia="仿宋_GB2312" w:cs="Times New Roman"/>
                <w:color w:val="000000"/>
                <w:kern w:val="0"/>
                <w:sz w:val="24"/>
                <w:highlight w:val="none"/>
                <w:lang w:val="en-US"/>
              </w:rPr>
              <w:t>1</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"http://down.foodmate.net/standard/sort/3/41939.html" \t "_blank" \o "GB/T 10499-2014 糖料甘蔗试验方法（2015-2-1实施）"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kern w:val="0"/>
                <w:sz w:val="24"/>
                <w:highlight w:val="none"/>
              </w:rPr>
              <w:t xml:space="preserve">GB/T </w:t>
            </w:r>
            <w:r>
              <w:rPr>
                <w:rFonts w:hint="default" w:ascii="Times New Roman" w:hAnsi="Times New Roman" w:eastAsia="仿宋_GB2312" w:cs="Times New Roman"/>
                <w:color w:val="000000"/>
                <w:kern w:val="0"/>
                <w:sz w:val="24"/>
                <w:highlight w:val="none"/>
              </w:rPr>
              <w:fldChar w:fldCharType="end"/>
            </w:r>
            <w:r>
              <w:rPr>
                <w:rFonts w:hint="default" w:ascii="Times New Roman" w:hAnsi="Times New Roman" w:eastAsia="仿宋_GB2312" w:cs="Times New Roman"/>
                <w:color w:val="000000"/>
                <w:kern w:val="0"/>
                <w:sz w:val="24"/>
                <w:highlight w:val="none"/>
              </w:rPr>
              <w:t>35887</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3</w:t>
            </w:r>
            <w:r>
              <w:rPr>
                <w:rFonts w:hint="default" w:eastAsia="仿宋_GB2312" w:cs="Times New Roman"/>
                <w:color w:val="000000"/>
                <w:kern w:val="0"/>
                <w:sz w:val="24"/>
                <w:highlight w:val="none"/>
                <w:lang w:val="en-US"/>
              </w:rPr>
              <w:t>2</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QB/T 5014</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糖料甜菜试验方法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3</w:t>
            </w:r>
            <w:r>
              <w:rPr>
                <w:rFonts w:hint="default" w:eastAsia="仿宋_GB2312" w:cs="Times New Roman"/>
                <w:color w:val="000000"/>
                <w:kern w:val="0"/>
                <w:sz w:val="24"/>
                <w:highlight w:val="none"/>
                <w:lang w:val="en-US"/>
              </w:rPr>
              <w:t>3</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QB/T 5010</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冰糖试验方法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3</w:t>
            </w:r>
            <w:r>
              <w:rPr>
                <w:rFonts w:hint="default" w:eastAsia="仿宋_GB2312" w:cs="Times New Roman"/>
                <w:color w:val="000000"/>
                <w:kern w:val="0"/>
                <w:sz w:val="24"/>
                <w:highlight w:val="none"/>
                <w:lang w:val="en-US"/>
              </w:rPr>
              <w:t>4</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QB/T 5011</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方糖试验方法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3</w:t>
            </w:r>
            <w:r>
              <w:rPr>
                <w:rFonts w:hint="default" w:eastAsia="仿宋_GB2312" w:cs="Times New Roman"/>
                <w:color w:val="000000"/>
                <w:kern w:val="0"/>
                <w:sz w:val="24"/>
                <w:highlight w:val="none"/>
                <w:lang w:val="en-US"/>
              </w:rPr>
              <w:t>5</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QB/T 5012</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绵白糖试验方法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6" w:type="pct"/>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exact"/>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3</w:t>
            </w:r>
            <w:r>
              <w:rPr>
                <w:rFonts w:hint="default" w:eastAsia="仿宋_GB2312" w:cs="Times New Roman"/>
                <w:color w:val="000000"/>
                <w:kern w:val="0"/>
                <w:sz w:val="24"/>
                <w:highlight w:val="none"/>
                <w:lang w:val="en-US"/>
              </w:rPr>
              <w:t>6</w:t>
            </w:r>
          </w:p>
        </w:tc>
        <w:tc>
          <w:tcPr>
            <w:tcW w:w="1143"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QB/T 8040</w:t>
            </w:r>
          </w:p>
        </w:tc>
        <w:tc>
          <w:tcPr>
            <w:tcW w:w="3400" w:type="pct"/>
            <w:tcBorders>
              <w:top w:val="single" w:color="auto" w:sz="4" w:space="0"/>
              <w:left w:val="single" w:color="auto" w:sz="4" w:space="0"/>
              <w:bottom w:val="single" w:color="auto" w:sz="4" w:space="0"/>
              <w:right w:val="single" w:color="auto" w:sz="4" w:space="0"/>
            </w:tcBorders>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赤砂糖试验方法</w:t>
            </w:r>
          </w:p>
        </w:tc>
      </w:tr>
    </w:tbl>
    <w:p>
      <w:pPr>
        <w:pStyle w:val="10"/>
        <w:shd w:val="clear"/>
        <w:rPr>
          <w:rFonts w:hint="default" w:ascii="Times New Roman" w:hAnsi="Times New Roman" w:cs="Times New Roman"/>
          <w:sz w:val="24"/>
          <w:highlight w:val="none"/>
        </w:rPr>
      </w:pPr>
      <w:r>
        <w:rPr>
          <w:rFonts w:hint="default" w:ascii="Times New Roman" w:hAnsi="Times New Roman" w:cs="Times New Roman"/>
          <w:color w:val="000000"/>
          <w:kern w:val="0"/>
          <w:sz w:val="24"/>
          <w:highlight w:val="none"/>
        </w:rPr>
        <w:t>注：本表为食糖生产</w:t>
      </w:r>
      <w:bookmarkStart w:id="48" w:name="OLE_LINK24"/>
      <w:r>
        <w:rPr>
          <w:rFonts w:hint="default" w:ascii="Times New Roman" w:hAnsi="Times New Roman" w:cs="Times New Roman"/>
          <w:color w:val="000000"/>
          <w:kern w:val="0"/>
          <w:sz w:val="24"/>
          <w:highlight w:val="none"/>
        </w:rPr>
        <w:t>涉及的</w:t>
      </w:r>
      <w:bookmarkEnd w:id="48"/>
      <w:r>
        <w:rPr>
          <w:rFonts w:hint="default" w:ascii="Times New Roman" w:hAnsi="Times New Roman" w:cs="Times New Roman"/>
          <w:color w:val="000000"/>
          <w:kern w:val="0"/>
          <w:sz w:val="24"/>
          <w:highlight w:val="none"/>
        </w:rPr>
        <w:t>主要标准，仅供参考。</w:t>
      </w:r>
    </w:p>
    <w:p>
      <w:pPr>
        <w:pStyle w:val="10"/>
        <w:shd w:val="clear"/>
        <w:rPr>
          <w:rFonts w:hint="default" w:ascii="Times New Roman" w:hAnsi="Times New Roman" w:cs="Times New Roman"/>
          <w:highlight w:val="none"/>
        </w:rPr>
      </w:pPr>
    </w:p>
    <w:p>
      <w:pPr>
        <w:pStyle w:val="10"/>
        <w:shd w:val="clear"/>
        <w:rPr>
          <w:rFonts w:hint="default" w:ascii="Times New Roman" w:hAnsi="Times New Roman" w:eastAsia="宋体"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jc w:val="left"/>
        <w:rPr>
          <w:rFonts w:hint="default" w:ascii="Times New Roman" w:hAnsi="Times New Roman" w:cs="Times New Roman"/>
          <w:highlight w:val="none"/>
        </w:rPr>
      </w:pPr>
    </w:p>
    <w:p>
      <w:pPr>
        <w:shd w:val="clear"/>
        <w:rPr>
          <w:rFonts w:hint="default" w:ascii="Times New Roman" w:hAnsi="Times New Roman" w:cs="Times New Roman"/>
          <w:b w:val="0"/>
          <w:bCs w:val="0"/>
          <w:kern w:val="2"/>
          <w:szCs w:val="24"/>
          <w:highlight w:val="none"/>
        </w:rPr>
      </w:pPr>
      <w:r>
        <w:rPr>
          <w:rFonts w:hint="default" w:ascii="Times New Roman" w:hAnsi="Times New Roman" w:cs="Times New Roman"/>
          <w:b w:val="0"/>
          <w:bCs w:val="0"/>
          <w:kern w:val="2"/>
          <w:szCs w:val="24"/>
          <w:highlight w:val="none"/>
        </w:rPr>
        <w:br w:type="page"/>
      </w:r>
    </w:p>
    <w:p>
      <w:pPr>
        <w:pStyle w:val="36"/>
        <w:shd w:val="clear"/>
        <w:jc w:val="left"/>
        <w:rPr>
          <w:rFonts w:hint="default" w:ascii="Times New Roman" w:hAnsi="Times New Roman" w:cs="Times New Roman"/>
          <w:b w:val="0"/>
          <w:bCs w:val="0"/>
          <w:kern w:val="2"/>
          <w:szCs w:val="24"/>
          <w:highlight w:val="none"/>
        </w:rPr>
      </w:pPr>
      <w:r>
        <w:rPr>
          <w:rFonts w:hint="default" w:ascii="Times New Roman" w:hAnsi="Times New Roman" w:cs="Times New Roman"/>
          <w:b w:val="0"/>
          <w:bCs w:val="0"/>
          <w:kern w:val="2"/>
          <w:szCs w:val="24"/>
          <w:highlight w:val="none"/>
        </w:rPr>
        <w:t>附件2</w:t>
      </w:r>
    </w:p>
    <w:p>
      <w:pPr>
        <w:pStyle w:val="36"/>
        <w:shd w:val="clear"/>
        <w:rPr>
          <w:rFonts w:hint="default" w:ascii="Times New Roman" w:hAnsi="Times New Roman" w:eastAsia="方正小标宋_GBK" w:cs="Times New Roman"/>
          <w:b w:val="0"/>
          <w:bCs w:val="0"/>
          <w:kern w:val="2"/>
          <w:sz w:val="44"/>
          <w:szCs w:val="44"/>
          <w:highlight w:val="none"/>
        </w:rPr>
      </w:pPr>
      <w:r>
        <w:rPr>
          <w:rFonts w:hint="default" w:ascii="Times New Roman" w:hAnsi="Times New Roman" w:eastAsia="方正小标宋_GBK" w:cs="Times New Roman"/>
          <w:b w:val="0"/>
          <w:bCs w:val="0"/>
          <w:kern w:val="2"/>
          <w:sz w:val="44"/>
          <w:szCs w:val="44"/>
          <w:highlight w:val="none"/>
        </w:rPr>
        <w:t>白砂糖涉及的检验项目与方法</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1629"/>
        <w:gridCol w:w="1908"/>
        <w:gridCol w:w="2635"/>
        <w:gridCol w:w="2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序号</w:t>
            </w:r>
          </w:p>
        </w:tc>
        <w:tc>
          <w:tcPr>
            <w:tcW w:w="88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检验项目</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标准号</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标准名称</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w:t>
            </w:r>
          </w:p>
        </w:tc>
        <w:tc>
          <w:tcPr>
            <w:tcW w:w="88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感官</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317</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ind w:firstLine="480" w:firstLineChars="200"/>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w:t>
            </w:r>
          </w:p>
        </w:tc>
        <w:tc>
          <w:tcPr>
            <w:tcW w:w="88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粒度</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317</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w:t>
            </w:r>
          </w:p>
        </w:tc>
        <w:tc>
          <w:tcPr>
            <w:tcW w:w="117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17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3</w:t>
            </w:r>
          </w:p>
        </w:tc>
        <w:tc>
          <w:tcPr>
            <w:tcW w:w="88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蔗糖分</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GB/T 317 </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w:t>
            </w:r>
          </w:p>
        </w:tc>
        <w:tc>
          <w:tcPr>
            <w:tcW w:w="117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17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4</w:t>
            </w:r>
          </w:p>
        </w:tc>
        <w:tc>
          <w:tcPr>
            <w:tcW w:w="88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还原糖分</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GB/T 317 </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w:t>
            </w:r>
          </w:p>
        </w:tc>
        <w:tc>
          <w:tcPr>
            <w:tcW w:w="117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17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5</w:t>
            </w:r>
          </w:p>
        </w:tc>
        <w:tc>
          <w:tcPr>
            <w:tcW w:w="88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电导灰分</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GB/T 317 </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w:t>
            </w:r>
          </w:p>
        </w:tc>
        <w:tc>
          <w:tcPr>
            <w:tcW w:w="117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17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6</w:t>
            </w:r>
          </w:p>
        </w:tc>
        <w:tc>
          <w:tcPr>
            <w:tcW w:w="88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干燥失重</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GB/T 317 </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w:t>
            </w:r>
          </w:p>
        </w:tc>
        <w:tc>
          <w:tcPr>
            <w:tcW w:w="117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17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7</w:t>
            </w:r>
          </w:p>
        </w:tc>
        <w:tc>
          <w:tcPr>
            <w:tcW w:w="88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色值 </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GB/T 317 </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w:t>
            </w:r>
          </w:p>
        </w:tc>
        <w:tc>
          <w:tcPr>
            <w:tcW w:w="117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17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8</w:t>
            </w:r>
          </w:p>
        </w:tc>
        <w:tc>
          <w:tcPr>
            <w:tcW w:w="88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混浊度</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GB/T 317 </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w:t>
            </w:r>
          </w:p>
        </w:tc>
        <w:tc>
          <w:tcPr>
            <w:tcW w:w="117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17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9</w:t>
            </w:r>
          </w:p>
        </w:tc>
        <w:tc>
          <w:tcPr>
            <w:tcW w:w="88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不溶于水杂质</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GB/T 317 </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白砂糖</w:t>
            </w:r>
          </w:p>
        </w:tc>
        <w:tc>
          <w:tcPr>
            <w:tcW w:w="117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17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10</w:t>
            </w:r>
          </w:p>
        </w:tc>
        <w:tc>
          <w:tcPr>
            <w:tcW w:w="88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铅（以Pb计）</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11</w:t>
            </w:r>
          </w:p>
        </w:tc>
        <w:tc>
          <w:tcPr>
            <w:tcW w:w="88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总砷（以As计）</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12</w:t>
            </w:r>
          </w:p>
        </w:tc>
        <w:tc>
          <w:tcPr>
            <w:tcW w:w="88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螨</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13</w:t>
            </w:r>
          </w:p>
        </w:tc>
        <w:tc>
          <w:tcPr>
            <w:tcW w:w="88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食品添加剂</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highlight w:val="none"/>
              </w:rPr>
              <w:fldChar w:fldCharType="begin"/>
            </w:r>
            <w:r>
              <w:rPr>
                <w:rFonts w:hint="default" w:ascii="Times New Roman" w:hAnsi="Times New Roman" w:eastAsia="仿宋_GB2312" w:cs="Times New Roman"/>
                <w:highlight w:val="none"/>
              </w:rPr>
              <w:instrText xml:space="preserve"> HYPERLINK "http://220.181.176.160/stdlinfo/servlet/com.sac.sacQuery.GjbzcxDetailServlet?std_code=GB%202759.2-2003" </w:instrText>
            </w:r>
            <w:r>
              <w:rPr>
                <w:rFonts w:hint="default" w:ascii="Times New Roman" w:hAnsi="Times New Roman" w:eastAsia="仿宋_GB2312" w:cs="Times New Roman"/>
                <w:highlight w:val="none"/>
              </w:rPr>
              <w:fldChar w:fldCharType="separate"/>
            </w:r>
            <w:r>
              <w:rPr>
                <w:rFonts w:hint="default" w:ascii="Times New Roman" w:hAnsi="Times New Roman" w:eastAsia="仿宋_GB2312" w:cs="Times New Roman"/>
                <w:color w:val="000000"/>
                <w:sz w:val="24"/>
                <w:highlight w:val="none"/>
              </w:rPr>
              <w:t xml:space="preserve">GB </w:t>
            </w:r>
            <w:r>
              <w:rPr>
                <w:rFonts w:hint="default" w:ascii="Times New Roman" w:hAnsi="Times New Roman" w:eastAsia="仿宋_GB2312" w:cs="Times New Roman"/>
                <w:color w:val="000000"/>
                <w:sz w:val="24"/>
                <w:highlight w:val="none"/>
              </w:rPr>
              <w:fldChar w:fldCharType="end"/>
            </w:r>
            <w:r>
              <w:rPr>
                <w:rFonts w:hint="default" w:ascii="Times New Roman" w:hAnsi="Times New Roman" w:eastAsia="仿宋_GB2312" w:cs="Times New Roman"/>
                <w:color w:val="000000"/>
                <w:sz w:val="24"/>
                <w:highlight w:val="none"/>
              </w:rPr>
              <w:t>2760</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食品安全国家标准 食品添加剂使用标准</w:t>
            </w:r>
          </w:p>
        </w:tc>
        <w:tc>
          <w:tcPr>
            <w:tcW w:w="1178"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4564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sz w:val="24"/>
                <w:highlight w:val="none"/>
              </w:rPr>
              <w:t>精幼砂糖</w:t>
            </w:r>
          </w:p>
        </w:tc>
        <w:tc>
          <w:tcPr>
            <w:tcW w:w="1178"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14</w:t>
            </w:r>
          </w:p>
        </w:tc>
        <w:tc>
          <w:tcPr>
            <w:tcW w:w="88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标签</w:t>
            </w:r>
          </w:p>
        </w:tc>
        <w:tc>
          <w:tcPr>
            <w:tcW w:w="104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预包装食品标签通则</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r>
    </w:tbl>
    <w:p>
      <w:pPr>
        <w:pStyle w:val="10"/>
        <w:shd w:val="clear"/>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注：本表参照白砂糖相关产品标准汇总，仅供参考。</w:t>
      </w:r>
    </w:p>
    <w:p>
      <w:pPr>
        <w:pStyle w:val="10"/>
        <w:shd w:val="clear"/>
        <w:ind w:firstLine="420"/>
        <w:rPr>
          <w:rFonts w:hint="default" w:ascii="Times New Roman" w:hAnsi="Times New Roman" w:cs="Times New Roman"/>
          <w:color w:val="000000"/>
          <w:highlight w:val="none"/>
        </w:rPr>
      </w:pPr>
    </w:p>
    <w:p>
      <w:pPr>
        <w:pStyle w:val="10"/>
        <w:shd w:val="clear"/>
        <w:ind w:firstLine="420"/>
        <w:rPr>
          <w:rFonts w:hint="default" w:ascii="Times New Roman" w:hAnsi="Times New Roman" w:cs="Times New Roman"/>
          <w:color w:val="000000"/>
          <w:highlight w:val="none"/>
        </w:rPr>
      </w:pPr>
    </w:p>
    <w:p>
      <w:pPr>
        <w:pStyle w:val="36"/>
        <w:shd w:val="clear"/>
        <w:jc w:val="left"/>
        <w:rPr>
          <w:rFonts w:hint="default" w:ascii="Times New Roman" w:hAnsi="Times New Roman" w:cs="Times New Roman"/>
          <w:b w:val="0"/>
          <w:bCs w:val="0"/>
          <w:kern w:val="2"/>
          <w:szCs w:val="24"/>
          <w:highlight w:val="none"/>
        </w:rPr>
      </w:pPr>
      <w:r>
        <w:rPr>
          <w:rFonts w:hint="default" w:ascii="Times New Roman" w:hAnsi="Times New Roman" w:cs="Times New Roman"/>
          <w:b w:val="0"/>
          <w:bCs w:val="0"/>
          <w:kern w:val="2"/>
          <w:szCs w:val="24"/>
          <w:highlight w:val="none"/>
        </w:rPr>
        <w:t>附件3</w:t>
      </w:r>
    </w:p>
    <w:p>
      <w:pPr>
        <w:pStyle w:val="10"/>
        <w:shd w:val="clear"/>
        <w:ind w:firstLine="420"/>
        <w:rPr>
          <w:rFonts w:hint="default" w:ascii="Times New Roman" w:hAnsi="Times New Roman" w:eastAsia="宋体" w:cs="Times New Roman"/>
          <w:color w:val="000000"/>
          <w:highlight w:val="none"/>
        </w:rPr>
      </w:pPr>
    </w:p>
    <w:p>
      <w:pPr>
        <w:pStyle w:val="36"/>
        <w:shd w:val="clear"/>
        <w:rPr>
          <w:rFonts w:hint="default" w:ascii="Times New Roman" w:hAnsi="Times New Roman" w:cs="Times New Roman"/>
          <w:b w:val="0"/>
          <w:bCs w:val="0"/>
          <w:kern w:val="2"/>
          <w:szCs w:val="24"/>
          <w:highlight w:val="none"/>
        </w:rPr>
      </w:pPr>
      <w:r>
        <w:rPr>
          <w:rFonts w:hint="default" w:ascii="Times New Roman" w:hAnsi="Times New Roman" w:eastAsia="方正小标宋_GBK" w:cs="Times New Roman"/>
          <w:b w:val="0"/>
          <w:bCs w:val="0"/>
          <w:kern w:val="2"/>
          <w:sz w:val="44"/>
          <w:szCs w:val="44"/>
          <w:highlight w:val="none"/>
        </w:rPr>
        <w:t>绵白糖涉及的检验项目与方法</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2167"/>
        <w:gridCol w:w="1372"/>
        <w:gridCol w:w="2635"/>
        <w:gridCol w:w="2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序号</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检验项目</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标准号</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标准名称</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w:t>
            </w:r>
          </w:p>
        </w:tc>
        <w:tc>
          <w:tcPr>
            <w:tcW w:w="1181"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感官</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81"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1445</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绵白糖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GB/T 1445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总糖分</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1445</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绵白糖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QB/T 5012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3</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还原糖分</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1445</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绵白糖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QB/T 5012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4</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干燥失重</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1445</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绵白糖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QB/T 5012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5</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电导灰分</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1445</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绵白糖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QB/T 5012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6</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色值 </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1445</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绵白糖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QB/T 5012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7</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混浊度</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1445</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绵白糖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QB/T 5012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8</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不溶于水杂质</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1445</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绵白糖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QB/T 5012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9</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粒度</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1445</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绵白糖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QB/T 5012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10</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铅（以Pb计）</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11</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总砷（以As计）</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12</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食品添加剂</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"http://220.181.176.160/stdlinfo/servlet/com.sac.sacQuery.GjbzcxDetailServlet?std_code=GB%202759.2-2003"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sz w:val="24"/>
                <w:highlight w:val="none"/>
              </w:rPr>
              <w:t xml:space="preserve">GB </w:t>
            </w:r>
            <w:r>
              <w:rPr>
                <w:rFonts w:hint="default" w:ascii="Times New Roman" w:hAnsi="Times New Roman" w:eastAsia="仿宋_GB2312" w:cs="Times New Roman"/>
                <w:color w:val="000000"/>
                <w:sz w:val="24"/>
                <w:highlight w:val="none"/>
              </w:rPr>
              <w:fldChar w:fldCharType="end"/>
            </w:r>
            <w:r>
              <w:rPr>
                <w:rFonts w:hint="default" w:ascii="Times New Roman" w:hAnsi="Times New Roman" w:eastAsia="仿宋_GB2312" w:cs="Times New Roman"/>
                <w:color w:val="000000"/>
                <w:sz w:val="24"/>
                <w:highlight w:val="none"/>
              </w:rPr>
              <w:t>2760</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食品添加剂使用标准</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13</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螨</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14</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标签</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预包装食品标签通则</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r>
    </w:tbl>
    <w:p>
      <w:pPr>
        <w:pStyle w:val="10"/>
        <w:shd w:val="clear"/>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注：本表参照绵白糖相关产品标准汇总，仅供参考。</w:t>
      </w:r>
    </w:p>
    <w:p>
      <w:pPr>
        <w:shd w:val="clear"/>
        <w:jc w:val="left"/>
        <w:rPr>
          <w:rFonts w:hint="default" w:ascii="Times New Roman" w:hAnsi="Times New Roman" w:eastAsia="仿宋_GB2312" w:cs="Times New Roman"/>
          <w:sz w:val="32"/>
          <w:highlight w:val="none"/>
        </w:rPr>
      </w:pPr>
    </w:p>
    <w:p>
      <w:pPr>
        <w:shd w:val="clear"/>
        <w:ind w:firstLine="960" w:firstLineChars="300"/>
        <w:jc w:val="left"/>
        <w:rPr>
          <w:rFonts w:hint="default" w:ascii="Times New Roman" w:hAnsi="Times New Roman" w:cs="Times New Roman"/>
          <w:color w:val="000000"/>
          <w:kern w:val="0"/>
          <w:sz w:val="32"/>
          <w:szCs w:val="21"/>
          <w:highlight w:val="none"/>
        </w:rPr>
      </w:pPr>
    </w:p>
    <w:p>
      <w:pPr>
        <w:shd w:val="clear"/>
        <w:rPr>
          <w:rFonts w:hint="default" w:ascii="Times New Roman" w:hAnsi="Times New Roman" w:cs="Times New Roman"/>
          <w:highlight w:val="none"/>
        </w:rPr>
      </w:pPr>
      <w:r>
        <w:rPr>
          <w:rFonts w:hint="default" w:ascii="Times New Roman" w:hAnsi="Times New Roman" w:cs="Times New Roman"/>
          <w:highlight w:val="none"/>
        </w:rPr>
        <w:br w:type="page"/>
      </w:r>
    </w:p>
    <w:p>
      <w:pPr>
        <w:pStyle w:val="36"/>
        <w:shd w:val="clear"/>
        <w:jc w:val="left"/>
        <w:rPr>
          <w:rFonts w:hint="default" w:ascii="Times New Roman" w:hAnsi="Times New Roman" w:cs="Times New Roman"/>
          <w:b w:val="0"/>
          <w:bCs w:val="0"/>
          <w:kern w:val="2"/>
          <w:szCs w:val="24"/>
          <w:highlight w:val="none"/>
        </w:rPr>
      </w:pPr>
      <w:r>
        <w:rPr>
          <w:rFonts w:hint="default" w:ascii="Times New Roman" w:hAnsi="Times New Roman" w:cs="Times New Roman"/>
          <w:b w:val="0"/>
          <w:bCs w:val="0"/>
          <w:kern w:val="2"/>
          <w:szCs w:val="24"/>
          <w:highlight w:val="none"/>
        </w:rPr>
        <w:t>附件4</w:t>
      </w:r>
    </w:p>
    <w:p>
      <w:pPr>
        <w:pStyle w:val="36"/>
        <w:shd w:val="clear"/>
        <w:rPr>
          <w:rFonts w:hint="default" w:ascii="Times New Roman" w:hAnsi="Times New Roman" w:eastAsia="方正小标宋_GBK" w:cs="Times New Roman"/>
          <w:b w:val="0"/>
          <w:bCs w:val="0"/>
          <w:kern w:val="2"/>
          <w:sz w:val="44"/>
          <w:szCs w:val="44"/>
          <w:highlight w:val="none"/>
        </w:rPr>
      </w:pPr>
      <w:r>
        <w:rPr>
          <w:rFonts w:hint="default" w:ascii="Times New Roman" w:hAnsi="Times New Roman" w:eastAsia="方正小标宋_GBK" w:cs="Times New Roman"/>
          <w:b w:val="0"/>
          <w:bCs w:val="0"/>
          <w:kern w:val="2"/>
          <w:sz w:val="44"/>
          <w:szCs w:val="44"/>
          <w:highlight w:val="none"/>
        </w:rPr>
        <w:t>赤砂糖涉及的检验项目与方法</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2167"/>
        <w:gridCol w:w="1372"/>
        <w:gridCol w:w="2635"/>
        <w:gridCol w:w="2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序号</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检验项目</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标准号</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标准名称</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w:t>
            </w:r>
          </w:p>
        </w:tc>
        <w:tc>
          <w:tcPr>
            <w:tcW w:w="1181"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感官</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81"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赤砂糖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QB/T </w:t>
            </w:r>
            <w:bookmarkStart w:id="49" w:name="OLE_LINK2"/>
            <w:r>
              <w:rPr>
                <w:rFonts w:hint="default" w:ascii="Times New Roman" w:hAnsi="Times New Roman" w:eastAsia="仿宋_GB2312" w:cs="Times New Roman"/>
                <w:color w:val="000000"/>
                <w:sz w:val="24"/>
                <w:highlight w:val="none"/>
              </w:rPr>
              <w:t>8040</w:t>
            </w:r>
            <w:bookmarkEnd w:id="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总糖分（蔗糖分+还原糖分）</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赤砂糖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3</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干燥失重</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赤砂糖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4</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不溶于水杂质</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赤砂糖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5</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铅（以Pb计）</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6</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总砷（以As计）</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7</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食品添加剂</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"http://220.181.176.160/stdlinfo/servlet/com.sac.sacQuery.GjbzcxDetailServlet?std_code=GB%202759.2-2003"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sz w:val="24"/>
                <w:highlight w:val="none"/>
              </w:rPr>
              <w:t xml:space="preserve">GB </w:t>
            </w:r>
            <w:r>
              <w:rPr>
                <w:rFonts w:hint="default" w:ascii="Times New Roman" w:hAnsi="Times New Roman" w:eastAsia="仿宋_GB2312" w:cs="Times New Roman"/>
                <w:color w:val="000000"/>
                <w:sz w:val="24"/>
                <w:highlight w:val="none"/>
              </w:rPr>
              <w:fldChar w:fldCharType="end"/>
            </w:r>
            <w:r>
              <w:rPr>
                <w:rFonts w:hint="default" w:ascii="Times New Roman" w:hAnsi="Times New Roman" w:eastAsia="仿宋_GB2312" w:cs="Times New Roman"/>
                <w:color w:val="000000"/>
                <w:sz w:val="24"/>
                <w:highlight w:val="none"/>
              </w:rPr>
              <w:t>2760</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食品添加剂使用标准</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8</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螨</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5"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9</w:t>
            </w:r>
          </w:p>
        </w:tc>
        <w:tc>
          <w:tcPr>
            <w:tcW w:w="118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标签</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c>
          <w:tcPr>
            <w:tcW w:w="1436"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预包装食品标签通则</w:t>
            </w:r>
          </w:p>
        </w:tc>
        <w:tc>
          <w:tcPr>
            <w:tcW w:w="1178"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r>
    </w:tbl>
    <w:p>
      <w:pPr>
        <w:pStyle w:val="10"/>
        <w:shd w:val="clear"/>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注：本表参照赤砂糖相关产品标准汇总，仅供参考。</w:t>
      </w:r>
    </w:p>
    <w:p>
      <w:pPr>
        <w:shd w:val="clear"/>
        <w:ind w:firstLine="960" w:firstLineChars="300"/>
        <w:jc w:val="left"/>
        <w:rPr>
          <w:rFonts w:hint="default" w:ascii="Times New Roman" w:hAnsi="Times New Roman" w:eastAsia="仿宋_GB2312" w:cs="Times New Roman"/>
          <w:color w:val="000000"/>
          <w:kern w:val="0"/>
          <w:sz w:val="32"/>
          <w:szCs w:val="21"/>
          <w:highlight w:val="none"/>
        </w:rPr>
      </w:pPr>
    </w:p>
    <w:p>
      <w:pPr>
        <w:shd w:val="clear"/>
        <w:ind w:firstLine="960" w:firstLineChars="300"/>
        <w:jc w:val="left"/>
        <w:rPr>
          <w:rFonts w:hint="default" w:ascii="Times New Roman" w:hAnsi="Times New Roman" w:eastAsia="仿宋_GB2312" w:cs="Times New Roman"/>
          <w:color w:val="000000"/>
          <w:kern w:val="0"/>
          <w:sz w:val="32"/>
          <w:szCs w:val="21"/>
          <w:highlight w:val="none"/>
        </w:rPr>
      </w:pPr>
    </w:p>
    <w:p>
      <w:pPr>
        <w:shd w:val="clear"/>
        <w:ind w:firstLine="960" w:firstLineChars="300"/>
        <w:jc w:val="left"/>
        <w:rPr>
          <w:rFonts w:hint="default" w:ascii="Times New Roman" w:hAnsi="Times New Roman" w:eastAsia="仿宋_GB2312" w:cs="Times New Roman"/>
          <w:color w:val="000000"/>
          <w:kern w:val="0"/>
          <w:sz w:val="32"/>
          <w:szCs w:val="21"/>
          <w:highlight w:val="none"/>
        </w:rPr>
      </w:pPr>
    </w:p>
    <w:p>
      <w:pPr>
        <w:shd w:val="clear"/>
        <w:ind w:firstLine="960" w:firstLineChars="300"/>
        <w:jc w:val="left"/>
        <w:rPr>
          <w:rFonts w:hint="default" w:ascii="Times New Roman" w:hAnsi="Times New Roman" w:eastAsia="仿宋_GB2312" w:cs="Times New Roman"/>
          <w:color w:val="000000"/>
          <w:kern w:val="0"/>
          <w:sz w:val="32"/>
          <w:szCs w:val="21"/>
          <w:highlight w:val="none"/>
        </w:rPr>
      </w:pPr>
    </w:p>
    <w:p>
      <w:pPr>
        <w:shd w:val="clear"/>
        <w:ind w:firstLine="960" w:firstLineChars="300"/>
        <w:jc w:val="left"/>
        <w:rPr>
          <w:rFonts w:hint="default" w:ascii="Times New Roman" w:hAnsi="Times New Roman" w:cs="Times New Roman"/>
          <w:color w:val="000000"/>
          <w:kern w:val="0"/>
          <w:sz w:val="32"/>
          <w:szCs w:val="21"/>
          <w:highlight w:val="none"/>
        </w:rPr>
      </w:pPr>
    </w:p>
    <w:p>
      <w:pPr>
        <w:shd w:val="clear"/>
        <w:ind w:firstLine="960" w:firstLineChars="300"/>
        <w:jc w:val="left"/>
        <w:rPr>
          <w:rFonts w:hint="default" w:ascii="Times New Roman" w:hAnsi="Times New Roman" w:cs="Times New Roman"/>
          <w:color w:val="000000"/>
          <w:kern w:val="0"/>
          <w:sz w:val="32"/>
          <w:szCs w:val="21"/>
          <w:highlight w:val="none"/>
        </w:rPr>
      </w:pPr>
    </w:p>
    <w:p>
      <w:pPr>
        <w:shd w:val="clear"/>
        <w:ind w:firstLine="960" w:firstLineChars="300"/>
        <w:jc w:val="left"/>
        <w:rPr>
          <w:rFonts w:hint="default" w:ascii="Times New Roman" w:hAnsi="Times New Roman" w:cs="Times New Roman"/>
          <w:color w:val="000000"/>
          <w:kern w:val="0"/>
          <w:sz w:val="32"/>
          <w:szCs w:val="21"/>
          <w:highlight w:val="none"/>
        </w:rPr>
      </w:pPr>
    </w:p>
    <w:p>
      <w:pPr>
        <w:shd w:val="clear"/>
        <w:ind w:firstLine="0" w:firstLineChars="0"/>
        <w:jc w:val="left"/>
        <w:rPr>
          <w:rFonts w:hint="default" w:ascii="Times New Roman" w:hAnsi="Times New Roman" w:cs="Times New Roman"/>
          <w:color w:val="000000"/>
          <w:kern w:val="0"/>
          <w:sz w:val="32"/>
          <w:szCs w:val="21"/>
          <w:highlight w:val="none"/>
        </w:rPr>
      </w:pPr>
      <w:r>
        <w:rPr>
          <w:rFonts w:hint="default" w:ascii="Times New Roman" w:hAnsi="Times New Roman" w:cs="Times New Roman"/>
          <w:color w:val="000000"/>
          <w:kern w:val="0"/>
          <w:sz w:val="32"/>
          <w:szCs w:val="21"/>
          <w:highlight w:val="none"/>
        </w:rPr>
        <w:br w:type="page"/>
      </w:r>
    </w:p>
    <w:p>
      <w:pPr>
        <w:pStyle w:val="10"/>
        <w:shd w:val="clear"/>
        <w:rPr>
          <w:rFonts w:hint="default" w:ascii="Times New Roman" w:hAnsi="Times New Roman" w:eastAsia="黑体" w:cs="Times New Roman"/>
          <w:color w:val="000000"/>
          <w:highlight w:val="none"/>
        </w:rPr>
      </w:pPr>
      <w:r>
        <w:rPr>
          <w:rFonts w:hint="default" w:ascii="Times New Roman" w:hAnsi="Times New Roman" w:eastAsia="黑体" w:cs="Times New Roman"/>
          <w:color w:val="000000"/>
          <w:highlight w:val="none"/>
        </w:rPr>
        <w:t>附件5</w:t>
      </w:r>
    </w:p>
    <w:p>
      <w:pPr>
        <w:pStyle w:val="10"/>
        <w:shd w:val="clear"/>
        <w:ind w:firstLine="420"/>
        <w:jc w:val="center"/>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000000"/>
          <w:sz w:val="44"/>
          <w:szCs w:val="44"/>
          <w:highlight w:val="none"/>
        </w:rPr>
        <w:t>冰糖涉及的检验项目与方法</w:t>
      </w:r>
    </w:p>
    <w:tbl>
      <w:tblPr>
        <w:tblStyle w:val="16"/>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991"/>
        <w:gridCol w:w="1496"/>
        <w:gridCol w:w="2419"/>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序号</w:t>
            </w:r>
          </w:p>
        </w:tc>
        <w:tc>
          <w:tcPr>
            <w:tcW w:w="1991" w:type="dxa"/>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检验项目</w:t>
            </w:r>
          </w:p>
        </w:tc>
        <w:tc>
          <w:tcPr>
            <w:tcW w:w="1496" w:type="dxa"/>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标准号</w:t>
            </w:r>
          </w:p>
        </w:tc>
        <w:tc>
          <w:tcPr>
            <w:tcW w:w="2419" w:type="dxa"/>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标准名称</w:t>
            </w:r>
          </w:p>
        </w:tc>
        <w:tc>
          <w:tcPr>
            <w:tcW w:w="1985" w:type="dxa"/>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vMerge w:val="restart"/>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w:t>
            </w:r>
          </w:p>
        </w:tc>
        <w:tc>
          <w:tcPr>
            <w:tcW w:w="1991" w:type="dxa"/>
            <w:vMerge w:val="restart"/>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感官</w:t>
            </w:r>
          </w:p>
        </w:tc>
        <w:tc>
          <w:tcPr>
            <w:tcW w:w="1496"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vMerge w:val="continue"/>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991" w:type="dxa"/>
            <w:vMerge w:val="continue"/>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496" w:type="dxa"/>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35883</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冰糖</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w:t>
            </w:r>
          </w:p>
        </w:tc>
        <w:tc>
          <w:tcPr>
            <w:tcW w:w="1991"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蔗糖分</w:t>
            </w:r>
          </w:p>
        </w:tc>
        <w:tc>
          <w:tcPr>
            <w:tcW w:w="1496" w:type="dxa"/>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35883</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冰糖</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3</w:t>
            </w:r>
          </w:p>
        </w:tc>
        <w:tc>
          <w:tcPr>
            <w:tcW w:w="1991"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还原糖分</w:t>
            </w:r>
          </w:p>
        </w:tc>
        <w:tc>
          <w:tcPr>
            <w:tcW w:w="1496" w:type="dxa"/>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35883</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冰糖</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4</w:t>
            </w:r>
          </w:p>
        </w:tc>
        <w:tc>
          <w:tcPr>
            <w:tcW w:w="1991"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干燥失重</w:t>
            </w:r>
          </w:p>
        </w:tc>
        <w:tc>
          <w:tcPr>
            <w:tcW w:w="1496" w:type="dxa"/>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35883</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冰糖</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5</w:t>
            </w:r>
          </w:p>
        </w:tc>
        <w:tc>
          <w:tcPr>
            <w:tcW w:w="1991"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电导灰分</w:t>
            </w:r>
          </w:p>
        </w:tc>
        <w:tc>
          <w:tcPr>
            <w:tcW w:w="1496" w:type="dxa"/>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35883</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冰糖</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6</w:t>
            </w:r>
          </w:p>
        </w:tc>
        <w:tc>
          <w:tcPr>
            <w:tcW w:w="1991"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色值</w:t>
            </w:r>
          </w:p>
        </w:tc>
        <w:tc>
          <w:tcPr>
            <w:tcW w:w="1496" w:type="dxa"/>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35883</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冰糖</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QB/T </w:t>
            </w:r>
            <w:bookmarkStart w:id="50" w:name="OLE_LINK10"/>
            <w:r>
              <w:rPr>
                <w:rFonts w:hint="default" w:ascii="Times New Roman" w:hAnsi="Times New Roman" w:eastAsia="仿宋_GB2312" w:cs="Times New Roman"/>
                <w:color w:val="000000"/>
                <w:sz w:val="24"/>
                <w:highlight w:val="none"/>
              </w:rPr>
              <w:t>5010</w:t>
            </w:r>
            <w:bookmarkEnd w:id="5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7</w:t>
            </w:r>
          </w:p>
        </w:tc>
        <w:tc>
          <w:tcPr>
            <w:tcW w:w="1991" w:type="dxa"/>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不溶于水杂质</w:t>
            </w: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35883</w:t>
            </w:r>
          </w:p>
        </w:tc>
        <w:tc>
          <w:tcPr>
            <w:tcW w:w="2419" w:type="dxa"/>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冰糖</w:t>
            </w: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8</w:t>
            </w:r>
          </w:p>
        </w:tc>
        <w:tc>
          <w:tcPr>
            <w:tcW w:w="1991"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铅（以Pb计）</w:t>
            </w:r>
          </w:p>
        </w:tc>
        <w:tc>
          <w:tcPr>
            <w:tcW w:w="1496"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9</w:t>
            </w:r>
          </w:p>
        </w:tc>
        <w:tc>
          <w:tcPr>
            <w:tcW w:w="1991"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总砷（以As计）</w:t>
            </w:r>
          </w:p>
        </w:tc>
        <w:tc>
          <w:tcPr>
            <w:tcW w:w="1496"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10</w:t>
            </w:r>
          </w:p>
        </w:tc>
        <w:tc>
          <w:tcPr>
            <w:tcW w:w="1991"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食品添加剂</w:t>
            </w:r>
          </w:p>
        </w:tc>
        <w:tc>
          <w:tcPr>
            <w:tcW w:w="1496"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"http://220.181.176.160/stdlinfo/servlet/com.sac.sacQuery.GjbzcxDetailServlet?std_code=GB%202759.2-2003"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sz w:val="24"/>
                <w:highlight w:val="none"/>
              </w:rPr>
              <w:t xml:space="preserve">GB </w:t>
            </w:r>
            <w:r>
              <w:rPr>
                <w:rFonts w:hint="default" w:ascii="Times New Roman" w:hAnsi="Times New Roman" w:eastAsia="仿宋_GB2312" w:cs="Times New Roman"/>
                <w:color w:val="000000"/>
                <w:sz w:val="24"/>
                <w:highlight w:val="none"/>
              </w:rPr>
              <w:fldChar w:fldCharType="end"/>
            </w:r>
            <w:r>
              <w:rPr>
                <w:rFonts w:hint="default" w:ascii="Times New Roman" w:hAnsi="Times New Roman" w:eastAsia="仿宋_GB2312" w:cs="Times New Roman"/>
                <w:color w:val="000000"/>
                <w:sz w:val="24"/>
                <w:highlight w:val="none"/>
              </w:rPr>
              <w:t>2760</w:t>
            </w:r>
          </w:p>
        </w:tc>
        <w:tc>
          <w:tcPr>
            <w:tcW w:w="2419" w:type="dxa"/>
            <w:shd w:val="clear" w:color="auto" w:fill="FFFFFF"/>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食品添加剂使用标准</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11</w:t>
            </w:r>
          </w:p>
        </w:tc>
        <w:tc>
          <w:tcPr>
            <w:tcW w:w="1991"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螨</w:t>
            </w:r>
          </w:p>
        </w:tc>
        <w:tc>
          <w:tcPr>
            <w:tcW w:w="1496"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767"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12</w:t>
            </w:r>
          </w:p>
        </w:tc>
        <w:tc>
          <w:tcPr>
            <w:tcW w:w="1991"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标签</w:t>
            </w:r>
          </w:p>
        </w:tc>
        <w:tc>
          <w:tcPr>
            <w:tcW w:w="1496"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c>
          <w:tcPr>
            <w:tcW w:w="2419"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预包装食品标签通则</w:t>
            </w:r>
          </w:p>
        </w:tc>
        <w:tc>
          <w:tcPr>
            <w:tcW w:w="1985" w:type="dxa"/>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r>
    </w:tbl>
    <w:p>
      <w:pPr>
        <w:pStyle w:val="10"/>
        <w:shd w:val="clear"/>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注：本表参照冰糖相关产品标准汇总，仅供参考。</w:t>
      </w:r>
    </w:p>
    <w:p>
      <w:pPr>
        <w:pStyle w:val="10"/>
        <w:shd w:val="clear"/>
        <w:ind w:firstLine="420"/>
        <w:rPr>
          <w:rFonts w:hint="default" w:ascii="Times New Roman" w:hAnsi="Times New Roman" w:cs="Times New Roman"/>
          <w:color w:val="000000"/>
          <w:highlight w:val="none"/>
        </w:rPr>
      </w:pPr>
    </w:p>
    <w:p>
      <w:pPr>
        <w:pStyle w:val="10"/>
        <w:shd w:val="clear"/>
        <w:ind w:firstLine="420"/>
        <w:rPr>
          <w:rFonts w:hint="default" w:ascii="Times New Roman" w:hAnsi="Times New Roman" w:cs="Times New Roman"/>
          <w:color w:val="000000"/>
          <w:highlight w:val="none"/>
        </w:rPr>
      </w:pPr>
    </w:p>
    <w:p>
      <w:pPr>
        <w:pStyle w:val="10"/>
        <w:shd w:val="clear"/>
        <w:ind w:firstLine="420"/>
        <w:rPr>
          <w:rFonts w:hint="default" w:ascii="Times New Roman" w:hAnsi="Times New Roman" w:cs="Times New Roman"/>
          <w:color w:val="000000"/>
          <w:highlight w:val="none"/>
        </w:rPr>
      </w:pPr>
    </w:p>
    <w:p>
      <w:pPr>
        <w:pStyle w:val="10"/>
        <w:shd w:val="clear"/>
        <w:ind w:firstLine="420"/>
        <w:rPr>
          <w:rFonts w:hint="default" w:ascii="Times New Roman" w:hAnsi="Times New Roman" w:cs="Times New Roman"/>
          <w:color w:val="000000"/>
          <w:highlight w:val="none"/>
        </w:rPr>
      </w:pPr>
    </w:p>
    <w:p>
      <w:pPr>
        <w:pStyle w:val="10"/>
        <w:shd w:val="clear"/>
        <w:ind w:firstLine="420"/>
        <w:rPr>
          <w:rFonts w:hint="default" w:ascii="Times New Roman" w:hAnsi="Times New Roman" w:cs="Times New Roman"/>
          <w:color w:val="000000"/>
          <w:highlight w:val="none"/>
        </w:rPr>
      </w:pPr>
    </w:p>
    <w:p>
      <w:pPr>
        <w:pStyle w:val="10"/>
        <w:shd w:val="clear"/>
        <w:ind w:firstLine="420"/>
        <w:rPr>
          <w:rFonts w:hint="default" w:ascii="Times New Roman" w:hAnsi="Times New Roman" w:cs="Times New Roman"/>
          <w:color w:val="000000"/>
          <w:highlight w:val="none"/>
        </w:rPr>
      </w:pPr>
    </w:p>
    <w:p>
      <w:pPr>
        <w:shd w:val="clear"/>
        <w:ind w:firstLine="420"/>
        <w:rPr>
          <w:rFonts w:hint="default" w:ascii="Times New Roman" w:hAnsi="Times New Roman" w:cs="Times New Roman"/>
          <w:color w:val="000000"/>
          <w:highlight w:val="none"/>
        </w:rPr>
      </w:pPr>
      <w:r>
        <w:rPr>
          <w:rFonts w:hint="default" w:ascii="Times New Roman" w:hAnsi="Times New Roman" w:cs="Times New Roman"/>
          <w:color w:val="000000"/>
          <w:highlight w:val="none"/>
        </w:rPr>
        <w:br w:type="page"/>
      </w:r>
    </w:p>
    <w:p>
      <w:pPr>
        <w:pStyle w:val="10"/>
        <w:shd w:val="clear"/>
        <w:rPr>
          <w:rFonts w:hint="default" w:ascii="Times New Roman" w:hAnsi="Times New Roman" w:eastAsia="黑体" w:cs="Times New Roman"/>
          <w:color w:val="000000"/>
          <w:highlight w:val="none"/>
        </w:rPr>
      </w:pPr>
      <w:r>
        <w:rPr>
          <w:rFonts w:hint="default" w:ascii="Times New Roman" w:hAnsi="Times New Roman" w:eastAsia="黑体" w:cs="Times New Roman"/>
          <w:color w:val="000000"/>
          <w:highlight w:val="none"/>
        </w:rPr>
        <w:t>附件6</w:t>
      </w:r>
    </w:p>
    <w:p>
      <w:pPr>
        <w:pStyle w:val="10"/>
        <w:shd w:val="clear"/>
        <w:ind w:firstLine="420"/>
        <w:jc w:val="center"/>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000000"/>
          <w:sz w:val="44"/>
          <w:szCs w:val="44"/>
          <w:highlight w:val="none"/>
        </w:rPr>
        <w:t>方糖涉及的检验项目与方法</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160"/>
        <w:gridCol w:w="1622"/>
        <w:gridCol w:w="2624"/>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序号</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检验项目</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标准号</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标准名称</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w:t>
            </w:r>
          </w:p>
        </w:tc>
        <w:tc>
          <w:tcPr>
            <w:tcW w:w="1177"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感官</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蔗糖分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3</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还原糖分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4</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干燥失重</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5</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色值</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6</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混浊度</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7</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电导灰分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8</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不溶于水杂质</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9</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碎糖量</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10</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硬度</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11</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铅（以Pb计）</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12</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总砷（以As计）</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13</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食品添加剂</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"http://220.181.176.160/stdlinfo/servlet/com.sac.sacQuery.GjbzcxDetailServlet?std_code=GB%202759.2-2003"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sz w:val="24"/>
                <w:highlight w:val="none"/>
              </w:rPr>
              <w:t xml:space="preserve">GB </w:t>
            </w:r>
            <w:r>
              <w:rPr>
                <w:rFonts w:hint="default" w:ascii="Times New Roman" w:hAnsi="Times New Roman" w:eastAsia="仿宋_GB2312" w:cs="Times New Roman"/>
                <w:color w:val="000000"/>
                <w:sz w:val="24"/>
                <w:highlight w:val="none"/>
              </w:rPr>
              <w:fldChar w:fldCharType="end"/>
            </w:r>
            <w:r>
              <w:rPr>
                <w:rFonts w:hint="default" w:ascii="Times New Roman" w:hAnsi="Times New Roman" w:eastAsia="仿宋_GB2312" w:cs="Times New Roman"/>
                <w:color w:val="000000"/>
                <w:sz w:val="24"/>
                <w:highlight w:val="none"/>
              </w:rPr>
              <w:t>2760</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食品添加剂使用标准</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14</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螨</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15</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标签</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预包装食品标签通则</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r>
    </w:tbl>
    <w:p>
      <w:pPr>
        <w:pStyle w:val="10"/>
        <w:shd w:val="clear"/>
        <w:rPr>
          <w:rFonts w:hint="default" w:ascii="Times New Roman" w:hAnsi="Times New Roman" w:eastAsia="仿宋" w:cs="Times New Roman"/>
          <w:color w:val="000000"/>
          <w:kern w:val="0"/>
          <w:sz w:val="24"/>
          <w:highlight w:val="none"/>
        </w:rPr>
      </w:pPr>
      <w:r>
        <w:rPr>
          <w:rFonts w:hint="default" w:ascii="Times New Roman" w:hAnsi="Times New Roman" w:cs="Times New Roman"/>
          <w:color w:val="000000"/>
          <w:kern w:val="0"/>
          <w:sz w:val="24"/>
          <w:highlight w:val="none"/>
        </w:rPr>
        <w:t>注：本表参照方糖相关产品标准汇总，仅供参考。</w:t>
      </w:r>
    </w:p>
    <w:p>
      <w:pPr>
        <w:shd w:val="clear"/>
        <w:ind w:firstLine="960" w:firstLineChars="300"/>
        <w:jc w:val="left"/>
        <w:rPr>
          <w:rFonts w:hint="default" w:ascii="Times New Roman" w:hAnsi="Times New Roman" w:cs="Times New Roman"/>
          <w:color w:val="000000"/>
          <w:kern w:val="0"/>
          <w:sz w:val="32"/>
          <w:szCs w:val="21"/>
          <w:highlight w:val="none"/>
        </w:rPr>
      </w:pPr>
    </w:p>
    <w:p>
      <w:pPr>
        <w:shd w:val="clear"/>
        <w:ind w:firstLine="960" w:firstLineChars="300"/>
        <w:jc w:val="left"/>
        <w:rPr>
          <w:rFonts w:hint="default" w:ascii="Times New Roman" w:hAnsi="Times New Roman" w:cs="Times New Roman"/>
          <w:color w:val="000000"/>
          <w:kern w:val="0"/>
          <w:sz w:val="32"/>
          <w:szCs w:val="21"/>
          <w:highlight w:val="none"/>
        </w:rPr>
      </w:pPr>
    </w:p>
    <w:p>
      <w:pPr>
        <w:shd w:val="clear"/>
        <w:ind w:firstLine="0" w:firstLineChars="0"/>
        <w:jc w:val="left"/>
        <w:rPr>
          <w:rFonts w:hint="default" w:ascii="Times New Roman" w:hAnsi="Times New Roman" w:cs="Times New Roman"/>
          <w:color w:val="000000"/>
          <w:kern w:val="0"/>
          <w:sz w:val="32"/>
          <w:szCs w:val="21"/>
          <w:highlight w:val="none"/>
        </w:rPr>
      </w:pPr>
      <w:r>
        <w:rPr>
          <w:rFonts w:hint="default" w:ascii="Times New Roman" w:hAnsi="Times New Roman" w:cs="Times New Roman"/>
          <w:color w:val="000000"/>
          <w:kern w:val="0"/>
          <w:sz w:val="32"/>
          <w:szCs w:val="21"/>
          <w:highlight w:val="none"/>
        </w:rPr>
        <w:br w:type="page"/>
      </w:r>
    </w:p>
    <w:p>
      <w:pPr>
        <w:pStyle w:val="10"/>
        <w:shd w:val="clear"/>
        <w:rPr>
          <w:rFonts w:hint="default" w:ascii="Times New Roman" w:hAnsi="Times New Roman" w:eastAsia="黑体" w:cs="Times New Roman"/>
          <w:color w:val="000000"/>
          <w:highlight w:val="none"/>
        </w:rPr>
      </w:pPr>
      <w:r>
        <w:rPr>
          <w:rFonts w:hint="default" w:ascii="Times New Roman" w:hAnsi="Times New Roman" w:eastAsia="黑体" w:cs="Times New Roman"/>
          <w:color w:val="000000"/>
          <w:highlight w:val="none"/>
        </w:rPr>
        <w:t>附件7</w:t>
      </w:r>
    </w:p>
    <w:p>
      <w:pPr>
        <w:pStyle w:val="10"/>
        <w:shd w:val="clear"/>
        <w:ind w:firstLine="420"/>
        <w:jc w:val="center"/>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000000"/>
          <w:sz w:val="44"/>
          <w:szCs w:val="44"/>
          <w:highlight w:val="none"/>
        </w:rPr>
        <w:t>冰片糖涉及的检验项目与方法</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160"/>
        <w:gridCol w:w="1622"/>
        <w:gridCol w:w="2624"/>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序号</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检验项目</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标准号</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标准名称</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w:t>
            </w:r>
          </w:p>
        </w:tc>
        <w:tc>
          <w:tcPr>
            <w:tcW w:w="1177" w:type="pct"/>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感官</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2685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冰片糖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2685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总糖分（蔗糖分+还原糖分）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2685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冰片糖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3</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还原糖分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2685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冰片糖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4</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干燥失重</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2685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冰片糖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5</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电导灰分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2685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冰片糖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6</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不溶于水杂质</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2685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冰片糖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7</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铅（以Pb计）</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8</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总砷（以As计）</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9</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食品添加剂</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"http://220.181.176.160/stdlinfo/servlet/com.sac.sacQuery.GjbzcxDetailServlet?std_code=GB%202759.2-2003"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sz w:val="24"/>
                <w:highlight w:val="none"/>
              </w:rPr>
              <w:t xml:space="preserve">GB </w:t>
            </w:r>
            <w:r>
              <w:rPr>
                <w:rFonts w:hint="default" w:ascii="Times New Roman" w:hAnsi="Times New Roman" w:eastAsia="仿宋_GB2312" w:cs="Times New Roman"/>
                <w:color w:val="000000"/>
                <w:sz w:val="24"/>
                <w:highlight w:val="none"/>
              </w:rPr>
              <w:fldChar w:fldCharType="end"/>
            </w:r>
            <w:r>
              <w:rPr>
                <w:rFonts w:hint="default" w:ascii="Times New Roman" w:hAnsi="Times New Roman" w:eastAsia="仿宋_GB2312" w:cs="Times New Roman"/>
                <w:color w:val="000000"/>
                <w:sz w:val="24"/>
                <w:highlight w:val="none"/>
              </w:rPr>
              <w:t>2760</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食品添加剂使用标准</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10</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螨</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2685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冰片糖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11</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标签</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预包装食品标签通则</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r>
    </w:tbl>
    <w:p>
      <w:pPr>
        <w:pStyle w:val="10"/>
        <w:shd w:val="clear"/>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注：本表参照冰片糖相关产品标准汇总，仅供参考。</w:t>
      </w:r>
    </w:p>
    <w:p>
      <w:pPr>
        <w:shd w:val="clear"/>
        <w:ind w:firstLine="960" w:firstLineChars="300"/>
        <w:jc w:val="left"/>
        <w:rPr>
          <w:rFonts w:hint="default" w:ascii="Times New Roman" w:hAnsi="Times New Roman" w:eastAsia="仿宋_GB2312" w:cs="Times New Roman"/>
          <w:color w:val="000000"/>
          <w:kern w:val="0"/>
          <w:sz w:val="32"/>
          <w:szCs w:val="21"/>
          <w:highlight w:val="none"/>
        </w:rPr>
      </w:pPr>
    </w:p>
    <w:p>
      <w:pPr>
        <w:shd w:val="clear"/>
        <w:ind w:firstLine="960" w:firstLineChars="300"/>
        <w:jc w:val="left"/>
        <w:rPr>
          <w:rFonts w:hint="default" w:ascii="Times New Roman" w:hAnsi="Times New Roman" w:eastAsia="仿宋_GB2312" w:cs="Times New Roman"/>
          <w:color w:val="000000"/>
          <w:kern w:val="0"/>
          <w:sz w:val="32"/>
          <w:szCs w:val="21"/>
          <w:highlight w:val="none"/>
        </w:rPr>
      </w:pPr>
    </w:p>
    <w:p>
      <w:pPr>
        <w:shd w:val="clear"/>
        <w:ind w:firstLine="960" w:firstLineChars="300"/>
        <w:jc w:val="left"/>
        <w:rPr>
          <w:rFonts w:hint="default" w:ascii="Times New Roman" w:hAnsi="Times New Roman" w:cs="Times New Roman"/>
          <w:color w:val="000000"/>
          <w:kern w:val="0"/>
          <w:sz w:val="32"/>
          <w:szCs w:val="21"/>
          <w:highlight w:val="none"/>
        </w:rPr>
      </w:pPr>
    </w:p>
    <w:p>
      <w:pPr>
        <w:shd w:val="clear"/>
        <w:ind w:firstLine="960" w:firstLineChars="300"/>
        <w:jc w:val="left"/>
        <w:rPr>
          <w:rFonts w:hint="default" w:ascii="Times New Roman" w:hAnsi="Times New Roman" w:cs="Times New Roman"/>
          <w:color w:val="000000"/>
          <w:kern w:val="0"/>
          <w:sz w:val="32"/>
          <w:szCs w:val="21"/>
          <w:highlight w:val="none"/>
        </w:rPr>
      </w:pPr>
    </w:p>
    <w:p>
      <w:pPr>
        <w:shd w:val="clear"/>
        <w:ind w:firstLine="0" w:firstLineChars="0"/>
        <w:jc w:val="left"/>
        <w:rPr>
          <w:rFonts w:hint="default" w:ascii="Times New Roman" w:hAnsi="Times New Roman" w:cs="Times New Roman"/>
          <w:color w:val="000000"/>
          <w:kern w:val="0"/>
          <w:sz w:val="32"/>
          <w:szCs w:val="21"/>
          <w:highlight w:val="none"/>
        </w:rPr>
      </w:pPr>
      <w:r>
        <w:rPr>
          <w:rFonts w:hint="default" w:ascii="Times New Roman" w:hAnsi="Times New Roman" w:cs="Times New Roman"/>
          <w:color w:val="000000"/>
          <w:kern w:val="0"/>
          <w:sz w:val="32"/>
          <w:szCs w:val="21"/>
          <w:highlight w:val="none"/>
        </w:rPr>
        <w:br w:type="page"/>
      </w:r>
    </w:p>
    <w:p>
      <w:pPr>
        <w:pStyle w:val="10"/>
        <w:shd w:val="clear"/>
        <w:rPr>
          <w:rFonts w:hint="default" w:ascii="Times New Roman" w:hAnsi="Times New Roman" w:eastAsia="黑体" w:cs="Times New Roman"/>
          <w:color w:val="000000"/>
          <w:highlight w:val="none"/>
        </w:rPr>
      </w:pPr>
      <w:r>
        <w:rPr>
          <w:rFonts w:hint="default" w:ascii="Times New Roman" w:hAnsi="Times New Roman" w:eastAsia="黑体" w:cs="Times New Roman"/>
          <w:color w:val="000000"/>
          <w:highlight w:val="none"/>
        </w:rPr>
        <w:t>附件8</w:t>
      </w:r>
    </w:p>
    <w:p>
      <w:pPr>
        <w:pStyle w:val="10"/>
        <w:shd w:val="clear"/>
        <w:ind w:firstLine="420"/>
        <w:jc w:val="center"/>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000000"/>
          <w:sz w:val="44"/>
          <w:szCs w:val="44"/>
          <w:highlight w:val="none"/>
        </w:rPr>
        <w:t>红糖涉及的检验项目与方法</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160"/>
        <w:gridCol w:w="1622"/>
        <w:gridCol w:w="2624"/>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序号</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检验项目</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标准号</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标准名称</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w:t>
            </w:r>
          </w:p>
        </w:tc>
        <w:tc>
          <w:tcPr>
            <w:tcW w:w="1177"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感官</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红糖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总糖分（蔗糖分+还原糖分）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红糖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3</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干燥失重</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红糖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4</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不溶于水杂质</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35885</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红糖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bookmarkStart w:id="51" w:name="_Hlk224891902"/>
            <w:r>
              <w:rPr>
                <w:rFonts w:hint="default" w:ascii="Times New Roman" w:hAnsi="Times New Roman" w:eastAsia="仿宋_GB2312" w:cs="Times New Roman"/>
                <w:color w:val="000000"/>
                <w:sz w:val="24"/>
                <w:highlight w:val="none"/>
              </w:rPr>
              <w:t>5</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铅（以Pb计）</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6</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总砷（以As计）</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7</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食品添加剂</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"http://220.181.176.160/stdlinfo/servlet/com.sac.sacQuery.GjbzcxDetailServlet?std_code=GB%202759.2-2003"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sz w:val="24"/>
                <w:highlight w:val="none"/>
              </w:rPr>
              <w:t xml:space="preserve">GB </w:t>
            </w:r>
            <w:r>
              <w:rPr>
                <w:rFonts w:hint="default" w:ascii="Times New Roman" w:hAnsi="Times New Roman" w:eastAsia="仿宋_GB2312" w:cs="Times New Roman"/>
                <w:color w:val="000000"/>
                <w:sz w:val="24"/>
                <w:highlight w:val="none"/>
              </w:rPr>
              <w:fldChar w:fldCharType="end"/>
            </w:r>
            <w:r>
              <w:rPr>
                <w:rFonts w:hint="default" w:ascii="Times New Roman" w:hAnsi="Times New Roman" w:eastAsia="仿宋_GB2312" w:cs="Times New Roman"/>
                <w:color w:val="000000"/>
                <w:sz w:val="24"/>
                <w:highlight w:val="none"/>
              </w:rPr>
              <w:t>2760</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食品添加剂使用标准</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按照对应标准</w:t>
            </w:r>
          </w:p>
        </w:tc>
      </w:tr>
      <w:bookmarkEnd w:id="5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8</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螨</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9</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标签</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预包装食品标签通则</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r>
    </w:tbl>
    <w:p>
      <w:pPr>
        <w:pStyle w:val="10"/>
        <w:shd w:val="clear"/>
        <w:rPr>
          <w:rFonts w:hint="default" w:ascii="Times New Roman" w:hAnsi="Times New Roman" w:eastAsia="仿宋" w:cs="Times New Roman"/>
          <w:color w:val="000000"/>
          <w:kern w:val="0"/>
          <w:sz w:val="24"/>
          <w:highlight w:val="none"/>
        </w:rPr>
      </w:pPr>
      <w:r>
        <w:rPr>
          <w:rFonts w:hint="default" w:ascii="Times New Roman" w:hAnsi="Times New Roman" w:cs="Times New Roman"/>
          <w:color w:val="000000"/>
          <w:kern w:val="0"/>
          <w:sz w:val="24"/>
          <w:highlight w:val="none"/>
        </w:rPr>
        <w:t>注：本表参照红糖相关产品标准汇总，仅供参考。</w:t>
      </w:r>
    </w:p>
    <w:p>
      <w:pPr>
        <w:shd w:val="clear"/>
        <w:ind w:firstLine="960" w:firstLineChars="300"/>
        <w:jc w:val="left"/>
        <w:rPr>
          <w:rFonts w:hint="default" w:ascii="Times New Roman" w:hAnsi="Times New Roman" w:cs="Times New Roman"/>
          <w:sz w:val="32"/>
          <w:highlight w:val="none"/>
        </w:rPr>
      </w:pPr>
    </w:p>
    <w:p>
      <w:pPr>
        <w:shd w:val="clear"/>
        <w:ind w:firstLine="0" w:firstLineChars="0"/>
        <w:jc w:val="left"/>
        <w:rPr>
          <w:rFonts w:hint="default" w:ascii="Times New Roman" w:hAnsi="Times New Roman" w:cs="Times New Roman"/>
          <w:sz w:val="32"/>
          <w:highlight w:val="none"/>
        </w:rPr>
      </w:pPr>
      <w:r>
        <w:rPr>
          <w:rFonts w:hint="default" w:ascii="Times New Roman" w:hAnsi="Times New Roman" w:cs="Times New Roman"/>
          <w:sz w:val="32"/>
          <w:highlight w:val="none"/>
        </w:rPr>
        <w:br w:type="page"/>
      </w:r>
    </w:p>
    <w:p>
      <w:pPr>
        <w:pStyle w:val="10"/>
        <w:shd w:val="clear"/>
        <w:rPr>
          <w:rFonts w:hint="default" w:ascii="Times New Roman" w:hAnsi="Times New Roman" w:eastAsia="黑体" w:cs="Times New Roman"/>
          <w:color w:val="000000"/>
          <w:highlight w:val="none"/>
        </w:rPr>
      </w:pPr>
      <w:r>
        <w:rPr>
          <w:rFonts w:hint="default" w:ascii="Times New Roman" w:hAnsi="Times New Roman" w:eastAsia="黑体" w:cs="Times New Roman"/>
          <w:color w:val="000000"/>
          <w:highlight w:val="none"/>
        </w:rPr>
        <w:t>附件9</w:t>
      </w:r>
    </w:p>
    <w:p>
      <w:pPr>
        <w:pStyle w:val="10"/>
        <w:shd w:val="clear"/>
        <w:ind w:firstLine="420"/>
        <w:jc w:val="center"/>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000000"/>
          <w:sz w:val="44"/>
          <w:szCs w:val="44"/>
          <w:highlight w:val="none"/>
        </w:rPr>
        <w:t>液体糖涉及的检验项目与方法</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160"/>
        <w:gridCol w:w="1622"/>
        <w:gridCol w:w="2624"/>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序号</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检验项目</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标准号</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标准名称</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感官</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干物质（固形物）</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GB/T 20882.5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3</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干物质中总糖分（蔗糖+还原糖）</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bookmarkStart w:id="52" w:name="OLE_LINK18"/>
            <w:r>
              <w:rPr>
                <w:rFonts w:hint="default" w:ascii="Times New Roman" w:hAnsi="Times New Roman" w:eastAsia="仿宋_GB2312" w:cs="Times New Roman"/>
                <w:sz w:val="24"/>
                <w:highlight w:val="none"/>
              </w:rPr>
              <w:t>QB/T 4093</w:t>
            </w:r>
          </w:p>
          <w:bookmarkEnd w:id="52"/>
          <w:p>
            <w:pPr>
              <w:shd w:val="clear"/>
              <w:jc w:val="center"/>
              <w:rPr>
                <w:rFonts w:hint="default" w:ascii="Times New Roman" w:hAnsi="Times New Roman" w:eastAsia="仿宋_GB2312" w:cs="Times New Roman"/>
                <w:sz w:val="24"/>
                <w:highlight w:val="none"/>
              </w:rPr>
            </w:pPr>
            <w:bookmarkStart w:id="53" w:name="OLE_LINK21"/>
            <w:r>
              <w:rPr>
                <w:rFonts w:hint="default" w:ascii="Times New Roman" w:hAnsi="Times New Roman" w:eastAsia="仿宋_GB2312" w:cs="Times New Roman"/>
                <w:sz w:val="24"/>
                <w:highlight w:val="none"/>
              </w:rPr>
              <w:t>GB/T 35887</w:t>
            </w:r>
          </w:p>
          <w:bookmarkEnd w:id="53"/>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8040</w:t>
            </w:r>
          </w:p>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 5009.8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4</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干物质中还原糖</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8040</w:t>
            </w:r>
          </w:p>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GB 5009.8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5</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灰分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GB/T 15108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6</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色值</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4093</w:t>
            </w:r>
          </w:p>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7</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pH</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GB/T 20882.5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8</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菌落总数</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000000"/>
                <w:sz w:val="24"/>
                <w:highlight w:val="none"/>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9</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大肠菌群</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000000"/>
                <w:sz w:val="24"/>
                <w:highlight w:val="none"/>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10</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霉菌</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000000"/>
                <w:sz w:val="24"/>
                <w:highlight w:val="none"/>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11</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酵母</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4093</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液体糖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000000"/>
                <w:sz w:val="24"/>
                <w:highlight w:val="none"/>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12</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铅（以Pb计）</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13</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总砷（以As计）</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14</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食品添加剂</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"http://220.181.176.160/stdlinfo/servlet/com.sac.sacQuery.GjbzcxDetailServlet?std_code=GB%202759.2-2003"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sz w:val="24"/>
                <w:highlight w:val="none"/>
              </w:rPr>
              <w:t xml:space="preserve">GB </w:t>
            </w:r>
            <w:r>
              <w:rPr>
                <w:rFonts w:hint="default" w:ascii="Times New Roman" w:hAnsi="Times New Roman" w:eastAsia="仿宋_GB2312" w:cs="Times New Roman"/>
                <w:color w:val="000000"/>
                <w:sz w:val="24"/>
                <w:highlight w:val="none"/>
              </w:rPr>
              <w:fldChar w:fldCharType="end"/>
            </w:r>
            <w:r>
              <w:rPr>
                <w:rFonts w:hint="default" w:ascii="Times New Roman" w:hAnsi="Times New Roman" w:eastAsia="仿宋_GB2312" w:cs="Times New Roman"/>
                <w:color w:val="000000"/>
                <w:sz w:val="24"/>
                <w:highlight w:val="none"/>
              </w:rPr>
              <w:t>2760</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kern w:val="0"/>
                <w:sz w:val="24"/>
                <w:highlight w:val="none"/>
              </w:rPr>
            </w:pPr>
            <w:r>
              <w:rPr>
                <w:rFonts w:hint="default" w:ascii="Times New Roman" w:hAnsi="Times New Roman" w:eastAsia="仿宋_GB2312" w:cs="Times New Roman"/>
                <w:color w:val="000000"/>
                <w:kern w:val="0"/>
                <w:sz w:val="24"/>
                <w:highlight w:val="none"/>
              </w:rPr>
              <w:t>食品安全国家标准 食品添加剂使用标准</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15</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标签</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c>
          <w:tcPr>
            <w:tcW w:w="1430"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预包装食品标签通则</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r>
    </w:tbl>
    <w:p>
      <w:pPr>
        <w:pStyle w:val="10"/>
        <w:shd w:val="clear"/>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注：本表参照液体糖相关产品标准汇总，仅供参考。</w:t>
      </w:r>
    </w:p>
    <w:p>
      <w:pPr>
        <w:shd w:val="clear"/>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br w:type="page"/>
      </w:r>
    </w:p>
    <w:p>
      <w:pPr>
        <w:pStyle w:val="10"/>
        <w:shd w:val="clear"/>
        <w:rPr>
          <w:rFonts w:hint="default" w:ascii="Times New Roman" w:hAnsi="Times New Roman" w:eastAsia="黑体" w:cs="Times New Roman"/>
          <w:color w:val="000000"/>
          <w:highlight w:val="none"/>
        </w:rPr>
      </w:pPr>
      <w:r>
        <w:rPr>
          <w:rFonts w:hint="default" w:ascii="Times New Roman" w:hAnsi="Times New Roman" w:eastAsia="黑体" w:cs="Times New Roman"/>
          <w:color w:val="000000"/>
          <w:highlight w:val="none"/>
        </w:rPr>
        <w:t>附件10</w:t>
      </w:r>
    </w:p>
    <w:p>
      <w:pPr>
        <w:pStyle w:val="10"/>
        <w:shd w:val="clear"/>
        <w:ind w:firstLine="420"/>
        <w:jc w:val="center"/>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000000"/>
          <w:sz w:val="44"/>
          <w:szCs w:val="44"/>
          <w:highlight w:val="none"/>
        </w:rPr>
        <w:t>其他糖涉及的检验项目与方法</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159"/>
        <w:gridCol w:w="1621"/>
        <w:gridCol w:w="2624"/>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bookmarkStart w:id="54" w:name="_Hlk225176192"/>
            <w:r>
              <w:rPr>
                <w:rFonts w:hint="default" w:ascii="Times New Roman" w:hAnsi="Times New Roman" w:eastAsia="黑体" w:cs="Times New Roman"/>
                <w:color w:val="000000"/>
                <w:sz w:val="24"/>
                <w:highlight w:val="none"/>
              </w:rPr>
              <w:t>序号</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检验项目</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标准号</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标准名称</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检验方法</w:t>
            </w:r>
          </w:p>
        </w:tc>
      </w:tr>
      <w:bookmarkEnd w:id="5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w:t>
            </w:r>
          </w:p>
        </w:tc>
        <w:tc>
          <w:tcPr>
            <w:tcW w:w="1177"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感官</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块糖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4563</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金砂糖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全糖粉</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4566</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4567</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黑糖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糖霜</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 13104</w:t>
            </w:r>
          </w:p>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2</w:t>
            </w:r>
          </w:p>
        </w:tc>
        <w:tc>
          <w:tcPr>
            <w:tcW w:w="1177" w:type="pct"/>
            <w:vMerge w:val="restart"/>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总糖分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块糖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4563</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金砂糖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4567</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黑糖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3</w:t>
            </w:r>
          </w:p>
        </w:tc>
        <w:tc>
          <w:tcPr>
            <w:tcW w:w="1177" w:type="pct"/>
            <w:vMerge w:val="restart"/>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蔗糖分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4564</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全糖粉</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4566</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4567</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黑糖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糖霜</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 xml:space="preserve">QB/T 4092 </w:t>
            </w:r>
          </w:p>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4</w:t>
            </w:r>
          </w:p>
        </w:tc>
        <w:tc>
          <w:tcPr>
            <w:tcW w:w="1177" w:type="pct"/>
            <w:vMerge w:val="restart"/>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还原糖分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4564</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全糖粉</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4566</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糖霜</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 xml:space="preserve">QB/T 4092 </w:t>
            </w:r>
          </w:p>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5</w:t>
            </w:r>
          </w:p>
        </w:tc>
        <w:tc>
          <w:tcPr>
            <w:tcW w:w="1177" w:type="pct"/>
            <w:vMerge w:val="restart"/>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电导灰分</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4564</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全糖粉</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4566</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糖霜</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6</w:t>
            </w:r>
          </w:p>
        </w:tc>
        <w:tc>
          <w:tcPr>
            <w:tcW w:w="1177" w:type="pct"/>
            <w:vMerge w:val="restart"/>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干燥失重</w:t>
            </w: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4562</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块糖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4563</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金砂糖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4564</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4565</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全糖粉</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4566</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黄方糖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4567</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黑糖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 5009.3</w:t>
            </w:r>
          </w:p>
        </w:tc>
      </w:tr>
    </w:tbl>
    <w:p>
      <w:pPr>
        <w:shd w:val="clear"/>
        <w:rPr>
          <w:rFonts w:hint="default" w:ascii="Times New Roman" w:hAnsi="Times New Roman" w:eastAsia="仿宋_GB2312" w:cs="Times New Roman"/>
          <w:highlight w:val="none"/>
        </w:rPr>
      </w:pP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159"/>
        <w:gridCol w:w="1621"/>
        <w:gridCol w:w="2624"/>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restart"/>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4092</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糖霜</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4095</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黄砂糖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7</w:t>
            </w:r>
          </w:p>
        </w:tc>
        <w:tc>
          <w:tcPr>
            <w:tcW w:w="1177" w:type="pct"/>
            <w:vMerge w:val="restart"/>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不溶于水杂质</w:t>
            </w: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4562</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块糖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jc w:val="center"/>
        </w:trPr>
        <w:tc>
          <w:tcPr>
            <w:tcW w:w="453"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4563</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金砂糖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4564</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4565</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全糖粉</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4566</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黄方糖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jc w:val="center"/>
        </w:trPr>
        <w:tc>
          <w:tcPr>
            <w:tcW w:w="453"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4567</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黑糖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4095</w:t>
            </w:r>
          </w:p>
        </w:tc>
        <w:tc>
          <w:tcPr>
            <w:tcW w:w="1431"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黄砂糖</w:t>
            </w:r>
          </w:p>
        </w:tc>
        <w:tc>
          <w:tcPr>
            <w:tcW w:w="1054"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8</w:t>
            </w:r>
          </w:p>
        </w:tc>
        <w:tc>
          <w:tcPr>
            <w:tcW w:w="1177"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 xml:space="preserve">色值 </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4563</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金砂糖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15108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4564</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4566</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糖霜</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9</w:t>
            </w:r>
          </w:p>
        </w:tc>
        <w:tc>
          <w:tcPr>
            <w:tcW w:w="1177"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混浊度</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4564</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精幼砂糖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全糖粉</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GB/T 35887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10</w:t>
            </w:r>
          </w:p>
        </w:tc>
        <w:tc>
          <w:tcPr>
            <w:tcW w:w="1177"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细度</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全糖粉</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4092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糖霜</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11</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碎糖量</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4566</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12</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硬度</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4566</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黄方糖</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QB/T 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13</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淀粉</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糖霜</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 5009.9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14</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抗结剂</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糖霜</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 xml:space="preserve">QB/T 4092 </w:t>
            </w:r>
          </w:p>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GB 25576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15</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铅（以Pb计）</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000000"/>
                <w:sz w:val="24"/>
                <w:highlight w:val="none"/>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16</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总砷（以As计）</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2762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食品中污染物限量</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000000"/>
                <w:sz w:val="24"/>
                <w:highlight w:val="none"/>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17</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食品添加剂</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"http://220.181.176.160/stdlinfo/servlet/com.sac.sacQuery.GjbzcxDetailServlet?std_code=GB%202759.2-2003"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sz w:val="24"/>
                <w:highlight w:val="none"/>
              </w:rPr>
              <w:t xml:space="preserve">GB </w:t>
            </w:r>
            <w:r>
              <w:rPr>
                <w:rFonts w:hint="default" w:ascii="Times New Roman" w:hAnsi="Times New Roman" w:eastAsia="仿宋_GB2312" w:cs="Times New Roman"/>
                <w:color w:val="000000"/>
                <w:sz w:val="24"/>
                <w:highlight w:val="none"/>
              </w:rPr>
              <w:fldChar w:fldCharType="end"/>
            </w:r>
            <w:r>
              <w:rPr>
                <w:rFonts w:hint="default" w:ascii="Times New Roman" w:hAnsi="Times New Roman" w:eastAsia="仿宋_GB2312" w:cs="Times New Roman"/>
                <w:color w:val="000000"/>
                <w:sz w:val="24"/>
                <w:highlight w:val="none"/>
              </w:rPr>
              <w:t>2760</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kern w:val="0"/>
                <w:sz w:val="24"/>
                <w:highlight w:val="none"/>
              </w:rPr>
              <w:t>食品安全国家标准 食品添加剂使用标准</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000000"/>
                <w:sz w:val="24"/>
                <w:highlight w:val="none"/>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18</w:t>
            </w:r>
          </w:p>
        </w:tc>
        <w:tc>
          <w:tcPr>
            <w:tcW w:w="1177"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螨</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块糖</w:t>
            </w:r>
          </w:p>
        </w:tc>
        <w:tc>
          <w:tcPr>
            <w:tcW w:w="1054" w:type="pct"/>
            <w:vMerge w:val="restart"/>
            <w:tcBorders>
              <w:top w:val="single" w:color="auto" w:sz="4" w:space="0"/>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000000"/>
                <w:sz w:val="24"/>
                <w:highlight w:val="none"/>
              </w:rPr>
              <w:t>GB 13104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4563</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金砂糖</w:t>
            </w:r>
          </w:p>
        </w:tc>
        <w:tc>
          <w:tcPr>
            <w:tcW w:w="1054"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全糖粉</w:t>
            </w:r>
          </w:p>
        </w:tc>
        <w:tc>
          <w:tcPr>
            <w:tcW w:w="1054"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4566</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黄方糖</w:t>
            </w:r>
          </w:p>
        </w:tc>
        <w:tc>
          <w:tcPr>
            <w:tcW w:w="1054"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4567</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黑糖</w:t>
            </w:r>
          </w:p>
        </w:tc>
        <w:tc>
          <w:tcPr>
            <w:tcW w:w="1054"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453"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4092</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糖霜</w:t>
            </w:r>
          </w:p>
        </w:tc>
        <w:tc>
          <w:tcPr>
            <w:tcW w:w="1054" w:type="pct"/>
            <w:vMerge w:val="continue"/>
            <w:tcBorders>
              <w:left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jc w:val="center"/>
        </w:trPr>
        <w:tc>
          <w:tcPr>
            <w:tcW w:w="453"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1177"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sz w:val="24"/>
                <w:highlight w:val="none"/>
              </w:rPr>
              <w:t>QB/T 4095</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黄砂糖</w:t>
            </w:r>
          </w:p>
        </w:tc>
        <w:tc>
          <w:tcPr>
            <w:tcW w:w="1054" w:type="pct"/>
            <w:vMerge w:val="continue"/>
            <w:tcBorders>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blHeader/>
          <w:jc w:val="center"/>
        </w:trPr>
        <w:tc>
          <w:tcPr>
            <w:tcW w:w="453"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19</w:t>
            </w:r>
          </w:p>
        </w:tc>
        <w:tc>
          <w:tcPr>
            <w:tcW w:w="1177"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标签</w:t>
            </w:r>
          </w:p>
        </w:tc>
        <w:tc>
          <w:tcPr>
            <w:tcW w:w="88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snapToGrid w:val="0"/>
              <w:spacing w:line="320" w:lineRule="exact"/>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GB 7718</w:t>
            </w:r>
          </w:p>
        </w:tc>
        <w:tc>
          <w:tcPr>
            <w:tcW w:w="1431"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食品安全国家标准 预包装食品标签通则</w:t>
            </w:r>
          </w:p>
        </w:tc>
        <w:tc>
          <w:tcPr>
            <w:tcW w:w="1054" w:type="pct"/>
            <w:tcBorders>
              <w:top w:val="single" w:color="auto" w:sz="4" w:space="0"/>
              <w:left w:val="single" w:color="auto" w:sz="4" w:space="0"/>
              <w:bottom w:val="single" w:color="auto" w:sz="4" w:space="0"/>
              <w:right w:val="single" w:color="auto" w:sz="4" w:space="0"/>
            </w:tcBorders>
            <w:shd w:val="clear" w:color="auto" w:fill="FFFFFF"/>
            <w:vAlign w:val="center"/>
          </w:tcPr>
          <w:p>
            <w:pPr>
              <w:shd w:val="clea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000000"/>
                <w:sz w:val="24"/>
                <w:highlight w:val="none"/>
              </w:rPr>
              <w:t>GB 7718</w:t>
            </w:r>
          </w:p>
        </w:tc>
      </w:tr>
    </w:tbl>
    <w:p>
      <w:pPr>
        <w:pStyle w:val="10"/>
        <w:shd w:val="clear"/>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注：本表参照其他糖相关产品标准汇总，仅供参考。</w:t>
      </w:r>
      <w:bookmarkEnd w:id="47"/>
    </w:p>
    <w:sectPr>
      <w:footerReference r:id="rId3" w:type="default"/>
      <w:pgSz w:w="11906" w:h="16838"/>
      <w:pgMar w:top="1984" w:right="1474" w:bottom="1644" w:left="1474"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方正黑体简体"/>
    <w:panose1 w:val="02010600030101010101"/>
    <w:charset w:val="86"/>
    <w:family w:val="auto"/>
    <w:pitch w:val="default"/>
    <w:sig w:usb0="00000000" w:usb1="00000000" w:usb2="00000016" w:usb3="00000000" w:csb0="0004000F" w:csb1="00000000"/>
  </w:font>
  <w:font w:name="方正黑体简体">
    <w:panose1 w:val="03000509000000000000"/>
    <w:charset w:val="86"/>
    <w:family w:val="auto"/>
    <w:pitch w:val="default"/>
    <w:sig w:usb0="00000001" w:usb1="080E0000" w:usb2="00000000" w:usb3="00000000" w:csb0="00040000" w:csb1="00000000"/>
  </w:font>
  <w:font w:name="等线">
    <w:altName w:val="方正黑体简体"/>
    <w:panose1 w:val="00000000000000000000"/>
    <w:charset w:val="86"/>
    <w:family w:val="auto"/>
    <w:pitch w:val="default"/>
    <w:sig w:usb0="00000000" w:usb1="00000000" w:usb2="00000000" w:usb3="00000000" w:csb0="00000000" w:csb1="00000000"/>
  </w:font>
  <w:font w:name="等线">
    <w:altName w:val="方正黑体简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Verdana">
    <w:panose1 w:val="020B0604030504040204"/>
    <w:charset w:val="00"/>
    <w:family w:val="swiss"/>
    <w:pitch w:val="default"/>
    <w:sig w:usb0="00000287" w:usb1="00000000"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_GBK">
    <w:panose1 w:val="03000502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posOffset>2461895</wp:posOffset>
              </wp:positionH>
              <wp:positionV relativeFrom="paragraph">
                <wp:posOffset>-17145</wp:posOffset>
              </wp:positionV>
              <wp:extent cx="918845" cy="2197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18845" cy="2197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3.85pt;margin-top:-1.35pt;height:17.3pt;width:72.35pt;mso-position-horizontal-relative:margin;z-index:251659264;mso-width-relative:page;mso-height-relative:page;" filled="f" stroked="f" coordsize="21600,21600" o:gfxdata="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APl9Dn2QAAAAkBAAAPAAAAAAAAAAEA&#10;IAAAADgAAABkcnMvZG93bnJldi54bWxQSwECFAAUAAAACACHTuJAjEdSEjECAABVBAAADgAAAAAA&#10;AAABACAAAAA+AQAAZHJzL2Uyb0RvYy54bWxQSwUGAAAAAAYABgBZAQAA4QUAAAAA&#10;">
              <v:fill on="f" focussize="0,0"/>
              <v:stroke on="f" weight="0.5pt"/>
              <v:imagedata o:title=""/>
              <o:lock v:ext="edit" aspectratio="f"/>
              <v:textbox inset="0mm,0mm,0mm,0mm">
                <w:txbxContent>
                  <w:p>
                    <w:pPr>
                      <w:pStyle w:val="1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30"/>
      <w:suff w:val="nothing"/>
      <w:lvlText w:val="%1　"/>
      <w:lvlJc w:val="left"/>
      <w:rPr>
        <w:rFonts w:hint="eastAsia" w:ascii="黑体" w:hAnsi="Times New Roman" w:eastAsia="黑体" w:cs="Times New Roman"/>
        <w:b w:val="0"/>
        <w:bCs w:val="0"/>
        <w:i w:val="0"/>
        <w:iCs w:val="0"/>
        <w:sz w:val="21"/>
        <w:szCs w:val="21"/>
      </w:rPr>
    </w:lvl>
    <w:lvl w:ilvl="1" w:tentative="0">
      <w:start w:val="1"/>
      <w:numFmt w:val="decimal"/>
      <w:pStyle w:val="29"/>
      <w:suff w:val="nothing"/>
      <w:lvlText w:val="%1.%2　"/>
      <w:lvlJc w:val="left"/>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31"/>
      <w:suff w:val="nothing"/>
      <w:lvlText w:val="%1.%2.%3　"/>
      <w:lvlJc w:val="left"/>
      <w:rPr>
        <w:rFonts w:hint="eastAsia" w:ascii="黑体" w:hAnsi="Times New Roman" w:eastAsia="黑体" w:cs="Times New Roman"/>
        <w:b w:val="0"/>
        <w:bCs w:val="0"/>
        <w:i w:val="0"/>
        <w:iCs w:val="0"/>
        <w:sz w:val="21"/>
        <w:szCs w:val="21"/>
      </w:rPr>
    </w:lvl>
    <w:lvl w:ilvl="3" w:tentative="0">
      <w:start w:val="1"/>
      <w:numFmt w:val="decimal"/>
      <w:pStyle w:val="32"/>
      <w:suff w:val="nothing"/>
      <w:lvlText w:val="%1.%2.%3.%4　"/>
      <w:lvlJc w:val="left"/>
      <w:rPr>
        <w:rFonts w:hint="eastAsia" w:ascii="黑体" w:hAnsi="Times New Roman" w:eastAsia="黑体" w:cs="Times New Roman"/>
        <w:b w:val="0"/>
        <w:bCs w:val="0"/>
        <w:i w:val="0"/>
        <w:iCs w:val="0"/>
        <w:sz w:val="21"/>
        <w:szCs w:val="21"/>
      </w:rPr>
    </w:lvl>
    <w:lvl w:ilvl="4" w:tentative="0">
      <w:start w:val="1"/>
      <w:numFmt w:val="decimal"/>
      <w:pStyle w:val="33"/>
      <w:suff w:val="nothing"/>
      <w:lvlText w:val="%1.%2.%3.%4.%5　"/>
      <w:lvlJc w:val="left"/>
      <w:rPr>
        <w:rFonts w:hint="eastAsia" w:ascii="黑体" w:hAnsi="Times New Roman" w:eastAsia="黑体" w:cs="Times New Roman"/>
        <w:b w:val="0"/>
        <w:bCs w:val="0"/>
        <w:i w:val="0"/>
        <w:iCs w:val="0"/>
        <w:sz w:val="21"/>
        <w:szCs w:val="21"/>
      </w:rPr>
    </w:lvl>
    <w:lvl w:ilvl="5" w:tentative="0">
      <w:start w:val="1"/>
      <w:numFmt w:val="decimal"/>
      <w:pStyle w:val="34"/>
      <w:suff w:val="nothing"/>
      <w:lvlText w:val="%1.%2.%3.%4.%5.%6　"/>
      <w:lvlJc w:val="left"/>
      <w:rPr>
        <w:rFonts w:hint="eastAsia" w:ascii="黑体" w:hAnsi="Times New Roman" w:eastAsia="黑体" w:cs="Times New Roman"/>
        <w:b w:val="0"/>
        <w:bCs w:val="0"/>
        <w:i w:val="0"/>
        <w:iCs w:val="0"/>
        <w:sz w:val="21"/>
        <w:szCs w:val="21"/>
      </w:rPr>
    </w:lvl>
    <w:lvl w:ilvl="6" w:tentative="0">
      <w:start w:val="1"/>
      <w:numFmt w:val="decimal"/>
      <w:suff w:val="nothing"/>
      <w:lvlText w:val="%1%2.%3.%4.%5.%6.%7　"/>
      <w:lvlJc w:val="left"/>
      <w:rPr>
        <w:rFonts w:hint="eastAsia" w:ascii="黑体" w:hAnsi="Times New Roman" w:eastAsia="黑体" w:cs="Times New Roman"/>
        <w:b w:val="0"/>
        <w:bCs w:val="0"/>
        <w:i w:val="0"/>
        <w:iCs w:val="0"/>
        <w:sz w:val="21"/>
        <w:szCs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5NzE3OWQzODMyYWRhNjUyZjFiMGI1NjQ2ODVjNTUifQ=="/>
  </w:docVars>
  <w:rsids>
    <w:rsidRoot w:val="00172D17"/>
    <w:rsid w:val="00001D29"/>
    <w:rsid w:val="00010E19"/>
    <w:rsid w:val="0003117C"/>
    <w:rsid w:val="000343B4"/>
    <w:rsid w:val="00037346"/>
    <w:rsid w:val="00044DDA"/>
    <w:rsid w:val="00057E3A"/>
    <w:rsid w:val="000662B6"/>
    <w:rsid w:val="00066E3E"/>
    <w:rsid w:val="000717AB"/>
    <w:rsid w:val="000729FF"/>
    <w:rsid w:val="00073AA0"/>
    <w:rsid w:val="0007535A"/>
    <w:rsid w:val="00083A83"/>
    <w:rsid w:val="00087AA4"/>
    <w:rsid w:val="00091B12"/>
    <w:rsid w:val="00096EF2"/>
    <w:rsid w:val="000C10B4"/>
    <w:rsid w:val="000C1DA7"/>
    <w:rsid w:val="000C773A"/>
    <w:rsid w:val="000D0A5F"/>
    <w:rsid w:val="000D6430"/>
    <w:rsid w:val="000E1239"/>
    <w:rsid w:val="000E3F23"/>
    <w:rsid w:val="000F012E"/>
    <w:rsid w:val="000F328C"/>
    <w:rsid w:val="00114135"/>
    <w:rsid w:val="00114C63"/>
    <w:rsid w:val="001167B5"/>
    <w:rsid w:val="0013261B"/>
    <w:rsid w:val="00133110"/>
    <w:rsid w:val="00152E82"/>
    <w:rsid w:val="00156837"/>
    <w:rsid w:val="00160D86"/>
    <w:rsid w:val="0016234A"/>
    <w:rsid w:val="00172D17"/>
    <w:rsid w:val="00174180"/>
    <w:rsid w:val="00176605"/>
    <w:rsid w:val="0019508A"/>
    <w:rsid w:val="001962AF"/>
    <w:rsid w:val="00196A4C"/>
    <w:rsid w:val="00197E2E"/>
    <w:rsid w:val="001B1324"/>
    <w:rsid w:val="001B4973"/>
    <w:rsid w:val="001B6E13"/>
    <w:rsid w:val="001C5F00"/>
    <w:rsid w:val="001E7984"/>
    <w:rsid w:val="001F4994"/>
    <w:rsid w:val="001F4AB5"/>
    <w:rsid w:val="001F6800"/>
    <w:rsid w:val="002025DE"/>
    <w:rsid w:val="00215F72"/>
    <w:rsid w:val="002244D7"/>
    <w:rsid w:val="0022614F"/>
    <w:rsid w:val="002271C4"/>
    <w:rsid w:val="002273B6"/>
    <w:rsid w:val="0023359D"/>
    <w:rsid w:val="00237365"/>
    <w:rsid w:val="00241210"/>
    <w:rsid w:val="00247C6C"/>
    <w:rsid w:val="0025002B"/>
    <w:rsid w:val="002557E8"/>
    <w:rsid w:val="00256977"/>
    <w:rsid w:val="00260EAC"/>
    <w:rsid w:val="0027206E"/>
    <w:rsid w:val="00277612"/>
    <w:rsid w:val="00282C86"/>
    <w:rsid w:val="00284F3E"/>
    <w:rsid w:val="00286BEE"/>
    <w:rsid w:val="00295EFF"/>
    <w:rsid w:val="002973FB"/>
    <w:rsid w:val="002B1601"/>
    <w:rsid w:val="002B6A0D"/>
    <w:rsid w:val="002B7740"/>
    <w:rsid w:val="002D345B"/>
    <w:rsid w:val="002D767E"/>
    <w:rsid w:val="002E5A14"/>
    <w:rsid w:val="002F02A6"/>
    <w:rsid w:val="002F38DA"/>
    <w:rsid w:val="002F5647"/>
    <w:rsid w:val="003004D3"/>
    <w:rsid w:val="003018CA"/>
    <w:rsid w:val="00304CD0"/>
    <w:rsid w:val="003104CD"/>
    <w:rsid w:val="00323A1B"/>
    <w:rsid w:val="003360DE"/>
    <w:rsid w:val="00344086"/>
    <w:rsid w:val="00351AD7"/>
    <w:rsid w:val="0036181C"/>
    <w:rsid w:val="00366D89"/>
    <w:rsid w:val="0037073D"/>
    <w:rsid w:val="003708A5"/>
    <w:rsid w:val="00374064"/>
    <w:rsid w:val="003749F6"/>
    <w:rsid w:val="003855EC"/>
    <w:rsid w:val="0039223B"/>
    <w:rsid w:val="003A1100"/>
    <w:rsid w:val="003A16FF"/>
    <w:rsid w:val="003B23AF"/>
    <w:rsid w:val="003B27D0"/>
    <w:rsid w:val="003B4C33"/>
    <w:rsid w:val="003D7B45"/>
    <w:rsid w:val="003E5CE6"/>
    <w:rsid w:val="003F3CCB"/>
    <w:rsid w:val="003F56BC"/>
    <w:rsid w:val="00401B1B"/>
    <w:rsid w:val="00410FD6"/>
    <w:rsid w:val="0041421E"/>
    <w:rsid w:val="00424B0B"/>
    <w:rsid w:val="00435F41"/>
    <w:rsid w:val="00436081"/>
    <w:rsid w:val="00440267"/>
    <w:rsid w:val="00454A76"/>
    <w:rsid w:val="00463CD2"/>
    <w:rsid w:val="00464737"/>
    <w:rsid w:val="00474470"/>
    <w:rsid w:val="004826EA"/>
    <w:rsid w:val="0048316F"/>
    <w:rsid w:val="004873B7"/>
    <w:rsid w:val="004941E7"/>
    <w:rsid w:val="004965A2"/>
    <w:rsid w:val="004B1654"/>
    <w:rsid w:val="004B2F99"/>
    <w:rsid w:val="004B5BC4"/>
    <w:rsid w:val="004C6169"/>
    <w:rsid w:val="004C79A3"/>
    <w:rsid w:val="004D6B36"/>
    <w:rsid w:val="004E1A2C"/>
    <w:rsid w:val="004E4818"/>
    <w:rsid w:val="004E698B"/>
    <w:rsid w:val="004F0E04"/>
    <w:rsid w:val="004F6636"/>
    <w:rsid w:val="00513DA1"/>
    <w:rsid w:val="00524309"/>
    <w:rsid w:val="00525B1E"/>
    <w:rsid w:val="0054749D"/>
    <w:rsid w:val="00552F7B"/>
    <w:rsid w:val="005539C5"/>
    <w:rsid w:val="00585D44"/>
    <w:rsid w:val="00596D29"/>
    <w:rsid w:val="005A345A"/>
    <w:rsid w:val="005A5294"/>
    <w:rsid w:val="005A69C7"/>
    <w:rsid w:val="005B6765"/>
    <w:rsid w:val="005C3002"/>
    <w:rsid w:val="005C65BD"/>
    <w:rsid w:val="005C78FC"/>
    <w:rsid w:val="005D7C16"/>
    <w:rsid w:val="005F14C0"/>
    <w:rsid w:val="005F2B32"/>
    <w:rsid w:val="005F58DD"/>
    <w:rsid w:val="00601AC1"/>
    <w:rsid w:val="006205D2"/>
    <w:rsid w:val="00621AC2"/>
    <w:rsid w:val="00621E99"/>
    <w:rsid w:val="00623569"/>
    <w:rsid w:val="00636FE0"/>
    <w:rsid w:val="00641A95"/>
    <w:rsid w:val="006426C2"/>
    <w:rsid w:val="00650481"/>
    <w:rsid w:val="00652703"/>
    <w:rsid w:val="00662F11"/>
    <w:rsid w:val="006701F3"/>
    <w:rsid w:val="006739FD"/>
    <w:rsid w:val="006948B2"/>
    <w:rsid w:val="006B6128"/>
    <w:rsid w:val="006C3659"/>
    <w:rsid w:val="006D1038"/>
    <w:rsid w:val="006D6FB4"/>
    <w:rsid w:val="006E6C1F"/>
    <w:rsid w:val="006E716F"/>
    <w:rsid w:val="006F2E02"/>
    <w:rsid w:val="006F5421"/>
    <w:rsid w:val="006F6E81"/>
    <w:rsid w:val="007126C3"/>
    <w:rsid w:val="0071587C"/>
    <w:rsid w:val="00723CA3"/>
    <w:rsid w:val="00723D1C"/>
    <w:rsid w:val="00745101"/>
    <w:rsid w:val="00745449"/>
    <w:rsid w:val="007514A0"/>
    <w:rsid w:val="00752537"/>
    <w:rsid w:val="0076580C"/>
    <w:rsid w:val="00767818"/>
    <w:rsid w:val="00772A55"/>
    <w:rsid w:val="00781DE7"/>
    <w:rsid w:val="00783277"/>
    <w:rsid w:val="007871E8"/>
    <w:rsid w:val="007902F6"/>
    <w:rsid w:val="00791016"/>
    <w:rsid w:val="0079255E"/>
    <w:rsid w:val="00792A17"/>
    <w:rsid w:val="007D4F51"/>
    <w:rsid w:val="007D5DE9"/>
    <w:rsid w:val="007E068C"/>
    <w:rsid w:val="007E6C26"/>
    <w:rsid w:val="007F58BD"/>
    <w:rsid w:val="008019B2"/>
    <w:rsid w:val="008311A2"/>
    <w:rsid w:val="00833BF3"/>
    <w:rsid w:val="00833CD0"/>
    <w:rsid w:val="00843DD5"/>
    <w:rsid w:val="00847751"/>
    <w:rsid w:val="00857C1E"/>
    <w:rsid w:val="00867802"/>
    <w:rsid w:val="008813D6"/>
    <w:rsid w:val="008855D1"/>
    <w:rsid w:val="008876B8"/>
    <w:rsid w:val="008A0D45"/>
    <w:rsid w:val="008A1A7F"/>
    <w:rsid w:val="008A6230"/>
    <w:rsid w:val="008B386D"/>
    <w:rsid w:val="008B4D74"/>
    <w:rsid w:val="008C7CAA"/>
    <w:rsid w:val="008D6090"/>
    <w:rsid w:val="008F4607"/>
    <w:rsid w:val="00914A38"/>
    <w:rsid w:val="00921814"/>
    <w:rsid w:val="00924846"/>
    <w:rsid w:val="00931C20"/>
    <w:rsid w:val="00932573"/>
    <w:rsid w:val="009436FC"/>
    <w:rsid w:val="00944CE6"/>
    <w:rsid w:val="00951D1E"/>
    <w:rsid w:val="00953BF5"/>
    <w:rsid w:val="00954AE9"/>
    <w:rsid w:val="00960F3E"/>
    <w:rsid w:val="0096387F"/>
    <w:rsid w:val="009664FF"/>
    <w:rsid w:val="0097044A"/>
    <w:rsid w:val="00981FD0"/>
    <w:rsid w:val="00992E4D"/>
    <w:rsid w:val="00993F63"/>
    <w:rsid w:val="0099597B"/>
    <w:rsid w:val="00996E9C"/>
    <w:rsid w:val="009A1798"/>
    <w:rsid w:val="009B07F6"/>
    <w:rsid w:val="009B09B7"/>
    <w:rsid w:val="009B6277"/>
    <w:rsid w:val="009C49F7"/>
    <w:rsid w:val="009D2A75"/>
    <w:rsid w:val="009E07BF"/>
    <w:rsid w:val="009E1F34"/>
    <w:rsid w:val="009E2E95"/>
    <w:rsid w:val="009F2997"/>
    <w:rsid w:val="009F3FF4"/>
    <w:rsid w:val="009F4759"/>
    <w:rsid w:val="00A1027F"/>
    <w:rsid w:val="00A11B2C"/>
    <w:rsid w:val="00A12DCD"/>
    <w:rsid w:val="00A20DE3"/>
    <w:rsid w:val="00A21C23"/>
    <w:rsid w:val="00A253BC"/>
    <w:rsid w:val="00A37920"/>
    <w:rsid w:val="00A37D6A"/>
    <w:rsid w:val="00A4299C"/>
    <w:rsid w:val="00A452EC"/>
    <w:rsid w:val="00A54415"/>
    <w:rsid w:val="00A615BE"/>
    <w:rsid w:val="00A80C59"/>
    <w:rsid w:val="00A839BF"/>
    <w:rsid w:val="00A902E1"/>
    <w:rsid w:val="00A9764F"/>
    <w:rsid w:val="00AA75FF"/>
    <w:rsid w:val="00AC109D"/>
    <w:rsid w:val="00AC1789"/>
    <w:rsid w:val="00AC6511"/>
    <w:rsid w:val="00AC7A56"/>
    <w:rsid w:val="00AD38EA"/>
    <w:rsid w:val="00AD6331"/>
    <w:rsid w:val="00AF0D47"/>
    <w:rsid w:val="00AF41A4"/>
    <w:rsid w:val="00AF47F5"/>
    <w:rsid w:val="00B02504"/>
    <w:rsid w:val="00B05A4B"/>
    <w:rsid w:val="00B10C51"/>
    <w:rsid w:val="00B1142C"/>
    <w:rsid w:val="00B14D89"/>
    <w:rsid w:val="00B178D7"/>
    <w:rsid w:val="00B33CDF"/>
    <w:rsid w:val="00B40958"/>
    <w:rsid w:val="00B430A2"/>
    <w:rsid w:val="00B442ED"/>
    <w:rsid w:val="00B661E7"/>
    <w:rsid w:val="00B66D2C"/>
    <w:rsid w:val="00B731DE"/>
    <w:rsid w:val="00B74B76"/>
    <w:rsid w:val="00B77ED8"/>
    <w:rsid w:val="00B91978"/>
    <w:rsid w:val="00B94EF5"/>
    <w:rsid w:val="00BA49D2"/>
    <w:rsid w:val="00BA7064"/>
    <w:rsid w:val="00BB3A60"/>
    <w:rsid w:val="00BB5BE0"/>
    <w:rsid w:val="00BB6DEC"/>
    <w:rsid w:val="00BC24C0"/>
    <w:rsid w:val="00BD22C3"/>
    <w:rsid w:val="00BD383F"/>
    <w:rsid w:val="00BE716E"/>
    <w:rsid w:val="00BE7917"/>
    <w:rsid w:val="00BF0C21"/>
    <w:rsid w:val="00BF21BA"/>
    <w:rsid w:val="00C0730F"/>
    <w:rsid w:val="00C07695"/>
    <w:rsid w:val="00C22153"/>
    <w:rsid w:val="00C251F0"/>
    <w:rsid w:val="00C27824"/>
    <w:rsid w:val="00C31A62"/>
    <w:rsid w:val="00C367B0"/>
    <w:rsid w:val="00C37229"/>
    <w:rsid w:val="00C60592"/>
    <w:rsid w:val="00C70771"/>
    <w:rsid w:val="00C7136A"/>
    <w:rsid w:val="00C82FA5"/>
    <w:rsid w:val="00C8516D"/>
    <w:rsid w:val="00C85C6C"/>
    <w:rsid w:val="00C90D0A"/>
    <w:rsid w:val="00CA3703"/>
    <w:rsid w:val="00CA4903"/>
    <w:rsid w:val="00CA6AB8"/>
    <w:rsid w:val="00CB19A5"/>
    <w:rsid w:val="00CD1B7B"/>
    <w:rsid w:val="00CD604C"/>
    <w:rsid w:val="00CD6C06"/>
    <w:rsid w:val="00CE4997"/>
    <w:rsid w:val="00CE5513"/>
    <w:rsid w:val="00CE75D0"/>
    <w:rsid w:val="00CF7FC0"/>
    <w:rsid w:val="00D05E3A"/>
    <w:rsid w:val="00D06644"/>
    <w:rsid w:val="00D0752E"/>
    <w:rsid w:val="00D14E96"/>
    <w:rsid w:val="00D461F0"/>
    <w:rsid w:val="00D564E7"/>
    <w:rsid w:val="00D575F2"/>
    <w:rsid w:val="00D66155"/>
    <w:rsid w:val="00D67428"/>
    <w:rsid w:val="00D675BD"/>
    <w:rsid w:val="00D676A4"/>
    <w:rsid w:val="00D76425"/>
    <w:rsid w:val="00D81EDD"/>
    <w:rsid w:val="00D849F4"/>
    <w:rsid w:val="00D94AB6"/>
    <w:rsid w:val="00DA06AD"/>
    <w:rsid w:val="00DA2725"/>
    <w:rsid w:val="00DB6AD7"/>
    <w:rsid w:val="00DC02C4"/>
    <w:rsid w:val="00DC2F56"/>
    <w:rsid w:val="00DD48F8"/>
    <w:rsid w:val="00DE4696"/>
    <w:rsid w:val="00E019BF"/>
    <w:rsid w:val="00E047F7"/>
    <w:rsid w:val="00E04CE2"/>
    <w:rsid w:val="00E05D63"/>
    <w:rsid w:val="00E12B43"/>
    <w:rsid w:val="00E21479"/>
    <w:rsid w:val="00E3204F"/>
    <w:rsid w:val="00E40A4B"/>
    <w:rsid w:val="00E41317"/>
    <w:rsid w:val="00E44F33"/>
    <w:rsid w:val="00E55927"/>
    <w:rsid w:val="00E56274"/>
    <w:rsid w:val="00E609E7"/>
    <w:rsid w:val="00E60D4F"/>
    <w:rsid w:val="00E6303F"/>
    <w:rsid w:val="00E636B1"/>
    <w:rsid w:val="00E662BF"/>
    <w:rsid w:val="00E9271B"/>
    <w:rsid w:val="00EA1A64"/>
    <w:rsid w:val="00EA7908"/>
    <w:rsid w:val="00EB04D3"/>
    <w:rsid w:val="00EC0774"/>
    <w:rsid w:val="00EC58DF"/>
    <w:rsid w:val="00ED1C13"/>
    <w:rsid w:val="00ED2304"/>
    <w:rsid w:val="00EE5D7E"/>
    <w:rsid w:val="00F00A08"/>
    <w:rsid w:val="00F1086E"/>
    <w:rsid w:val="00F160F8"/>
    <w:rsid w:val="00F1780F"/>
    <w:rsid w:val="00F23DD1"/>
    <w:rsid w:val="00F3362F"/>
    <w:rsid w:val="00F40775"/>
    <w:rsid w:val="00F436CC"/>
    <w:rsid w:val="00F45085"/>
    <w:rsid w:val="00F47A38"/>
    <w:rsid w:val="00F52304"/>
    <w:rsid w:val="00F57D4F"/>
    <w:rsid w:val="00F864E1"/>
    <w:rsid w:val="00FA1D4E"/>
    <w:rsid w:val="00FA4AB9"/>
    <w:rsid w:val="00FA64DC"/>
    <w:rsid w:val="00FB0D15"/>
    <w:rsid w:val="00FB46FE"/>
    <w:rsid w:val="00FD0931"/>
    <w:rsid w:val="00FD12F0"/>
    <w:rsid w:val="00FD4A75"/>
    <w:rsid w:val="00FE211D"/>
    <w:rsid w:val="00FE2C79"/>
    <w:rsid w:val="00FF4601"/>
    <w:rsid w:val="0B17D9B2"/>
    <w:rsid w:val="0D4ADD99"/>
    <w:rsid w:val="0DF727A6"/>
    <w:rsid w:val="0ECF4A2D"/>
    <w:rsid w:val="0EF78411"/>
    <w:rsid w:val="17F31FAF"/>
    <w:rsid w:val="19E97763"/>
    <w:rsid w:val="19FDACC4"/>
    <w:rsid w:val="1B79F751"/>
    <w:rsid w:val="1D5FF6D1"/>
    <w:rsid w:val="1DDE7F8F"/>
    <w:rsid w:val="1DEE2362"/>
    <w:rsid w:val="1E5B9DAF"/>
    <w:rsid w:val="1EFDD995"/>
    <w:rsid w:val="1F974167"/>
    <w:rsid w:val="1FDB50A9"/>
    <w:rsid w:val="22D93D9D"/>
    <w:rsid w:val="26E47704"/>
    <w:rsid w:val="27FE8D6D"/>
    <w:rsid w:val="2CAFA274"/>
    <w:rsid w:val="2D4ED331"/>
    <w:rsid w:val="2DFD138F"/>
    <w:rsid w:val="2F3F2574"/>
    <w:rsid w:val="2FB79116"/>
    <w:rsid w:val="2FD3C1F5"/>
    <w:rsid w:val="2FFEEEF8"/>
    <w:rsid w:val="31FC0B63"/>
    <w:rsid w:val="31FFE462"/>
    <w:rsid w:val="325F82E3"/>
    <w:rsid w:val="33EEEAEF"/>
    <w:rsid w:val="33FF607C"/>
    <w:rsid w:val="34DFFCE2"/>
    <w:rsid w:val="355A1B32"/>
    <w:rsid w:val="357FC90E"/>
    <w:rsid w:val="35B0A96C"/>
    <w:rsid w:val="36D5C181"/>
    <w:rsid w:val="38FFBCD3"/>
    <w:rsid w:val="39FF0C15"/>
    <w:rsid w:val="3A7F5248"/>
    <w:rsid w:val="3B6B9F21"/>
    <w:rsid w:val="3B9B9E44"/>
    <w:rsid w:val="3BCEEB54"/>
    <w:rsid w:val="3BDB2C53"/>
    <w:rsid w:val="3BDDD140"/>
    <w:rsid w:val="3BEFCF61"/>
    <w:rsid w:val="3D5F1D83"/>
    <w:rsid w:val="3D7CB51B"/>
    <w:rsid w:val="3DA6A442"/>
    <w:rsid w:val="3DBE1D5F"/>
    <w:rsid w:val="3DD5A356"/>
    <w:rsid w:val="3DD72D10"/>
    <w:rsid w:val="3DD73AFE"/>
    <w:rsid w:val="3EFDA6E8"/>
    <w:rsid w:val="3EFE67AF"/>
    <w:rsid w:val="3F17E5A7"/>
    <w:rsid w:val="3F6F947C"/>
    <w:rsid w:val="3F7F226E"/>
    <w:rsid w:val="3FF3A16D"/>
    <w:rsid w:val="48ED3C46"/>
    <w:rsid w:val="49B7ABC2"/>
    <w:rsid w:val="4AFDF7D2"/>
    <w:rsid w:val="4E3B21FD"/>
    <w:rsid w:val="4ED92E81"/>
    <w:rsid w:val="4F7B566A"/>
    <w:rsid w:val="4FB83C40"/>
    <w:rsid w:val="4FE72C58"/>
    <w:rsid w:val="4FFE22BF"/>
    <w:rsid w:val="517FBEEC"/>
    <w:rsid w:val="54DAA3F0"/>
    <w:rsid w:val="557EA100"/>
    <w:rsid w:val="565D1CF4"/>
    <w:rsid w:val="5693E62D"/>
    <w:rsid w:val="56E9984C"/>
    <w:rsid w:val="573D737E"/>
    <w:rsid w:val="57DFF8A9"/>
    <w:rsid w:val="57FFC1FC"/>
    <w:rsid w:val="59F48F4D"/>
    <w:rsid w:val="59F7E897"/>
    <w:rsid w:val="59FF258F"/>
    <w:rsid w:val="59FFA344"/>
    <w:rsid w:val="5B7C83E1"/>
    <w:rsid w:val="5BDE07F7"/>
    <w:rsid w:val="5BF2CB91"/>
    <w:rsid w:val="5BFF789B"/>
    <w:rsid w:val="5D7FCFE4"/>
    <w:rsid w:val="5DDFAA68"/>
    <w:rsid w:val="5DF91ACD"/>
    <w:rsid w:val="5EEB5519"/>
    <w:rsid w:val="5EFD5A11"/>
    <w:rsid w:val="5F7F7546"/>
    <w:rsid w:val="5FD8E66E"/>
    <w:rsid w:val="5FFDA22F"/>
    <w:rsid w:val="5FFDD812"/>
    <w:rsid w:val="5FFF5878"/>
    <w:rsid w:val="62FDF151"/>
    <w:rsid w:val="637A03B7"/>
    <w:rsid w:val="63A20636"/>
    <w:rsid w:val="66F50F77"/>
    <w:rsid w:val="677FA90C"/>
    <w:rsid w:val="67BF40DA"/>
    <w:rsid w:val="67D8F64A"/>
    <w:rsid w:val="68B3108F"/>
    <w:rsid w:val="6A65BDFF"/>
    <w:rsid w:val="6AFFCE19"/>
    <w:rsid w:val="6B5D3EF7"/>
    <w:rsid w:val="6B763311"/>
    <w:rsid w:val="6BE77CD1"/>
    <w:rsid w:val="6CD51746"/>
    <w:rsid w:val="6CEF6954"/>
    <w:rsid w:val="6DE29EE6"/>
    <w:rsid w:val="6DFFE9F7"/>
    <w:rsid w:val="6EB57135"/>
    <w:rsid w:val="6EEF309E"/>
    <w:rsid w:val="6EFB0E42"/>
    <w:rsid w:val="6F564B6D"/>
    <w:rsid w:val="6F5B2A99"/>
    <w:rsid w:val="6F5BE8C8"/>
    <w:rsid w:val="6F6F65A2"/>
    <w:rsid w:val="6F746AC7"/>
    <w:rsid w:val="6FD9914C"/>
    <w:rsid w:val="6FDB7EB0"/>
    <w:rsid w:val="6FDF7426"/>
    <w:rsid w:val="6FDF7A41"/>
    <w:rsid w:val="6FFF01F3"/>
    <w:rsid w:val="6FFF6F1F"/>
    <w:rsid w:val="6FFF90A9"/>
    <w:rsid w:val="71AFBE2C"/>
    <w:rsid w:val="72B7320D"/>
    <w:rsid w:val="737FB1D0"/>
    <w:rsid w:val="739F6997"/>
    <w:rsid w:val="73BB4F3D"/>
    <w:rsid w:val="73EC5922"/>
    <w:rsid w:val="73EFAC2D"/>
    <w:rsid w:val="73FE3DDB"/>
    <w:rsid w:val="74A23EC8"/>
    <w:rsid w:val="74BB6841"/>
    <w:rsid w:val="7577C64A"/>
    <w:rsid w:val="75BB2539"/>
    <w:rsid w:val="7677FED4"/>
    <w:rsid w:val="76B3E38D"/>
    <w:rsid w:val="76E7D01E"/>
    <w:rsid w:val="76FEAEC3"/>
    <w:rsid w:val="777EFA34"/>
    <w:rsid w:val="777FEE05"/>
    <w:rsid w:val="777FF848"/>
    <w:rsid w:val="778B8BD1"/>
    <w:rsid w:val="77ED846D"/>
    <w:rsid w:val="789F70FD"/>
    <w:rsid w:val="78B91153"/>
    <w:rsid w:val="78DF7371"/>
    <w:rsid w:val="7997EB16"/>
    <w:rsid w:val="79BF6E51"/>
    <w:rsid w:val="7A736AB5"/>
    <w:rsid w:val="7ABF49F6"/>
    <w:rsid w:val="7ABFBEFB"/>
    <w:rsid w:val="7AFEE1A5"/>
    <w:rsid w:val="7B3E2175"/>
    <w:rsid w:val="7B3F1AB6"/>
    <w:rsid w:val="7B4EFC83"/>
    <w:rsid w:val="7B7FF845"/>
    <w:rsid w:val="7BC8EC4E"/>
    <w:rsid w:val="7BDBD359"/>
    <w:rsid w:val="7BEF8D58"/>
    <w:rsid w:val="7BF7D74E"/>
    <w:rsid w:val="7BF9D4D4"/>
    <w:rsid w:val="7BFE5DFB"/>
    <w:rsid w:val="7BFF0107"/>
    <w:rsid w:val="7CE7FBD9"/>
    <w:rsid w:val="7CFC7DE0"/>
    <w:rsid w:val="7D3658BF"/>
    <w:rsid w:val="7D6F4BFF"/>
    <w:rsid w:val="7D7BBEEF"/>
    <w:rsid w:val="7D976FF7"/>
    <w:rsid w:val="7DAD70A5"/>
    <w:rsid w:val="7DAFCC8C"/>
    <w:rsid w:val="7DBF8959"/>
    <w:rsid w:val="7DEF501D"/>
    <w:rsid w:val="7E57C162"/>
    <w:rsid w:val="7E57D8F9"/>
    <w:rsid w:val="7E76CAB0"/>
    <w:rsid w:val="7E9F5478"/>
    <w:rsid w:val="7EAF5035"/>
    <w:rsid w:val="7EF72006"/>
    <w:rsid w:val="7EF7A6C1"/>
    <w:rsid w:val="7F2C4F2E"/>
    <w:rsid w:val="7F31B568"/>
    <w:rsid w:val="7F3DF15B"/>
    <w:rsid w:val="7F3F300E"/>
    <w:rsid w:val="7F4E5AC5"/>
    <w:rsid w:val="7F5F1B4B"/>
    <w:rsid w:val="7F6DF6DB"/>
    <w:rsid w:val="7F7BA3AD"/>
    <w:rsid w:val="7F7D6551"/>
    <w:rsid w:val="7F7F6277"/>
    <w:rsid w:val="7F7F999A"/>
    <w:rsid w:val="7FBD1217"/>
    <w:rsid w:val="7FBFFBF7"/>
    <w:rsid w:val="7FD6F795"/>
    <w:rsid w:val="7FED2AAD"/>
    <w:rsid w:val="7FEEBD0B"/>
    <w:rsid w:val="7FEF4687"/>
    <w:rsid w:val="7FF252FF"/>
    <w:rsid w:val="7FF625DC"/>
    <w:rsid w:val="7FF66A65"/>
    <w:rsid w:val="7FF78D70"/>
    <w:rsid w:val="7FF9F463"/>
    <w:rsid w:val="7FFB7637"/>
    <w:rsid w:val="7FFF87E0"/>
    <w:rsid w:val="7FFFA07D"/>
    <w:rsid w:val="7FFFA91B"/>
    <w:rsid w:val="97F7519A"/>
    <w:rsid w:val="99B12D7F"/>
    <w:rsid w:val="99F3FE3D"/>
    <w:rsid w:val="9C55CAF3"/>
    <w:rsid w:val="9C7F6830"/>
    <w:rsid w:val="9DEF9ED3"/>
    <w:rsid w:val="9DEFF5EF"/>
    <w:rsid w:val="9EFF8C4E"/>
    <w:rsid w:val="9FD9296A"/>
    <w:rsid w:val="9FEB9320"/>
    <w:rsid w:val="A5FF9C0D"/>
    <w:rsid w:val="AA7F5B66"/>
    <w:rsid w:val="ABFD5A6D"/>
    <w:rsid w:val="ADAF437A"/>
    <w:rsid w:val="AE7D3A29"/>
    <w:rsid w:val="AF6DFD04"/>
    <w:rsid w:val="AFF5A875"/>
    <w:rsid w:val="AFFF7EB1"/>
    <w:rsid w:val="B36717A2"/>
    <w:rsid w:val="B3EEF67A"/>
    <w:rsid w:val="B7BFF1F9"/>
    <w:rsid w:val="B7FBEABD"/>
    <w:rsid w:val="B93FB270"/>
    <w:rsid w:val="B99F07BF"/>
    <w:rsid w:val="B9BB35E7"/>
    <w:rsid w:val="BAFFD76F"/>
    <w:rsid w:val="BBEF2BD1"/>
    <w:rsid w:val="BBF67EA8"/>
    <w:rsid w:val="BBF7BDA5"/>
    <w:rsid w:val="BCFB26AF"/>
    <w:rsid w:val="BD3E4D3A"/>
    <w:rsid w:val="BD6FA98F"/>
    <w:rsid w:val="BD6FB1E9"/>
    <w:rsid w:val="BD7045CC"/>
    <w:rsid w:val="BD7F7D3A"/>
    <w:rsid w:val="BE5F25D4"/>
    <w:rsid w:val="BEEAF2E7"/>
    <w:rsid w:val="BEF76724"/>
    <w:rsid w:val="BF8DBFEC"/>
    <w:rsid w:val="BFAFEC3B"/>
    <w:rsid w:val="BFDF9798"/>
    <w:rsid w:val="BFDFD4B0"/>
    <w:rsid w:val="BFEF04B8"/>
    <w:rsid w:val="C3AFB1FE"/>
    <w:rsid w:val="C72E8EE4"/>
    <w:rsid w:val="C77120EE"/>
    <w:rsid w:val="C9BF5744"/>
    <w:rsid w:val="CDFD690C"/>
    <w:rsid w:val="CDFE25A1"/>
    <w:rsid w:val="CECF4BE3"/>
    <w:rsid w:val="CF5FFD0A"/>
    <w:rsid w:val="CFAF1D28"/>
    <w:rsid w:val="CFC74EAF"/>
    <w:rsid w:val="CFECAEF0"/>
    <w:rsid w:val="CFF27A18"/>
    <w:rsid w:val="CFFEC184"/>
    <w:rsid w:val="D3F7666A"/>
    <w:rsid w:val="D3F7C9DE"/>
    <w:rsid w:val="D6F71062"/>
    <w:rsid w:val="D6FF8830"/>
    <w:rsid w:val="D77B7552"/>
    <w:rsid w:val="D7F90234"/>
    <w:rsid w:val="D7FFDEF4"/>
    <w:rsid w:val="D96D2573"/>
    <w:rsid w:val="DAADBEBB"/>
    <w:rsid w:val="DBFFF00A"/>
    <w:rsid w:val="DDAE4ECE"/>
    <w:rsid w:val="DDF9716D"/>
    <w:rsid w:val="DF4DA5CF"/>
    <w:rsid w:val="DF7F0A87"/>
    <w:rsid w:val="DFD51A5B"/>
    <w:rsid w:val="DFE6435B"/>
    <w:rsid w:val="DFF9D7E0"/>
    <w:rsid w:val="DFFEDDFD"/>
    <w:rsid w:val="E3BE66A1"/>
    <w:rsid w:val="E6FE44F5"/>
    <w:rsid w:val="E7E2EDC0"/>
    <w:rsid w:val="E7EBEAFA"/>
    <w:rsid w:val="E7FFF4F8"/>
    <w:rsid w:val="E8AE2048"/>
    <w:rsid w:val="EAB71928"/>
    <w:rsid w:val="EAFE3ED7"/>
    <w:rsid w:val="EB7FC024"/>
    <w:rsid w:val="EBF075CA"/>
    <w:rsid w:val="ECB9ED4A"/>
    <w:rsid w:val="ED2D247B"/>
    <w:rsid w:val="EDF6F9C3"/>
    <w:rsid w:val="EECF56D0"/>
    <w:rsid w:val="EEDDFEE0"/>
    <w:rsid w:val="EF3D707C"/>
    <w:rsid w:val="EFAB4E79"/>
    <w:rsid w:val="EFAEA520"/>
    <w:rsid w:val="EFB7078B"/>
    <w:rsid w:val="EFB8029E"/>
    <w:rsid w:val="EFDCFC10"/>
    <w:rsid w:val="EFDEDE1F"/>
    <w:rsid w:val="EFE72298"/>
    <w:rsid w:val="EFF974A1"/>
    <w:rsid w:val="EFFB7B8E"/>
    <w:rsid w:val="EFFF10A0"/>
    <w:rsid w:val="F17B46B9"/>
    <w:rsid w:val="F38E80A6"/>
    <w:rsid w:val="F3EFA866"/>
    <w:rsid w:val="F3F77465"/>
    <w:rsid w:val="F46EB2E9"/>
    <w:rsid w:val="F5793E8A"/>
    <w:rsid w:val="F5BD496E"/>
    <w:rsid w:val="F6DEC26D"/>
    <w:rsid w:val="F775DEFB"/>
    <w:rsid w:val="F7BC4044"/>
    <w:rsid w:val="F7BD9F0E"/>
    <w:rsid w:val="F7DAAB0A"/>
    <w:rsid w:val="F7DD0499"/>
    <w:rsid w:val="F9F70A9A"/>
    <w:rsid w:val="FABF8AD8"/>
    <w:rsid w:val="FADFD29B"/>
    <w:rsid w:val="FAEB3D62"/>
    <w:rsid w:val="FB2E9AC9"/>
    <w:rsid w:val="FB5D037C"/>
    <w:rsid w:val="FB7701DA"/>
    <w:rsid w:val="FB7EFC63"/>
    <w:rsid w:val="FB7FDE53"/>
    <w:rsid w:val="FB8B5FB9"/>
    <w:rsid w:val="FBF55137"/>
    <w:rsid w:val="FC52997A"/>
    <w:rsid w:val="FC79BDAB"/>
    <w:rsid w:val="FCBDE8B9"/>
    <w:rsid w:val="FCFF74A6"/>
    <w:rsid w:val="FD3FBA48"/>
    <w:rsid w:val="FD73D47F"/>
    <w:rsid w:val="FD74CAFF"/>
    <w:rsid w:val="FD7FF15F"/>
    <w:rsid w:val="FDBF6EC7"/>
    <w:rsid w:val="FDC7A385"/>
    <w:rsid w:val="FDDFF2F4"/>
    <w:rsid w:val="FDE60251"/>
    <w:rsid w:val="FDEF6987"/>
    <w:rsid w:val="FDFDEA1A"/>
    <w:rsid w:val="FE39D573"/>
    <w:rsid w:val="FE7F0192"/>
    <w:rsid w:val="FECF500B"/>
    <w:rsid w:val="FEDEDA40"/>
    <w:rsid w:val="FEEFE506"/>
    <w:rsid w:val="FEFE47E8"/>
    <w:rsid w:val="FF3E83A0"/>
    <w:rsid w:val="FF7D32F6"/>
    <w:rsid w:val="FF7F18E8"/>
    <w:rsid w:val="FF7F3F0C"/>
    <w:rsid w:val="FF7F50DB"/>
    <w:rsid w:val="FFA9FB47"/>
    <w:rsid w:val="FFBBF482"/>
    <w:rsid w:val="FFBF8F19"/>
    <w:rsid w:val="FFC4D3F9"/>
    <w:rsid w:val="FFC7A96A"/>
    <w:rsid w:val="FFD51B70"/>
    <w:rsid w:val="FFEE32C4"/>
    <w:rsid w:val="FFEE52BC"/>
    <w:rsid w:val="FFEEA654"/>
    <w:rsid w:val="FFFDE1D2"/>
    <w:rsid w:val="FFFE54EB"/>
    <w:rsid w:val="FFFEB94C"/>
    <w:rsid w:val="FFFEEF9B"/>
    <w:rsid w:val="FFFEF364"/>
    <w:rsid w:val="FFFF791C"/>
    <w:rsid w:val="FFFFD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1"/>
    <w:qFormat/>
    <w:uiPriority w:val="0"/>
    <w:pPr>
      <w:keepNext/>
      <w:keepLines/>
      <w:spacing w:before="340" w:after="330" w:line="578" w:lineRule="auto"/>
      <w:jc w:val="center"/>
      <w:outlineLvl w:val="0"/>
    </w:pPr>
    <w:rPr>
      <w:rFonts w:ascii="Calibri" w:hAnsi="Calibri" w:eastAsia="方正小标宋简体"/>
      <w:b/>
      <w:bCs/>
      <w:kern w:val="44"/>
      <w:sz w:val="44"/>
      <w:szCs w:val="44"/>
    </w:rPr>
  </w:style>
  <w:style w:type="paragraph" w:styleId="5">
    <w:name w:val="heading 2"/>
    <w:basedOn w:val="1"/>
    <w:next w:val="1"/>
    <w:link w:val="22"/>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58"/>
    <w:qFormat/>
    <w:uiPriority w:val="0"/>
    <w:pPr>
      <w:keepNext/>
      <w:keepLines/>
      <w:spacing w:before="260" w:after="260" w:line="416" w:lineRule="auto"/>
      <w:outlineLvl w:val="2"/>
    </w:pPr>
    <w:rPr>
      <w:b/>
      <w:bCs/>
      <w:sz w:val="32"/>
      <w:szCs w:val="32"/>
    </w:rPr>
  </w:style>
  <w:style w:type="paragraph" w:styleId="7">
    <w:name w:val="heading 4"/>
    <w:basedOn w:val="1"/>
    <w:next w:val="1"/>
    <w:link w:val="24"/>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25"/>
    <w:unhideWhenUsed/>
    <w:qFormat/>
    <w:uiPriority w:val="0"/>
    <w:pPr>
      <w:keepNext/>
      <w:keepLines/>
      <w:spacing w:before="280" w:after="290" w:line="376" w:lineRule="auto"/>
      <w:outlineLvl w:val="4"/>
    </w:pPr>
    <w:rPr>
      <w:b/>
      <w:bCs/>
      <w:sz w:val="28"/>
      <w:szCs w:val="28"/>
      <w:lang w:val="zh-CN"/>
    </w:rPr>
  </w:style>
  <w:style w:type="paragraph" w:styleId="9">
    <w:name w:val="heading 7"/>
    <w:basedOn w:val="1"/>
    <w:next w:val="1"/>
    <w:link w:val="61"/>
    <w:semiHidden/>
    <w:unhideWhenUsed/>
    <w:qFormat/>
    <w:uiPriority w:val="9"/>
    <w:pPr>
      <w:keepNext/>
      <w:keepLines/>
      <w:spacing w:before="240" w:after="64" w:line="320" w:lineRule="auto"/>
      <w:outlineLvl w:val="6"/>
    </w:pPr>
    <w:rPr>
      <w:b/>
      <w:bCs/>
      <w:sz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3"/>
    <w:basedOn w:val="1"/>
    <w:next w:val="3"/>
    <w:qFormat/>
    <w:uiPriority w:val="99"/>
    <w:pPr>
      <w:spacing w:after="120"/>
    </w:pPr>
    <w:rPr>
      <w:rFonts w:eastAsia="仿宋_GB2312"/>
      <w:kern w:val="0"/>
      <w:sz w:val="16"/>
      <w:szCs w:val="16"/>
    </w:rPr>
  </w:style>
  <w:style w:type="paragraph" w:customStyle="1" w:styleId="3">
    <w:name w:val="Char1"/>
    <w:basedOn w:val="1"/>
    <w:qFormat/>
    <w:uiPriority w:val="99"/>
    <w:pPr>
      <w:ind w:left="840" w:hanging="420"/>
    </w:pPr>
    <w:rPr>
      <w:rFonts w:eastAsia="仿宋_GB2312"/>
      <w:sz w:val="24"/>
    </w:rPr>
  </w:style>
  <w:style w:type="paragraph" w:styleId="10">
    <w:name w:val="Body Text"/>
    <w:basedOn w:val="1"/>
    <w:link w:val="35"/>
    <w:qFormat/>
    <w:uiPriority w:val="0"/>
    <w:pPr>
      <w:spacing w:line="480" w:lineRule="exact"/>
    </w:pPr>
    <w:rPr>
      <w:rFonts w:ascii="Calibri" w:hAnsi="Calibri" w:eastAsia="仿宋_GB2312"/>
      <w:sz w:val="32"/>
    </w:rPr>
  </w:style>
  <w:style w:type="paragraph" w:styleId="11">
    <w:name w:val="Date"/>
    <w:basedOn w:val="1"/>
    <w:next w:val="1"/>
    <w:link w:val="49"/>
    <w:qFormat/>
    <w:uiPriority w:val="0"/>
    <w:pPr>
      <w:ind w:left="100" w:leftChars="2500"/>
    </w:pPr>
    <w:rPr>
      <w:lang w:val="zh-CN"/>
    </w:rPr>
  </w:style>
  <w:style w:type="paragraph" w:styleId="12">
    <w:name w:val="Balloon Text"/>
    <w:basedOn w:val="1"/>
    <w:link w:val="53"/>
    <w:qFormat/>
    <w:uiPriority w:val="0"/>
    <w:rPr>
      <w:sz w:val="18"/>
      <w:szCs w:val="18"/>
      <w:lang w:val="zh-CN"/>
    </w:rPr>
  </w:style>
  <w:style w:type="paragraph" w:styleId="13">
    <w:name w:val="footer"/>
    <w:basedOn w:val="1"/>
    <w:link w:val="55"/>
    <w:qFormat/>
    <w:uiPriority w:val="99"/>
    <w:pPr>
      <w:tabs>
        <w:tab w:val="center" w:pos="4153"/>
        <w:tab w:val="right" w:pos="8306"/>
      </w:tabs>
      <w:snapToGrid w:val="0"/>
      <w:jc w:val="left"/>
    </w:pPr>
    <w:rPr>
      <w:sz w:val="18"/>
      <w:szCs w:val="18"/>
    </w:rPr>
  </w:style>
  <w:style w:type="paragraph" w:styleId="14">
    <w:name w:val="header"/>
    <w:basedOn w:val="1"/>
    <w:link w:val="44"/>
    <w:qFormat/>
    <w:uiPriority w:val="0"/>
    <w:pPr>
      <w:pBdr>
        <w:bottom w:val="single" w:color="auto" w:sz="6" w:space="1"/>
      </w:pBdr>
      <w:tabs>
        <w:tab w:val="center" w:pos="4153"/>
        <w:tab w:val="right" w:pos="8306"/>
      </w:tabs>
      <w:snapToGrid w:val="0"/>
      <w:jc w:val="center"/>
    </w:pPr>
    <w:rPr>
      <w:sz w:val="18"/>
      <w:szCs w:val="18"/>
      <w:lang w:val="zh-CN"/>
    </w:r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7">
    <w:name w:val="Table Grid"/>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Hyperlink"/>
    <w:qFormat/>
    <w:uiPriority w:val="0"/>
    <w:rPr>
      <w:color w:val="0000FF"/>
      <w:u w:val="single"/>
    </w:rPr>
  </w:style>
  <w:style w:type="character" w:customStyle="1" w:styleId="21">
    <w:name w:val="标题 1 字符"/>
    <w:basedOn w:val="18"/>
    <w:link w:val="4"/>
    <w:qFormat/>
    <w:uiPriority w:val="0"/>
    <w:rPr>
      <w:rFonts w:ascii="Calibri" w:hAnsi="Calibri" w:eastAsia="方正小标宋简体" w:cs="Times New Roman"/>
      <w:b/>
      <w:bCs/>
      <w:kern w:val="44"/>
      <w:sz w:val="44"/>
      <w:szCs w:val="44"/>
    </w:rPr>
  </w:style>
  <w:style w:type="character" w:customStyle="1" w:styleId="22">
    <w:name w:val="标题 2 字符"/>
    <w:basedOn w:val="18"/>
    <w:link w:val="5"/>
    <w:qFormat/>
    <w:uiPriority w:val="0"/>
    <w:rPr>
      <w:rFonts w:ascii="Arial" w:hAnsi="Arial" w:eastAsia="黑体" w:cs="Times New Roman"/>
      <w:b/>
      <w:bCs/>
      <w:sz w:val="32"/>
      <w:szCs w:val="32"/>
    </w:rPr>
  </w:style>
  <w:style w:type="character" w:customStyle="1" w:styleId="23">
    <w:name w:val="标题 3 字符"/>
    <w:basedOn w:val="18"/>
    <w:semiHidden/>
    <w:qFormat/>
    <w:uiPriority w:val="9"/>
    <w:rPr>
      <w:rFonts w:ascii="Times New Roman" w:hAnsi="Times New Roman" w:eastAsia="宋体" w:cs="Times New Roman"/>
      <w:b/>
      <w:bCs/>
      <w:sz w:val="32"/>
      <w:szCs w:val="32"/>
    </w:rPr>
  </w:style>
  <w:style w:type="character" w:customStyle="1" w:styleId="24">
    <w:name w:val="标题 4 字符"/>
    <w:basedOn w:val="18"/>
    <w:link w:val="7"/>
    <w:qFormat/>
    <w:uiPriority w:val="0"/>
    <w:rPr>
      <w:rFonts w:ascii="Arial" w:hAnsi="Arial" w:eastAsia="黑体" w:cs="Times New Roman"/>
      <w:b/>
      <w:bCs/>
      <w:sz w:val="28"/>
      <w:szCs w:val="28"/>
    </w:rPr>
  </w:style>
  <w:style w:type="character" w:customStyle="1" w:styleId="25">
    <w:name w:val="标题 5 字符"/>
    <w:basedOn w:val="18"/>
    <w:link w:val="8"/>
    <w:qFormat/>
    <w:uiPriority w:val="0"/>
    <w:rPr>
      <w:rFonts w:ascii="Times New Roman" w:hAnsi="Times New Roman" w:eastAsia="宋体" w:cs="Times New Roman"/>
      <w:b/>
      <w:bCs/>
      <w:sz w:val="28"/>
      <w:szCs w:val="28"/>
      <w:lang w:val="zh-CN" w:eastAsia="zh-CN"/>
    </w:rPr>
  </w:style>
  <w:style w:type="character" w:customStyle="1" w:styleId="26">
    <w:name w:val="标题 7 字符"/>
    <w:basedOn w:val="18"/>
    <w:semiHidden/>
    <w:qFormat/>
    <w:uiPriority w:val="9"/>
    <w:rPr>
      <w:rFonts w:ascii="Times New Roman" w:hAnsi="Times New Roman" w:eastAsia="宋体" w:cs="Times New Roman"/>
      <w:b/>
      <w:bCs/>
      <w:sz w:val="24"/>
      <w:szCs w:val="24"/>
    </w:rPr>
  </w:style>
  <w:style w:type="paragraph" w:customStyle="1" w:styleId="27">
    <w:name w:val="段"/>
    <w:link w:val="28"/>
    <w:qFormat/>
    <w:uiPriority w:val="0"/>
    <w:pPr>
      <w:tabs>
        <w:tab w:val="center" w:pos="4201"/>
        <w:tab w:val="right" w:leader="dot" w:pos="9298"/>
      </w:tabs>
      <w:autoSpaceDE w:val="0"/>
      <w:autoSpaceDN w:val="0"/>
      <w:ind w:firstLine="420" w:firstLineChars="200"/>
      <w:jc w:val="both"/>
    </w:pPr>
    <w:rPr>
      <w:rFonts w:ascii="宋体" w:hAnsi="Times New Roman" w:eastAsia="宋体" w:cs="宋体"/>
      <w:sz w:val="21"/>
      <w:szCs w:val="21"/>
      <w:lang w:val="en-US" w:eastAsia="zh-CN" w:bidi="ar-SA"/>
    </w:rPr>
  </w:style>
  <w:style w:type="character" w:customStyle="1" w:styleId="28">
    <w:name w:val="段 Char"/>
    <w:link w:val="27"/>
    <w:qFormat/>
    <w:locked/>
    <w:uiPriority w:val="0"/>
    <w:rPr>
      <w:rFonts w:ascii="宋体" w:hAnsi="Times New Roman" w:eastAsia="宋体" w:cs="宋体"/>
      <w:kern w:val="0"/>
      <w:szCs w:val="21"/>
    </w:rPr>
  </w:style>
  <w:style w:type="paragraph" w:customStyle="1" w:styleId="29">
    <w:name w:val="一级条标题"/>
    <w:next w:val="27"/>
    <w:qFormat/>
    <w:uiPriority w:val="0"/>
    <w:pPr>
      <w:numPr>
        <w:ilvl w:val="1"/>
        <w:numId w:val="1"/>
      </w:numPr>
      <w:spacing w:beforeLines="50" w:afterLines="50"/>
      <w:outlineLvl w:val="2"/>
    </w:pPr>
    <w:rPr>
      <w:rFonts w:ascii="黑体" w:hAnsi="Times New Roman" w:eastAsia="黑体" w:cs="黑体"/>
      <w:sz w:val="21"/>
      <w:szCs w:val="21"/>
      <w:lang w:val="en-US" w:eastAsia="zh-CN" w:bidi="ar-SA"/>
    </w:rPr>
  </w:style>
  <w:style w:type="paragraph" w:customStyle="1" w:styleId="30">
    <w:name w:val="章标题"/>
    <w:next w:val="27"/>
    <w:qFormat/>
    <w:uiPriority w:val="0"/>
    <w:pPr>
      <w:numPr>
        <w:ilvl w:val="0"/>
        <w:numId w:val="1"/>
      </w:numPr>
      <w:spacing w:beforeLines="100" w:afterLines="100"/>
      <w:jc w:val="both"/>
      <w:outlineLvl w:val="1"/>
    </w:pPr>
    <w:rPr>
      <w:rFonts w:ascii="黑体" w:hAnsi="Times New Roman" w:eastAsia="黑体" w:cs="黑体"/>
      <w:sz w:val="21"/>
      <w:szCs w:val="21"/>
      <w:lang w:val="en-US" w:eastAsia="zh-CN" w:bidi="ar-SA"/>
    </w:rPr>
  </w:style>
  <w:style w:type="paragraph" w:customStyle="1" w:styleId="31">
    <w:name w:val="二级条标题"/>
    <w:basedOn w:val="29"/>
    <w:next w:val="27"/>
    <w:qFormat/>
    <w:uiPriority w:val="0"/>
    <w:pPr>
      <w:numPr>
        <w:ilvl w:val="2"/>
      </w:numPr>
      <w:spacing w:before="50" w:after="50"/>
      <w:outlineLvl w:val="3"/>
    </w:pPr>
  </w:style>
  <w:style w:type="paragraph" w:customStyle="1" w:styleId="32">
    <w:name w:val="三级条标题"/>
    <w:basedOn w:val="31"/>
    <w:next w:val="27"/>
    <w:qFormat/>
    <w:uiPriority w:val="0"/>
    <w:pPr>
      <w:numPr>
        <w:ilvl w:val="3"/>
      </w:numPr>
      <w:outlineLvl w:val="4"/>
    </w:pPr>
  </w:style>
  <w:style w:type="paragraph" w:customStyle="1" w:styleId="33">
    <w:name w:val="四级条标题"/>
    <w:basedOn w:val="32"/>
    <w:next w:val="27"/>
    <w:qFormat/>
    <w:uiPriority w:val="0"/>
    <w:pPr>
      <w:numPr>
        <w:ilvl w:val="4"/>
      </w:numPr>
      <w:outlineLvl w:val="5"/>
    </w:pPr>
  </w:style>
  <w:style w:type="paragraph" w:customStyle="1" w:styleId="34">
    <w:name w:val="五级条标题"/>
    <w:basedOn w:val="33"/>
    <w:next w:val="27"/>
    <w:qFormat/>
    <w:uiPriority w:val="0"/>
    <w:pPr>
      <w:numPr>
        <w:ilvl w:val="5"/>
      </w:numPr>
      <w:outlineLvl w:val="6"/>
    </w:pPr>
  </w:style>
  <w:style w:type="character" w:customStyle="1" w:styleId="35">
    <w:name w:val="正文文本 字符"/>
    <w:basedOn w:val="18"/>
    <w:link w:val="10"/>
    <w:qFormat/>
    <w:uiPriority w:val="0"/>
    <w:rPr>
      <w:rFonts w:ascii="Calibri" w:hAnsi="Calibri" w:eastAsia="仿宋_GB2312" w:cs="Times New Roman"/>
      <w:sz w:val="32"/>
      <w:szCs w:val="24"/>
    </w:rPr>
  </w:style>
  <w:style w:type="paragraph" w:customStyle="1" w:styleId="36">
    <w:name w:val="表头"/>
    <w:basedOn w:val="1"/>
    <w:qFormat/>
    <w:uiPriority w:val="0"/>
    <w:pPr>
      <w:widowControl/>
      <w:spacing w:line="440" w:lineRule="exact"/>
      <w:jc w:val="center"/>
    </w:pPr>
    <w:rPr>
      <w:rFonts w:ascii="黑体" w:hAnsi="黑体" w:eastAsia="黑体"/>
      <w:b/>
      <w:bCs/>
      <w:color w:val="000000"/>
      <w:kern w:val="0"/>
      <w:sz w:val="32"/>
      <w:szCs w:val="28"/>
    </w:rPr>
  </w:style>
  <w:style w:type="character" w:customStyle="1" w:styleId="37">
    <w:name w:val="highlight"/>
    <w:basedOn w:val="18"/>
    <w:qFormat/>
    <w:uiPriority w:val="0"/>
  </w:style>
  <w:style w:type="character" w:customStyle="1" w:styleId="38">
    <w:name w:val="apple-converted-space"/>
    <w:basedOn w:val="18"/>
    <w:qFormat/>
    <w:uiPriority w:val="0"/>
  </w:style>
  <w:style w:type="character" w:customStyle="1" w:styleId="39">
    <w:name w:val="页脚 字符"/>
    <w:basedOn w:val="18"/>
    <w:semiHidden/>
    <w:qFormat/>
    <w:uiPriority w:val="99"/>
    <w:rPr>
      <w:rFonts w:ascii="Times New Roman" w:hAnsi="Times New Roman" w:eastAsia="宋体" w:cs="Times New Roman"/>
      <w:sz w:val="18"/>
      <w:szCs w:val="18"/>
    </w:rPr>
  </w:style>
  <w:style w:type="paragraph" w:customStyle="1" w:styleId="40">
    <w:name w:val="Char Char Char"/>
    <w:basedOn w:val="1"/>
    <w:qFormat/>
    <w:uiPriority w:val="0"/>
    <w:rPr>
      <w:rFonts w:ascii="Tahoma" w:hAnsi="Tahoma"/>
      <w:sz w:val="24"/>
      <w:szCs w:val="20"/>
    </w:rPr>
  </w:style>
  <w:style w:type="paragraph" w:customStyle="1" w:styleId="41">
    <w:name w:val="Char Char Char Char"/>
    <w:basedOn w:val="1"/>
    <w:qFormat/>
    <w:uiPriority w:val="0"/>
    <w:pPr>
      <w:widowControl/>
      <w:spacing w:after="160" w:line="240" w:lineRule="exact"/>
      <w:jc w:val="left"/>
    </w:pPr>
    <w:rPr>
      <w:rFonts w:ascii="Verdana" w:hAnsi="Verdana"/>
      <w:kern w:val="0"/>
      <w:sz w:val="18"/>
      <w:szCs w:val="20"/>
      <w:lang w:eastAsia="en-US"/>
    </w:rPr>
  </w:style>
  <w:style w:type="paragraph" w:customStyle="1" w:styleId="42">
    <w:name w:val="列出段落1"/>
    <w:basedOn w:val="1"/>
    <w:qFormat/>
    <w:uiPriority w:val="0"/>
    <w:pPr>
      <w:ind w:firstLine="420" w:firstLineChars="200"/>
    </w:pPr>
    <w:rPr>
      <w:rFonts w:ascii="Calibri" w:hAnsi="Calibri" w:cs="Calibri"/>
      <w:szCs w:val="21"/>
    </w:rPr>
  </w:style>
  <w:style w:type="paragraph" w:customStyle="1" w:styleId="43">
    <w:name w:val="列表段落1"/>
    <w:basedOn w:val="1"/>
    <w:qFormat/>
    <w:uiPriority w:val="0"/>
    <w:pPr>
      <w:ind w:firstLine="420" w:firstLineChars="200"/>
    </w:pPr>
    <w:rPr>
      <w:rFonts w:ascii="Calibri" w:hAnsi="Calibri"/>
    </w:rPr>
  </w:style>
  <w:style w:type="character" w:customStyle="1" w:styleId="44">
    <w:name w:val="页眉 字符"/>
    <w:basedOn w:val="18"/>
    <w:link w:val="14"/>
    <w:qFormat/>
    <w:uiPriority w:val="0"/>
    <w:rPr>
      <w:rFonts w:ascii="Times New Roman" w:hAnsi="Times New Roman" w:eastAsia="宋体" w:cs="Times New Roman"/>
      <w:sz w:val="18"/>
      <w:szCs w:val="18"/>
      <w:lang w:val="zh-CN" w:eastAsia="zh-CN"/>
    </w:rPr>
  </w:style>
  <w:style w:type="paragraph" w:customStyle="1" w:styleId="45">
    <w:name w:val="Char Char1"/>
    <w:basedOn w:val="1"/>
    <w:qFormat/>
    <w:uiPriority w:val="0"/>
    <w:pPr>
      <w:widowControl/>
      <w:spacing w:after="160" w:line="240" w:lineRule="exact"/>
      <w:jc w:val="left"/>
    </w:pPr>
    <w:rPr>
      <w:rFonts w:ascii="Verdana" w:hAnsi="Verdana"/>
      <w:kern w:val="0"/>
      <w:sz w:val="18"/>
      <w:szCs w:val="20"/>
      <w:lang w:eastAsia="en-US"/>
    </w:rPr>
  </w:style>
  <w:style w:type="paragraph" w:customStyle="1" w:styleId="46">
    <w:name w:val="Char Char Char1 Char Char Char Char Char Char Char Char Char Char"/>
    <w:basedOn w:val="1"/>
    <w:qFormat/>
    <w:uiPriority w:val="0"/>
    <w:pPr>
      <w:widowControl/>
      <w:spacing w:after="160" w:line="240" w:lineRule="exact"/>
      <w:jc w:val="left"/>
    </w:pPr>
    <w:rPr>
      <w:rFonts w:ascii="Verdana" w:hAnsi="Verdana"/>
      <w:kern w:val="0"/>
      <w:sz w:val="18"/>
      <w:szCs w:val="20"/>
      <w:lang w:eastAsia="en-US"/>
    </w:rPr>
  </w:style>
  <w:style w:type="paragraph" w:customStyle="1" w:styleId="4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48">
    <w:name w:val="Char2 Char Char Char Char Char Char Char Char Char Char Char Char"/>
    <w:basedOn w:val="1"/>
    <w:qFormat/>
    <w:uiPriority w:val="0"/>
    <w:rPr>
      <w:szCs w:val="20"/>
    </w:rPr>
  </w:style>
  <w:style w:type="character" w:customStyle="1" w:styleId="49">
    <w:name w:val="日期 字符"/>
    <w:basedOn w:val="18"/>
    <w:link w:val="11"/>
    <w:qFormat/>
    <w:uiPriority w:val="0"/>
    <w:rPr>
      <w:rFonts w:ascii="Times New Roman" w:hAnsi="Times New Roman" w:eastAsia="宋体" w:cs="Times New Roman"/>
      <w:szCs w:val="24"/>
      <w:lang w:val="zh-CN" w:eastAsia="zh-CN"/>
    </w:rPr>
  </w:style>
  <w:style w:type="table" w:customStyle="1" w:styleId="50">
    <w:name w:val="Table Normal"/>
    <w:semiHidden/>
    <w:unhideWhenUsed/>
    <w:qFormat/>
    <w:uiPriority w:val="2"/>
    <w:pPr>
      <w:widowControl w:val="0"/>
      <w:autoSpaceDE w:val="0"/>
      <w:autoSpaceDN w:val="0"/>
    </w:pPr>
    <w:rPr>
      <w:rFonts w:ascii="Calibri" w:hAnsi="Calibri" w:eastAsia="宋体" w:cs="Times New Roman"/>
      <w:sz w:val="22"/>
      <w:lang w:eastAsia="en-US"/>
    </w:rPr>
    <w:tblPr>
      <w:tblCellMar>
        <w:top w:w="0" w:type="dxa"/>
        <w:left w:w="0" w:type="dxa"/>
        <w:bottom w:w="0" w:type="dxa"/>
        <w:right w:w="0" w:type="dxa"/>
      </w:tblCellMar>
    </w:tblPr>
  </w:style>
  <w:style w:type="paragraph" w:customStyle="1" w:styleId="51">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52">
    <w:name w:val="Char Char Char1 Char Char Char Char Char Char Char Char Char Char1"/>
    <w:basedOn w:val="1"/>
    <w:qFormat/>
    <w:uiPriority w:val="0"/>
    <w:pPr>
      <w:widowControl/>
      <w:spacing w:after="160" w:line="240" w:lineRule="exact"/>
      <w:jc w:val="left"/>
    </w:pPr>
    <w:rPr>
      <w:rFonts w:ascii="Verdana" w:hAnsi="Verdana"/>
      <w:kern w:val="0"/>
      <w:sz w:val="18"/>
      <w:szCs w:val="20"/>
      <w:lang w:eastAsia="en-US"/>
    </w:rPr>
  </w:style>
  <w:style w:type="character" w:customStyle="1" w:styleId="53">
    <w:name w:val="批注框文本 字符"/>
    <w:basedOn w:val="18"/>
    <w:link w:val="12"/>
    <w:qFormat/>
    <w:uiPriority w:val="0"/>
    <w:rPr>
      <w:rFonts w:ascii="Times New Roman" w:hAnsi="Times New Roman" w:eastAsia="宋体" w:cs="Times New Roman"/>
      <w:sz w:val="18"/>
      <w:szCs w:val="18"/>
      <w:lang w:val="zh-CN" w:eastAsia="zh-CN"/>
    </w:rPr>
  </w:style>
  <w:style w:type="character" w:customStyle="1" w:styleId="54">
    <w:name w:val="批注框文本 Char"/>
    <w:qFormat/>
    <w:uiPriority w:val="99"/>
    <w:rPr>
      <w:kern w:val="2"/>
      <w:sz w:val="18"/>
      <w:szCs w:val="18"/>
    </w:rPr>
  </w:style>
  <w:style w:type="character" w:customStyle="1" w:styleId="55">
    <w:name w:val="页脚 字符1"/>
    <w:link w:val="13"/>
    <w:qFormat/>
    <w:uiPriority w:val="99"/>
    <w:rPr>
      <w:rFonts w:ascii="Times New Roman" w:hAnsi="Times New Roman" w:eastAsia="宋体" w:cs="Times New Roman"/>
      <w:sz w:val="18"/>
      <w:szCs w:val="18"/>
    </w:rPr>
  </w:style>
  <w:style w:type="character" w:customStyle="1" w:styleId="56">
    <w:name w:val="正文文本 Char"/>
    <w:qFormat/>
    <w:locked/>
    <w:uiPriority w:val="0"/>
    <w:rPr>
      <w:rFonts w:ascii="Calibri" w:hAnsi="Calibri" w:eastAsia="仿宋_GB2312" w:cs="Times New Roman"/>
      <w:sz w:val="32"/>
      <w:szCs w:val="24"/>
    </w:rPr>
  </w:style>
  <w:style w:type="paragraph" w:customStyle="1" w:styleId="57">
    <w:name w:val="Char Char Char1"/>
    <w:basedOn w:val="1"/>
    <w:qFormat/>
    <w:uiPriority w:val="0"/>
    <w:rPr>
      <w:rFonts w:ascii="Tahoma" w:hAnsi="Tahoma"/>
      <w:sz w:val="24"/>
      <w:szCs w:val="20"/>
    </w:rPr>
  </w:style>
  <w:style w:type="character" w:customStyle="1" w:styleId="58">
    <w:name w:val="标题 3 字符1"/>
    <w:link w:val="6"/>
    <w:qFormat/>
    <w:uiPriority w:val="0"/>
    <w:rPr>
      <w:rFonts w:ascii="Times New Roman" w:hAnsi="Times New Roman" w:eastAsia="宋体" w:cs="Times New Roman"/>
      <w:b/>
      <w:bCs/>
      <w:sz w:val="32"/>
      <w:szCs w:val="32"/>
    </w:rPr>
  </w:style>
  <w:style w:type="character" w:customStyle="1" w:styleId="59">
    <w:name w:val="页眉 Char"/>
    <w:qFormat/>
    <w:uiPriority w:val="99"/>
    <w:rPr>
      <w:rFonts w:ascii="Times New Roman" w:hAnsi="Times New Roman" w:eastAsia="宋体" w:cs="Times New Roman"/>
      <w:sz w:val="18"/>
      <w:szCs w:val="18"/>
    </w:rPr>
  </w:style>
  <w:style w:type="character" w:customStyle="1" w:styleId="60">
    <w:name w:val="fontstyle01"/>
    <w:qFormat/>
    <w:uiPriority w:val="0"/>
    <w:rPr>
      <w:rFonts w:hint="eastAsia" w:ascii="宋体" w:hAnsi="宋体" w:eastAsia="宋体"/>
      <w:color w:val="000000"/>
      <w:sz w:val="22"/>
      <w:szCs w:val="22"/>
    </w:rPr>
  </w:style>
  <w:style w:type="character" w:customStyle="1" w:styleId="61">
    <w:name w:val="标题 7 字符1"/>
    <w:link w:val="9"/>
    <w:semiHidden/>
    <w:qFormat/>
    <w:uiPriority w:val="9"/>
    <w:rPr>
      <w:rFonts w:ascii="Times New Roman" w:hAnsi="Times New Roman" w:eastAsia="宋体" w:cs="Times New Roman"/>
      <w:b/>
      <w:bCs/>
      <w:sz w:val="24"/>
      <w:szCs w:val="24"/>
    </w:rPr>
  </w:style>
  <w:style w:type="paragraph" w:customStyle="1" w:styleId="62">
    <w:name w:val="标题 41"/>
    <w:basedOn w:val="1"/>
    <w:qFormat/>
    <w:uiPriority w:val="1"/>
    <w:pPr>
      <w:autoSpaceDE w:val="0"/>
      <w:autoSpaceDN w:val="0"/>
      <w:spacing w:before="1"/>
      <w:jc w:val="left"/>
      <w:outlineLvl w:val="4"/>
    </w:pPr>
    <w:rPr>
      <w:rFonts w:ascii="黑体" w:hAnsi="黑体" w:eastAsia="黑体" w:cs="黑体"/>
      <w:b/>
      <w:bCs/>
      <w:kern w:val="0"/>
      <w:sz w:val="32"/>
      <w:szCs w:val="32"/>
      <w:lang w:eastAsia="en-US"/>
    </w:rPr>
  </w:style>
  <w:style w:type="paragraph" w:customStyle="1" w:styleId="63">
    <w:name w:val="_Style 60"/>
    <w:basedOn w:val="1"/>
    <w:next w:val="64"/>
    <w:qFormat/>
    <w:uiPriority w:val="1"/>
    <w:pPr>
      <w:autoSpaceDE w:val="0"/>
      <w:autoSpaceDN w:val="0"/>
      <w:spacing w:before="36"/>
      <w:ind w:left="104" w:firstLine="559"/>
      <w:jc w:val="left"/>
    </w:pPr>
    <w:rPr>
      <w:rFonts w:ascii="宋体" w:hAnsi="宋体" w:cs="宋体"/>
      <w:kern w:val="0"/>
      <w:sz w:val="22"/>
      <w:szCs w:val="22"/>
      <w:lang w:eastAsia="en-US"/>
    </w:rPr>
  </w:style>
  <w:style w:type="paragraph" w:styleId="64">
    <w:name w:val="List Paragraph"/>
    <w:basedOn w:val="1"/>
    <w:qFormat/>
    <w:uiPriority w:val="34"/>
    <w:pPr>
      <w:ind w:firstLine="420" w:firstLineChars="200"/>
    </w:pPr>
  </w:style>
  <w:style w:type="paragraph" w:customStyle="1" w:styleId="65">
    <w:name w:val="Char Char11"/>
    <w:basedOn w:val="1"/>
    <w:qFormat/>
    <w:uiPriority w:val="0"/>
    <w:pPr>
      <w:widowControl/>
      <w:spacing w:after="160" w:line="240" w:lineRule="exact"/>
      <w:jc w:val="left"/>
    </w:pPr>
    <w:rPr>
      <w:rFonts w:ascii="Verdana" w:hAnsi="Verdana"/>
      <w:kern w:val="0"/>
      <w:sz w:val="18"/>
      <w:szCs w:val="20"/>
      <w:lang w:eastAsia="en-US"/>
    </w:rPr>
  </w:style>
  <w:style w:type="paragraph" w:customStyle="1" w:styleId="66">
    <w:name w:val="Char Char12"/>
    <w:basedOn w:val="1"/>
    <w:qFormat/>
    <w:uiPriority w:val="0"/>
    <w:pPr>
      <w:widowControl/>
      <w:spacing w:after="160" w:line="240" w:lineRule="exact"/>
      <w:jc w:val="left"/>
    </w:pPr>
    <w:rPr>
      <w:rFonts w:ascii="Verdana" w:hAnsi="Verdana"/>
      <w:kern w:val="0"/>
      <w:sz w:val="18"/>
      <w:szCs w:val="20"/>
      <w:lang w:eastAsia="en-US"/>
    </w:rPr>
  </w:style>
  <w:style w:type="paragraph" w:customStyle="1" w:styleId="67">
    <w:name w:val="Char Char13"/>
    <w:basedOn w:val="1"/>
    <w:qFormat/>
    <w:uiPriority w:val="0"/>
    <w:pPr>
      <w:widowControl/>
      <w:spacing w:after="160" w:line="240" w:lineRule="exact"/>
      <w:jc w:val="left"/>
    </w:pPr>
    <w:rPr>
      <w:rFonts w:ascii="Verdana" w:hAnsi="Verdana"/>
      <w:kern w:val="0"/>
      <w:sz w:val="18"/>
      <w:szCs w:val="20"/>
      <w:lang w:eastAsia="en-US"/>
    </w:rPr>
  </w:style>
  <w:style w:type="paragraph" w:customStyle="1" w:styleId="68">
    <w:name w:val="Char Char14"/>
    <w:basedOn w:val="1"/>
    <w:qFormat/>
    <w:uiPriority w:val="0"/>
    <w:pPr>
      <w:widowControl/>
      <w:spacing w:after="160" w:line="240" w:lineRule="exact"/>
      <w:jc w:val="left"/>
    </w:pPr>
    <w:rPr>
      <w:rFonts w:ascii="Verdana" w:hAnsi="Verdana"/>
      <w:kern w:val="0"/>
      <w:sz w:val="18"/>
      <w:szCs w:val="20"/>
      <w:lang w:eastAsia="en-US"/>
    </w:rPr>
  </w:style>
  <w:style w:type="paragraph" w:customStyle="1" w:styleId="6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512103-1E49-4603-B207-0AD21E1CECB9}">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14198</Words>
  <Characters>6992</Characters>
  <Lines>291</Lines>
  <Paragraphs>165</Paragraphs>
  <TotalTime>903</TotalTime>
  <ScaleCrop>false</ScaleCrop>
  <LinksUpToDate>false</LinksUpToDate>
  <CharactersWithSpaces>21025</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2026-07-01T00:32:00Z</dcterms:created>
  <dc:creator>黄雪影</dc:creator>
  <cp:lastModifiedBy>greatwall</cp:lastModifiedBy>
  <cp:lastPrinted>2026-09-09T19:26:00Z</cp:lastPrinted>
  <dcterms:modified xsi:type="dcterms:W3CDTF">2026-09-16T09:22:02Z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53E4B70317AE574985C0416A4A8C3D2F</vt:lpwstr>
  </property>
</Properties>
</file>