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DF" w:rsidRPr="000D6584" w:rsidRDefault="00CB00DF" w:rsidP="00CD5AD2">
      <w:pPr>
        <w:spacing w:line="440" w:lineRule="exact"/>
        <w:jc w:val="center"/>
        <w:rPr>
          <w:rFonts w:ascii="Times New Roman" w:eastAsia="仿宋_GB2312" w:hAnsi="Times New Roman"/>
          <w:sz w:val="24"/>
          <w:szCs w:val="24"/>
        </w:rPr>
      </w:pPr>
      <w:bookmarkStart w:id="0" w:name="_GoBack"/>
      <w:bookmarkEnd w:id="0"/>
      <w:r w:rsidRPr="000D6584">
        <w:rPr>
          <w:rFonts w:ascii="Times New Roman" w:eastAsia="仿宋_GB2312" w:hAnsi="Times New Roman"/>
          <w:b/>
          <w:sz w:val="24"/>
          <w:szCs w:val="24"/>
        </w:rPr>
        <w:t>经营者集中简易案件公示表</w:t>
      </w:r>
    </w:p>
    <w:p w:rsidR="00CB00DF" w:rsidRPr="000D6584" w:rsidRDefault="00CB00DF" w:rsidP="000D6584">
      <w:pPr>
        <w:spacing w:line="440" w:lineRule="exact"/>
        <w:rPr>
          <w:rFonts w:ascii="Times New Roman" w:eastAsia="仿宋_GB2312" w:hAnsi="Times New Roman"/>
          <w:sz w:val="22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0457C2" w:rsidRPr="00FB3E8D" w:rsidTr="008B203C">
        <w:trPr>
          <w:trHeight w:val="528"/>
        </w:trPr>
        <w:tc>
          <w:tcPr>
            <w:tcW w:w="1809" w:type="dxa"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案件名称</w:t>
            </w:r>
          </w:p>
        </w:tc>
        <w:tc>
          <w:tcPr>
            <w:tcW w:w="6949" w:type="dxa"/>
            <w:gridSpan w:val="2"/>
          </w:tcPr>
          <w:p w:rsidR="00F04D11" w:rsidRPr="00FB3E8D" w:rsidRDefault="00F04D11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海信视像科技股份</w:t>
            </w:r>
            <w:r w:rsidRPr="007E1D4B">
              <w:rPr>
                <w:rFonts w:ascii="Times New Roman" w:eastAsia="仿宋_GB2312" w:hAnsi="Times New Roman" w:hint="eastAsia"/>
                <w:kern w:val="0"/>
                <w:szCs w:val="21"/>
              </w:rPr>
              <w:t>有限公司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收购厦门乾照光电股份有限公司股权</w:t>
            </w:r>
            <w:r w:rsidRPr="00F24C3F">
              <w:rPr>
                <w:rFonts w:ascii="Times New Roman" w:eastAsia="仿宋_GB2312" w:hAnsi="Times New Roman"/>
                <w:kern w:val="0"/>
                <w:szCs w:val="21"/>
              </w:rPr>
              <w:t>案（</w:t>
            </w:r>
            <w:r w:rsidRPr="00F24C3F"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 w:rsidRPr="007E1D4B">
              <w:rPr>
                <w:rFonts w:ascii="Times New Roman" w:eastAsia="仿宋_GB2312" w:hAnsi="Times New Roman"/>
                <w:b/>
                <w:kern w:val="0"/>
                <w:szCs w:val="21"/>
              </w:rPr>
              <w:t>本次交易</w:t>
            </w:r>
            <w:r w:rsidRPr="00F24C3F"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 w:rsidRPr="00F24C3F">
              <w:rPr>
                <w:rFonts w:ascii="Times New Roman" w:eastAsia="仿宋_GB2312" w:hAnsi="Times New Roman"/>
                <w:kern w:val="0"/>
                <w:szCs w:val="21"/>
              </w:rPr>
              <w:t>）</w:t>
            </w:r>
          </w:p>
        </w:tc>
      </w:tr>
      <w:tr w:rsidR="000457C2" w:rsidRPr="00FB3E8D" w:rsidTr="00CB00DF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:rsidR="00F1624E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交易概况</w:t>
            </w:r>
          </w:p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（限</w:t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200</w:t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字内）</w:t>
            </w:r>
          </w:p>
        </w:tc>
        <w:tc>
          <w:tcPr>
            <w:tcW w:w="6949" w:type="dxa"/>
            <w:gridSpan w:val="2"/>
          </w:tcPr>
          <w:p w:rsidR="00491375" w:rsidRPr="00C859B3" w:rsidRDefault="00416C25" w:rsidP="00C94EC0">
            <w:pPr>
              <w:widowControl/>
              <w:snapToGrid w:val="0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海信视像科技股份</w:t>
            </w:r>
            <w:r w:rsidRPr="007E1D4B">
              <w:rPr>
                <w:rFonts w:ascii="Times New Roman" w:eastAsia="仿宋_GB2312" w:hAnsi="Times New Roman" w:hint="eastAsia"/>
                <w:kern w:val="0"/>
                <w:szCs w:val="21"/>
              </w:rPr>
              <w:t>有限公司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（“</w:t>
            </w:r>
            <w:r w:rsidR="00B525F0" w:rsidRPr="00416C25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海信视像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”）</w:t>
            </w:r>
            <w:r w:rsidR="00B525F0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拟通过二级市场增持的方式进一步收购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厦门乾照光电股份有限公司（“</w:t>
            </w:r>
            <w:r w:rsidR="00B525F0" w:rsidRPr="00416C25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乾照光电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”）</w:t>
            </w:r>
            <w:r w:rsidR="00B525F0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部分</w:t>
            </w:r>
            <w:r w:rsidR="004F3498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股份</w:t>
            </w:r>
            <w:r w:rsidR="00750F0B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。</w:t>
            </w:r>
            <w:proofErr w:type="gramStart"/>
            <w:r w:rsidR="00E5021E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乾照光电</w:t>
            </w:r>
            <w:proofErr w:type="gramEnd"/>
            <w:r w:rsidR="00E5021E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主要</w:t>
            </w:r>
            <w:r w:rsidR="00E5021E">
              <w:rPr>
                <w:rFonts w:ascii="Times New Roman" w:eastAsia="仿宋_GB2312" w:hAnsi="Times New Roman"/>
                <w:kern w:val="0"/>
                <w:szCs w:val="21"/>
              </w:rPr>
              <w:t>从事半导体光电产品的研发、生产和销售</w:t>
            </w:r>
            <w:r w:rsidR="00E5021E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  <w:r w:rsidR="005E089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海信视像</w:t>
            </w:r>
            <w:r w:rsid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后续拟通过进一步</w:t>
            </w:r>
            <w:r w:rsidR="00B525F0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增</w:t>
            </w:r>
            <w:proofErr w:type="gramStart"/>
            <w:r w:rsidR="00B525F0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持</w:t>
            </w:r>
            <w:r w:rsid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乾照</w:t>
            </w:r>
            <w:proofErr w:type="gramEnd"/>
            <w:r w:rsid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光电的股份</w:t>
            </w:r>
            <w:r w:rsidR="00AC1426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和</w:t>
            </w:r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通过继续</w:t>
            </w:r>
            <w:proofErr w:type="gramStart"/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向乾照光电</w:t>
            </w:r>
            <w:proofErr w:type="gramEnd"/>
            <w:r w:rsidR="00121725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提名</w:t>
            </w:r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董事</w:t>
            </w:r>
            <w:r w:rsidR="00E5209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候选人</w:t>
            </w:r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的方式，</w:t>
            </w:r>
            <w:r w:rsidR="004F3498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欲将</w:t>
            </w:r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取得</w:t>
            </w:r>
            <w:proofErr w:type="gramStart"/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对乾照</w:t>
            </w:r>
            <w:proofErr w:type="gramEnd"/>
            <w:r w:rsidR="00333752" w:rsidRPr="00333752"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光电的单独控制权。</w:t>
            </w:r>
            <w:r w:rsidR="00AC1426" w:rsidRPr="00C859B3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</w:tc>
      </w:tr>
      <w:tr w:rsidR="000457C2" w:rsidRPr="00FB3E8D" w:rsidTr="00F46E0E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011483" w:rsidRPr="00FB3E8D" w:rsidRDefault="00011483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参与集中的</w:t>
            </w:r>
          </w:p>
          <w:p w:rsidR="00011483" w:rsidRPr="00FB3E8D" w:rsidRDefault="00011483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经营者简介</w:t>
            </w:r>
          </w:p>
        </w:tc>
        <w:tc>
          <w:tcPr>
            <w:tcW w:w="1796" w:type="dxa"/>
            <w:vAlign w:val="center"/>
          </w:tcPr>
          <w:p w:rsidR="00011483" w:rsidRPr="00FB3E8D" w:rsidRDefault="00011483" w:rsidP="00F46E0E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1</w:t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、</w:t>
            </w:r>
            <w:r w:rsidR="00F04D11"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海信视像</w:t>
            </w:r>
          </w:p>
        </w:tc>
        <w:tc>
          <w:tcPr>
            <w:tcW w:w="5153" w:type="dxa"/>
            <w:vAlign w:val="center"/>
          </w:tcPr>
          <w:p w:rsidR="00011483" w:rsidRPr="00623E22" w:rsidRDefault="00F04D11" w:rsidP="00623E22">
            <w:pPr>
              <w:widowControl/>
              <w:snapToGrid w:val="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海信视像</w:t>
            </w:r>
            <w:r w:rsidR="008A04B8" w:rsidRPr="00623E22">
              <w:rPr>
                <w:rFonts w:ascii="Times New Roman" w:eastAsia="仿宋_GB2312" w:hAnsi="Times New Roman"/>
                <w:kern w:val="0"/>
                <w:szCs w:val="21"/>
              </w:rPr>
              <w:t>于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1997</w:t>
            </w:r>
            <w:r w:rsidR="00A72FE6" w:rsidRPr="00623E22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="00D81976" w:rsidRPr="00623E22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  <w:r w:rsidR="00D81976" w:rsidRPr="00623E22">
              <w:rPr>
                <w:rFonts w:ascii="Times New Roman" w:eastAsia="仿宋_GB2312" w:hAnsi="Times New Roman"/>
                <w:kern w:val="0"/>
                <w:szCs w:val="21"/>
              </w:rPr>
              <w:t>日成立于</w:t>
            </w:r>
            <w:r w:rsidR="00E54514" w:rsidRPr="00623E22">
              <w:rPr>
                <w:rFonts w:ascii="Times New Roman" w:eastAsia="仿宋_GB2312" w:hAnsi="Times New Roman"/>
                <w:kern w:val="0"/>
                <w:szCs w:val="21"/>
              </w:rPr>
              <w:t>中国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山东</w:t>
            </w:r>
            <w:r w:rsidR="00BA3488" w:rsidRPr="00623E22">
              <w:rPr>
                <w:rFonts w:ascii="Times New Roman" w:eastAsia="仿宋_GB2312" w:hAnsi="Times New Roman"/>
                <w:kern w:val="0"/>
                <w:szCs w:val="21"/>
              </w:rPr>
              <w:t>省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青岛</w:t>
            </w:r>
            <w:r w:rsidR="00BA3488" w:rsidRPr="00623E22">
              <w:rPr>
                <w:rFonts w:ascii="Times New Roman" w:eastAsia="仿宋_GB2312" w:hAnsi="Times New Roman"/>
                <w:kern w:val="0"/>
                <w:szCs w:val="21"/>
              </w:rPr>
              <w:t>市</w:t>
            </w:r>
            <w:r w:rsidR="00A72FE6" w:rsidRPr="00623E22">
              <w:rPr>
                <w:rFonts w:ascii="Times New Roman" w:eastAsia="仿宋_GB2312" w:hAnsi="Times New Roman"/>
                <w:kern w:val="0"/>
                <w:szCs w:val="21"/>
              </w:rPr>
              <w:t>。</w:t>
            </w:r>
            <w:r w:rsidR="00DC1D01" w:rsidRPr="00623E22">
              <w:rPr>
                <w:rFonts w:ascii="Times New Roman" w:eastAsia="仿宋_GB2312" w:hAnsi="Times New Roman"/>
                <w:kern w:val="0"/>
                <w:szCs w:val="21"/>
              </w:rPr>
              <w:t>海信视像在全球范围主要从事显示及上下游产业</w:t>
            </w:r>
            <w:proofErr w:type="gramStart"/>
            <w:r w:rsidR="00DC1D01" w:rsidRPr="00623E22">
              <w:rPr>
                <w:rFonts w:ascii="Times New Roman" w:eastAsia="仿宋_GB2312" w:hAnsi="Times New Roman"/>
                <w:kern w:val="0"/>
                <w:szCs w:val="21"/>
              </w:rPr>
              <w:t>链产品</w:t>
            </w:r>
            <w:proofErr w:type="gramEnd"/>
            <w:r w:rsidR="00DC1D01" w:rsidRPr="00623E22">
              <w:rPr>
                <w:rFonts w:ascii="Times New Roman" w:eastAsia="仿宋_GB2312" w:hAnsi="Times New Roman"/>
                <w:kern w:val="0"/>
                <w:szCs w:val="21"/>
              </w:rPr>
              <w:t>的研究、开发、生产与销售</w:t>
            </w:r>
            <w:r w:rsidR="00DC1D01"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，</w:t>
            </w:r>
            <w:r w:rsidR="00DC1D01" w:rsidRPr="00623E22">
              <w:rPr>
                <w:rFonts w:ascii="Times New Roman" w:eastAsia="仿宋_GB2312" w:hAnsi="Times New Roman"/>
                <w:kern w:val="0"/>
                <w:szCs w:val="21"/>
              </w:rPr>
              <w:t>主要业务板块包括智慧显示终端、新显示新业务和其他</w:t>
            </w:r>
            <w:r w:rsidR="005829C9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</w:p>
          <w:p w:rsidR="00B77EF7" w:rsidRPr="00FB3E8D" w:rsidRDefault="00DC1D01" w:rsidP="00623E22">
            <w:pPr>
              <w:widowControl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海信视像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控股股东</w:t>
            </w:r>
            <w:r w:rsidR="000B2719">
              <w:rPr>
                <w:rFonts w:ascii="Times New Roman" w:eastAsia="仿宋_GB2312" w:hAnsi="Times New Roman" w:hint="eastAsia"/>
                <w:kern w:val="0"/>
                <w:szCs w:val="21"/>
              </w:rPr>
              <w:t>为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海信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集团控股股份有限公司（“</w:t>
            </w:r>
            <w:r w:rsidRPr="00623E22">
              <w:rPr>
                <w:rFonts w:ascii="Times New Roman" w:eastAsia="仿宋_GB2312" w:hAnsi="Times New Roman" w:hint="eastAsia"/>
                <w:b/>
                <w:kern w:val="0"/>
                <w:szCs w:val="21"/>
              </w:rPr>
              <w:t>海信集团控股公司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”，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海信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集团控股公司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及其所有关联企业合称为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“</w:t>
            </w:r>
            <w:r w:rsidRPr="00623E22">
              <w:rPr>
                <w:rFonts w:ascii="Times New Roman" w:eastAsia="仿宋_GB2312" w:hAnsi="Times New Roman"/>
                <w:b/>
                <w:kern w:val="0"/>
                <w:szCs w:val="21"/>
              </w:rPr>
              <w:t>海信集团</w:t>
            </w:r>
            <w:r w:rsidRPr="00623E22">
              <w:rPr>
                <w:rFonts w:ascii="Times New Roman" w:eastAsia="仿宋_GB2312" w:hAnsi="Times New Roman" w:hint="eastAsia"/>
                <w:kern w:val="0"/>
                <w:szCs w:val="21"/>
              </w:rPr>
              <w:t>”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），海信集团主要从事多媒体产品、家用电器、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IT</w:t>
            </w:r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智能系统的研发、生产和销售，同时还从事房地产业</w:t>
            </w:r>
            <w:proofErr w:type="gramStart"/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务</w:t>
            </w:r>
            <w:proofErr w:type="gramEnd"/>
            <w:r w:rsidRPr="00623E22">
              <w:rPr>
                <w:rFonts w:ascii="Times New Roman" w:eastAsia="仿宋_GB2312" w:hAnsi="Times New Roman"/>
                <w:kern w:val="0"/>
                <w:szCs w:val="21"/>
              </w:rPr>
              <w:t>，以及提供贸易和金融服务。</w:t>
            </w:r>
          </w:p>
        </w:tc>
      </w:tr>
      <w:tr w:rsidR="000457C2" w:rsidRPr="00FB3E8D" w:rsidTr="00F46E0E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:rsidR="00011483" w:rsidRPr="00FB3E8D" w:rsidRDefault="00011483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96" w:type="dxa"/>
            <w:vAlign w:val="center"/>
          </w:tcPr>
          <w:p w:rsidR="00011483" w:rsidRPr="00FB3E8D" w:rsidRDefault="00011483" w:rsidP="00F46E0E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2</w:t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、</w:t>
            </w:r>
            <w:proofErr w:type="gramStart"/>
            <w:r w:rsidR="00F04D11"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乾照光电</w:t>
            </w:r>
            <w:proofErr w:type="gramEnd"/>
          </w:p>
        </w:tc>
        <w:tc>
          <w:tcPr>
            <w:tcW w:w="5153" w:type="dxa"/>
            <w:vAlign w:val="center"/>
          </w:tcPr>
          <w:p w:rsidR="00A428BA" w:rsidRDefault="00DC1D01" w:rsidP="00DC1D01">
            <w:pPr>
              <w:widowControl/>
              <w:snapToGrid w:val="0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乾照光电</w:t>
            </w:r>
            <w:proofErr w:type="gramEnd"/>
            <w:r w:rsidR="001273DC" w:rsidRPr="00FB3E8D">
              <w:rPr>
                <w:rFonts w:ascii="Times New Roman" w:eastAsia="仿宋_GB2312" w:hAnsi="Times New Roman"/>
                <w:szCs w:val="21"/>
              </w:rPr>
              <w:t>于</w:t>
            </w:r>
            <w:r>
              <w:rPr>
                <w:rFonts w:ascii="Times New Roman" w:eastAsia="仿宋_GB2312" w:hAnsi="Times New Roman"/>
                <w:szCs w:val="21"/>
              </w:rPr>
              <w:t>2006</w:t>
            </w:r>
            <w:r w:rsidR="00EF5FB9" w:rsidRPr="00FB3E8D"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 w:rsidR="00E54514" w:rsidRPr="00FB3E8D"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21</w:t>
            </w:r>
            <w:r w:rsidR="00E54514" w:rsidRPr="00FB3E8D">
              <w:rPr>
                <w:rFonts w:ascii="Times New Roman" w:eastAsia="仿宋_GB2312" w:hAnsi="Times New Roman"/>
                <w:szCs w:val="21"/>
              </w:rPr>
              <w:t>日成立于</w:t>
            </w:r>
            <w:r w:rsidR="00BE7128" w:rsidRPr="00FB3E8D">
              <w:rPr>
                <w:rFonts w:ascii="Times New Roman" w:eastAsia="仿宋_GB2312" w:hAnsi="Times New Roman"/>
                <w:szCs w:val="21"/>
              </w:rPr>
              <w:t>中国</w:t>
            </w:r>
            <w:r>
              <w:rPr>
                <w:rFonts w:ascii="Times New Roman" w:eastAsia="仿宋_GB2312" w:hAnsi="Times New Roman" w:hint="eastAsia"/>
                <w:szCs w:val="21"/>
              </w:rPr>
              <w:t>福建省厦门市</w:t>
            </w:r>
            <w:r w:rsidR="008E5510">
              <w:rPr>
                <w:rFonts w:ascii="Times New Roman" w:eastAsia="仿宋_GB2312" w:hAnsi="Times New Roman" w:hint="eastAsia"/>
                <w:szCs w:val="21"/>
              </w:rPr>
              <w:t>。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乾照光电是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一家从事半导体光电产品的研发、生产和销售的公司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，</w:t>
            </w:r>
            <w:r w:rsidRPr="00DA782C">
              <w:rPr>
                <w:rFonts w:ascii="Times New Roman" w:eastAsia="仿宋_GB2312" w:hAnsi="Times New Roman"/>
                <w:kern w:val="0"/>
                <w:szCs w:val="21"/>
              </w:rPr>
              <w:t>主要产品为</w:t>
            </w:r>
            <w:proofErr w:type="gramStart"/>
            <w:r w:rsidRPr="00DA782C">
              <w:rPr>
                <w:rFonts w:ascii="Times New Roman" w:eastAsia="仿宋_GB2312" w:hAnsi="Times New Roman" w:hint="eastAsia"/>
                <w:kern w:val="0"/>
                <w:szCs w:val="21"/>
              </w:rPr>
              <w:t>全色系</w:t>
            </w:r>
            <w:proofErr w:type="gramEnd"/>
            <w:r w:rsidRPr="00DA782C">
              <w:rPr>
                <w:rFonts w:ascii="Times New Roman" w:eastAsia="仿宋_GB2312" w:hAnsi="Times New Roman" w:hint="eastAsia"/>
                <w:kern w:val="0"/>
                <w:szCs w:val="21"/>
              </w:rPr>
              <w:t>LED</w:t>
            </w:r>
            <w:r w:rsidRPr="00DA782C">
              <w:rPr>
                <w:rFonts w:ascii="Times New Roman" w:eastAsia="仿宋_GB2312" w:hAnsi="Times New Roman" w:hint="eastAsia"/>
                <w:kern w:val="0"/>
                <w:szCs w:val="21"/>
              </w:rPr>
              <w:t>外延片和芯片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，</w:t>
            </w:r>
            <w:r w:rsidRPr="00DA782C">
              <w:rPr>
                <w:rFonts w:ascii="Times New Roman" w:eastAsia="仿宋_GB2312" w:hAnsi="Times New Roman" w:hint="eastAsia"/>
                <w:kern w:val="0"/>
                <w:szCs w:val="21"/>
              </w:rPr>
              <w:t>及砷化镓太阳能电池外延片和芯片。</w:t>
            </w:r>
            <w:r w:rsidRPr="00DA782C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  <w:p w:rsidR="00B74369" w:rsidRPr="00DC1D01" w:rsidRDefault="00B74369" w:rsidP="00903547">
            <w:pPr>
              <w:widowControl/>
              <w:snapToGrid w:val="0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乾照光电在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本次交易前，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无</w:t>
            </w:r>
            <w:r w:rsidR="006A2312">
              <w:rPr>
                <w:rFonts w:ascii="Times New Roman" w:eastAsia="仿宋_GB2312" w:hAnsi="Times New Roman" w:hint="eastAsia"/>
                <w:kern w:val="0"/>
                <w:szCs w:val="21"/>
              </w:rPr>
              <w:t>最终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控制人。</w:t>
            </w:r>
          </w:p>
        </w:tc>
      </w:tr>
      <w:tr w:rsidR="000457C2" w:rsidRPr="00FB3E8D" w:rsidTr="00CB00DF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:rsidR="00CB00DF" w:rsidRPr="00FB3E8D" w:rsidRDefault="0090279D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A8"/>
            </w:r>
            <w:r w:rsidR="00635B25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1.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在同一相关市场，所有参与集中的经营者所占市场份额之和小于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15%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  <w:tr w:rsidR="000457C2" w:rsidRPr="00FB3E8D" w:rsidTr="00CB00DF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B3E8D" w:rsidRDefault="00301CA0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A8"/>
            </w:r>
            <w:r w:rsidR="00635B25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2.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存在上下游关系的参与集中的经营者，在上下游市场所占的市场份额均小于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25%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  <w:tr w:rsidR="000457C2" w:rsidRPr="00FB3E8D" w:rsidTr="00CB00DF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B3E8D" w:rsidRDefault="0090279D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FE"/>
            </w:r>
            <w:r w:rsidR="00635B25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3.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不在同一相关市场、也不存在上下游关系的参与集中的经营者，在与交易有关的每个市场所占的份额均小于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25%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  <w:tr w:rsidR="000457C2" w:rsidRPr="00FB3E8D" w:rsidTr="005424FD">
        <w:trPr>
          <w:trHeight w:val="532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B3E8D" w:rsidRDefault="00635B25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A8"/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4.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参与集中的经营者在中国境外设立合营企业，合营企业不在中国境内从事经济活动。</w:t>
            </w:r>
          </w:p>
        </w:tc>
      </w:tr>
      <w:tr w:rsidR="000457C2" w:rsidRPr="00FB3E8D" w:rsidTr="00CB00DF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B3E8D" w:rsidRDefault="00635B25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A8"/>
            </w: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5.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参与集中的经营者收购境外企业股权或资产的，该境外企业不在中国境内从事经济活动。</w:t>
            </w:r>
          </w:p>
        </w:tc>
      </w:tr>
      <w:tr w:rsidR="000457C2" w:rsidRPr="00FB3E8D" w:rsidTr="00CB00DF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B3E8D" w:rsidRDefault="00635B25" w:rsidP="008B203C">
            <w:pP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sym w:font="Wingdings" w:char="F0A8"/>
            </w:r>
            <w:r w:rsidR="00A05F36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6.</w:t>
            </w:r>
            <w:r w:rsidR="00CB00DF"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由两个以上的经营者共同控制的合营企业，通过集中被其中一个或一个以上经营者控制。</w:t>
            </w:r>
          </w:p>
        </w:tc>
      </w:tr>
      <w:tr w:rsidR="000457C2" w:rsidRPr="00FB3E8D" w:rsidTr="00CB00DF">
        <w:tc>
          <w:tcPr>
            <w:tcW w:w="1809" w:type="dxa"/>
            <w:shd w:val="clear" w:color="auto" w:fill="D9D9D9"/>
            <w:vAlign w:val="center"/>
          </w:tcPr>
          <w:p w:rsidR="00CB00DF" w:rsidRPr="00FB3E8D" w:rsidRDefault="00CB00DF" w:rsidP="008B203C">
            <w:pPr>
              <w:jc w:val="center"/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</w:pPr>
            <w:r w:rsidRPr="00FB3E8D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备注</w:t>
            </w:r>
          </w:p>
        </w:tc>
        <w:tc>
          <w:tcPr>
            <w:tcW w:w="6949" w:type="dxa"/>
            <w:gridSpan w:val="2"/>
          </w:tcPr>
          <w:p w:rsidR="0090279D" w:rsidRDefault="0090279D" w:rsidP="00C6341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021</w:t>
            </w:r>
            <w:r>
              <w:rPr>
                <w:rFonts w:ascii="Times New Roman" w:eastAsia="仿宋_GB2312" w:hAnsi="Times New Roman" w:hint="eastAsia"/>
                <w:szCs w:val="21"/>
              </w:rPr>
              <w:t>年全球</w:t>
            </w:r>
            <w:r>
              <w:rPr>
                <w:rFonts w:ascii="Times New Roman" w:eastAsia="仿宋_GB2312" w:hAnsi="Times New Roman" w:hint="eastAsia"/>
                <w:szCs w:val="21"/>
              </w:rPr>
              <w:t>L</w:t>
            </w:r>
            <w:r>
              <w:rPr>
                <w:rFonts w:ascii="Times New Roman" w:eastAsia="仿宋_GB2312" w:hAnsi="Times New Roman"/>
                <w:szCs w:val="21"/>
              </w:rPr>
              <w:t>ED</w:t>
            </w:r>
            <w:r>
              <w:rPr>
                <w:rFonts w:ascii="Times New Roman" w:eastAsia="仿宋_GB2312" w:hAnsi="Times New Roman" w:hint="eastAsia"/>
                <w:szCs w:val="21"/>
              </w:rPr>
              <w:t>芯片市场：</w:t>
            </w:r>
          </w:p>
          <w:p w:rsidR="0090279D" w:rsidRDefault="0090279D" w:rsidP="00C6341B">
            <w:pPr>
              <w:rPr>
                <w:rFonts w:ascii="Times New Roman" w:eastAsia="仿宋_GB2312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乾照光电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：</w:t>
            </w:r>
            <w:r w:rsidR="00B94090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[5</w:t>
            </w:r>
            <w:r w:rsidR="00B94090"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-</w:t>
            </w:r>
            <w:r w:rsidR="00B94090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10]</w:t>
            </w:r>
            <w:r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%</w:t>
            </w:r>
            <w:r w:rsidR="00BA4732"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。</w:t>
            </w:r>
          </w:p>
          <w:p w:rsidR="00BE7128" w:rsidRPr="00FB3E8D" w:rsidRDefault="00BE7128" w:rsidP="00C6341B">
            <w:pPr>
              <w:rPr>
                <w:rFonts w:ascii="Times New Roman" w:eastAsia="仿宋_GB2312" w:hAnsi="Times New Roman"/>
                <w:szCs w:val="21"/>
              </w:rPr>
            </w:pPr>
            <w:r w:rsidRPr="00FB3E8D">
              <w:rPr>
                <w:rFonts w:ascii="Times New Roman" w:eastAsia="仿宋_GB2312" w:hAnsi="Times New Roman"/>
                <w:szCs w:val="21"/>
              </w:rPr>
              <w:t>2021</w:t>
            </w:r>
            <w:r w:rsidRPr="00FB3E8D">
              <w:rPr>
                <w:rFonts w:ascii="Times New Roman" w:eastAsia="仿宋_GB2312" w:hAnsi="Times New Roman"/>
                <w:szCs w:val="21"/>
              </w:rPr>
              <w:t>年中国境内</w:t>
            </w:r>
            <w:r w:rsidR="0090279D">
              <w:rPr>
                <w:rFonts w:ascii="Times New Roman" w:eastAsia="仿宋_GB2312" w:hAnsi="Times New Roman" w:hint="eastAsia"/>
                <w:szCs w:val="21"/>
              </w:rPr>
              <w:t>L</w:t>
            </w:r>
            <w:r w:rsidR="0090279D">
              <w:rPr>
                <w:rFonts w:ascii="Times New Roman" w:eastAsia="仿宋_GB2312" w:hAnsi="Times New Roman"/>
                <w:szCs w:val="21"/>
              </w:rPr>
              <w:t>ED</w:t>
            </w:r>
            <w:r w:rsidR="0090279D">
              <w:rPr>
                <w:rFonts w:ascii="Times New Roman" w:eastAsia="仿宋_GB2312" w:hAnsi="Times New Roman" w:hint="eastAsia"/>
                <w:szCs w:val="21"/>
              </w:rPr>
              <w:t>芯片</w:t>
            </w:r>
            <w:r w:rsidR="004E53BB" w:rsidRPr="00FB3E8D">
              <w:rPr>
                <w:rFonts w:ascii="Times New Roman" w:eastAsia="仿宋_GB2312" w:hAnsi="Times New Roman"/>
                <w:szCs w:val="21"/>
              </w:rPr>
              <w:t>市场</w:t>
            </w:r>
            <w:r w:rsidR="00F70290" w:rsidRPr="00FB3E8D"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6B159E" w:rsidRPr="00FB3E8D" w:rsidRDefault="0090279D" w:rsidP="00B94090">
            <w:pPr>
              <w:rPr>
                <w:rFonts w:ascii="Times New Roman" w:eastAsia="仿宋_GB2312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乾照光电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：</w:t>
            </w:r>
            <w:r w:rsidR="00B94090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[10-15]</w:t>
            </w:r>
            <w:r w:rsidR="00110253">
              <w:rPr>
                <w:rFonts w:ascii="Times New Roman" w:eastAsia="仿宋_GB2312" w:hAnsi="Times New Roman"/>
                <w:kern w:val="0"/>
                <w:szCs w:val="21"/>
                <w:bdr w:val="none" w:sz="0" w:space="0" w:color="auto" w:frame="1"/>
              </w:rPr>
              <w:t>%</w:t>
            </w:r>
            <w:r w:rsidR="00BA4732">
              <w:rPr>
                <w:rFonts w:ascii="Times New Roman" w:eastAsia="仿宋_GB2312" w:hAnsi="Times New Roman" w:hint="eastAsia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</w:tbl>
    <w:p w:rsidR="003A29D0" w:rsidRPr="00C72BB0" w:rsidRDefault="003A29D0" w:rsidP="00F85FCA">
      <w:pPr>
        <w:spacing w:line="500" w:lineRule="exact"/>
        <w:rPr>
          <w:rFonts w:ascii="Times New Roman" w:eastAsia="仿宋_GB2312" w:hAnsi="Times New Roman"/>
          <w:sz w:val="22"/>
        </w:rPr>
      </w:pPr>
    </w:p>
    <w:sectPr w:rsidR="003A29D0" w:rsidRPr="00C72BB0" w:rsidSect="00154B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A1" w:rsidRDefault="00B974A1" w:rsidP="009373A6">
      <w:r>
        <w:separator/>
      </w:r>
    </w:p>
  </w:endnote>
  <w:endnote w:type="continuationSeparator" w:id="0">
    <w:p w:rsidR="00B974A1" w:rsidRDefault="00B974A1" w:rsidP="009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9387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54B65" w:rsidRPr="00F94E15" w:rsidRDefault="00154B65">
        <w:pPr>
          <w:pStyle w:val="a5"/>
          <w:jc w:val="center"/>
          <w:rPr>
            <w:rFonts w:ascii="Times New Roman" w:hAnsi="Times New Roman"/>
          </w:rPr>
        </w:pPr>
        <w:r w:rsidRPr="00F94E15">
          <w:rPr>
            <w:rFonts w:ascii="Times New Roman" w:hAnsi="Times New Roman"/>
          </w:rPr>
          <w:fldChar w:fldCharType="begin"/>
        </w:r>
        <w:r w:rsidRPr="00F94E15">
          <w:rPr>
            <w:rFonts w:ascii="Times New Roman" w:hAnsi="Times New Roman"/>
          </w:rPr>
          <w:instrText>PAGE   \* MERGEFORMAT</w:instrText>
        </w:r>
        <w:r w:rsidRPr="00F94E15">
          <w:rPr>
            <w:rFonts w:ascii="Times New Roman" w:hAnsi="Times New Roman"/>
          </w:rPr>
          <w:fldChar w:fldCharType="separate"/>
        </w:r>
        <w:r w:rsidR="000A2CAB" w:rsidRPr="000A2CAB">
          <w:rPr>
            <w:rFonts w:ascii="Times New Roman" w:hAnsi="Times New Roman"/>
            <w:noProof/>
            <w:lang w:val="zh-CN"/>
          </w:rPr>
          <w:t>1</w:t>
        </w:r>
        <w:r w:rsidRPr="00F94E15">
          <w:rPr>
            <w:rFonts w:ascii="Times New Roman" w:hAnsi="Times New Roman"/>
          </w:rPr>
          <w:fldChar w:fldCharType="end"/>
        </w:r>
      </w:p>
    </w:sdtContent>
  </w:sdt>
  <w:p w:rsidR="00154B65" w:rsidRDefault="00154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A1" w:rsidRDefault="00B974A1" w:rsidP="009373A6">
      <w:r>
        <w:separator/>
      </w:r>
    </w:p>
  </w:footnote>
  <w:footnote w:type="continuationSeparator" w:id="0">
    <w:p w:rsidR="00B974A1" w:rsidRDefault="00B974A1" w:rsidP="0093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AE5"/>
    <w:multiLevelType w:val="hybridMultilevel"/>
    <w:tmpl w:val="26EEF054"/>
    <w:lvl w:ilvl="0" w:tplc="4530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B4833"/>
    <w:multiLevelType w:val="hybridMultilevel"/>
    <w:tmpl w:val="12548670"/>
    <w:lvl w:ilvl="0" w:tplc="B1488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62B0F"/>
    <w:multiLevelType w:val="hybridMultilevel"/>
    <w:tmpl w:val="0744375C"/>
    <w:lvl w:ilvl="0" w:tplc="63F2C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15463"/>
    <w:multiLevelType w:val="hybridMultilevel"/>
    <w:tmpl w:val="68EEE2EA"/>
    <w:lvl w:ilvl="0" w:tplc="A8EC143A">
      <w:start w:val="2"/>
      <w:numFmt w:val="bullet"/>
      <w:lvlText w:val="-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4022B"/>
    <w:multiLevelType w:val="hybridMultilevel"/>
    <w:tmpl w:val="AAE49B74"/>
    <w:lvl w:ilvl="0" w:tplc="B1488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7424F6"/>
    <w:multiLevelType w:val="hybridMultilevel"/>
    <w:tmpl w:val="E1D06292"/>
    <w:lvl w:ilvl="0" w:tplc="E76A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D97DFD"/>
    <w:multiLevelType w:val="hybridMultilevel"/>
    <w:tmpl w:val="BCF4978E"/>
    <w:lvl w:ilvl="0" w:tplc="F1700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365A"/>
    <w:rsid w:val="00007547"/>
    <w:rsid w:val="00011483"/>
    <w:rsid w:val="00014FC1"/>
    <w:rsid w:val="00037065"/>
    <w:rsid w:val="00037116"/>
    <w:rsid w:val="000457C2"/>
    <w:rsid w:val="00052EBE"/>
    <w:rsid w:val="000603B0"/>
    <w:rsid w:val="0006636C"/>
    <w:rsid w:val="000707A2"/>
    <w:rsid w:val="00081C66"/>
    <w:rsid w:val="00083EBD"/>
    <w:rsid w:val="00084E2D"/>
    <w:rsid w:val="000879A7"/>
    <w:rsid w:val="00091700"/>
    <w:rsid w:val="0009214D"/>
    <w:rsid w:val="0009414B"/>
    <w:rsid w:val="00096C95"/>
    <w:rsid w:val="00097D26"/>
    <w:rsid w:val="000A2CAB"/>
    <w:rsid w:val="000B2719"/>
    <w:rsid w:val="000C0BD7"/>
    <w:rsid w:val="000D6584"/>
    <w:rsid w:val="000D7EBA"/>
    <w:rsid w:val="000E1DFE"/>
    <w:rsid w:val="000E7DF2"/>
    <w:rsid w:val="00110253"/>
    <w:rsid w:val="0011223F"/>
    <w:rsid w:val="001164CD"/>
    <w:rsid w:val="00121725"/>
    <w:rsid w:val="001273DC"/>
    <w:rsid w:val="001430C8"/>
    <w:rsid w:val="001452CE"/>
    <w:rsid w:val="00154B65"/>
    <w:rsid w:val="00155592"/>
    <w:rsid w:val="00155717"/>
    <w:rsid w:val="001721E9"/>
    <w:rsid w:val="00176997"/>
    <w:rsid w:val="00181834"/>
    <w:rsid w:val="001837A3"/>
    <w:rsid w:val="0018619B"/>
    <w:rsid w:val="001B02C2"/>
    <w:rsid w:val="001D4104"/>
    <w:rsid w:val="001E554B"/>
    <w:rsid w:val="001F0321"/>
    <w:rsid w:val="002047CB"/>
    <w:rsid w:val="002121B2"/>
    <w:rsid w:val="0021619C"/>
    <w:rsid w:val="00225248"/>
    <w:rsid w:val="00227844"/>
    <w:rsid w:val="002278C7"/>
    <w:rsid w:val="00231D28"/>
    <w:rsid w:val="00247FF8"/>
    <w:rsid w:val="0025391D"/>
    <w:rsid w:val="002556AE"/>
    <w:rsid w:val="00264FD6"/>
    <w:rsid w:val="002A1585"/>
    <w:rsid w:val="002B7861"/>
    <w:rsid w:val="002C52B9"/>
    <w:rsid w:val="002F5F95"/>
    <w:rsid w:val="002F72A4"/>
    <w:rsid w:val="00301CA0"/>
    <w:rsid w:val="00310CE8"/>
    <w:rsid w:val="00322FB7"/>
    <w:rsid w:val="00333752"/>
    <w:rsid w:val="0034459E"/>
    <w:rsid w:val="00344A1C"/>
    <w:rsid w:val="00353ADB"/>
    <w:rsid w:val="003643AC"/>
    <w:rsid w:val="00367E03"/>
    <w:rsid w:val="003708E9"/>
    <w:rsid w:val="00387C7B"/>
    <w:rsid w:val="00390C5B"/>
    <w:rsid w:val="0039444E"/>
    <w:rsid w:val="003A29D0"/>
    <w:rsid w:val="003A61DC"/>
    <w:rsid w:val="003B23BB"/>
    <w:rsid w:val="003C0AEB"/>
    <w:rsid w:val="003C1714"/>
    <w:rsid w:val="003D2B29"/>
    <w:rsid w:val="003E5DBC"/>
    <w:rsid w:val="003F0C5E"/>
    <w:rsid w:val="003F7EAE"/>
    <w:rsid w:val="004061E7"/>
    <w:rsid w:val="00411E0E"/>
    <w:rsid w:val="004137CA"/>
    <w:rsid w:val="00415A67"/>
    <w:rsid w:val="00416C25"/>
    <w:rsid w:val="00432059"/>
    <w:rsid w:val="004343E6"/>
    <w:rsid w:val="00442B8B"/>
    <w:rsid w:val="0044374A"/>
    <w:rsid w:val="00453DB6"/>
    <w:rsid w:val="004552FF"/>
    <w:rsid w:val="004876AC"/>
    <w:rsid w:val="00491375"/>
    <w:rsid w:val="004A45D9"/>
    <w:rsid w:val="004A5C17"/>
    <w:rsid w:val="004B1A28"/>
    <w:rsid w:val="004C553A"/>
    <w:rsid w:val="004D050A"/>
    <w:rsid w:val="004D67EE"/>
    <w:rsid w:val="004E2E18"/>
    <w:rsid w:val="004E53BB"/>
    <w:rsid w:val="004F3498"/>
    <w:rsid w:val="004F7688"/>
    <w:rsid w:val="00503F87"/>
    <w:rsid w:val="005212F4"/>
    <w:rsid w:val="00527025"/>
    <w:rsid w:val="005334A1"/>
    <w:rsid w:val="005424FD"/>
    <w:rsid w:val="00542843"/>
    <w:rsid w:val="00555350"/>
    <w:rsid w:val="005829C9"/>
    <w:rsid w:val="005831F4"/>
    <w:rsid w:val="0059310C"/>
    <w:rsid w:val="005A29AF"/>
    <w:rsid w:val="005A59A1"/>
    <w:rsid w:val="005B3AC8"/>
    <w:rsid w:val="005D6717"/>
    <w:rsid w:val="005E0892"/>
    <w:rsid w:val="005E25E2"/>
    <w:rsid w:val="005F473B"/>
    <w:rsid w:val="005F72C8"/>
    <w:rsid w:val="00603B04"/>
    <w:rsid w:val="006060AE"/>
    <w:rsid w:val="00607776"/>
    <w:rsid w:val="00612590"/>
    <w:rsid w:val="00616274"/>
    <w:rsid w:val="00617029"/>
    <w:rsid w:val="00623031"/>
    <w:rsid w:val="00623E22"/>
    <w:rsid w:val="00632259"/>
    <w:rsid w:val="00635B25"/>
    <w:rsid w:val="00641181"/>
    <w:rsid w:val="006467D8"/>
    <w:rsid w:val="00657517"/>
    <w:rsid w:val="00673BCC"/>
    <w:rsid w:val="00693530"/>
    <w:rsid w:val="006970D8"/>
    <w:rsid w:val="006A2312"/>
    <w:rsid w:val="006A531B"/>
    <w:rsid w:val="006A74E8"/>
    <w:rsid w:val="006B159E"/>
    <w:rsid w:val="006B46E6"/>
    <w:rsid w:val="006C246E"/>
    <w:rsid w:val="006D0D0E"/>
    <w:rsid w:val="006D15BB"/>
    <w:rsid w:val="006D6C9A"/>
    <w:rsid w:val="006D6D97"/>
    <w:rsid w:val="006E6AAF"/>
    <w:rsid w:val="006F219A"/>
    <w:rsid w:val="006F498C"/>
    <w:rsid w:val="006F7693"/>
    <w:rsid w:val="0070182C"/>
    <w:rsid w:val="00710140"/>
    <w:rsid w:val="00750280"/>
    <w:rsid w:val="00750F0B"/>
    <w:rsid w:val="007544B6"/>
    <w:rsid w:val="00754894"/>
    <w:rsid w:val="00756FE2"/>
    <w:rsid w:val="0078013A"/>
    <w:rsid w:val="00782199"/>
    <w:rsid w:val="007916B1"/>
    <w:rsid w:val="00792B9B"/>
    <w:rsid w:val="00797E85"/>
    <w:rsid w:val="007A54A1"/>
    <w:rsid w:val="007A7644"/>
    <w:rsid w:val="007B1F41"/>
    <w:rsid w:val="007F2275"/>
    <w:rsid w:val="00817F3B"/>
    <w:rsid w:val="0082056A"/>
    <w:rsid w:val="00831DFB"/>
    <w:rsid w:val="008335F1"/>
    <w:rsid w:val="00842A25"/>
    <w:rsid w:val="00842F25"/>
    <w:rsid w:val="00863B9B"/>
    <w:rsid w:val="008664EF"/>
    <w:rsid w:val="0086698D"/>
    <w:rsid w:val="00874A0E"/>
    <w:rsid w:val="008845B4"/>
    <w:rsid w:val="00890912"/>
    <w:rsid w:val="008918F7"/>
    <w:rsid w:val="00893FA1"/>
    <w:rsid w:val="00897A6F"/>
    <w:rsid w:val="008A04B8"/>
    <w:rsid w:val="008B0266"/>
    <w:rsid w:val="008B10FE"/>
    <w:rsid w:val="008B203C"/>
    <w:rsid w:val="008B7D2E"/>
    <w:rsid w:val="008C2C1D"/>
    <w:rsid w:val="008D1308"/>
    <w:rsid w:val="008E498A"/>
    <w:rsid w:val="008E5510"/>
    <w:rsid w:val="0090279D"/>
    <w:rsid w:val="00903547"/>
    <w:rsid w:val="00903D16"/>
    <w:rsid w:val="00904270"/>
    <w:rsid w:val="009058F1"/>
    <w:rsid w:val="009153C9"/>
    <w:rsid w:val="00915F0F"/>
    <w:rsid w:val="009373A6"/>
    <w:rsid w:val="009458CE"/>
    <w:rsid w:val="009532DF"/>
    <w:rsid w:val="00965990"/>
    <w:rsid w:val="00997019"/>
    <w:rsid w:val="009A060A"/>
    <w:rsid w:val="009A4835"/>
    <w:rsid w:val="009A5029"/>
    <w:rsid w:val="009C1A53"/>
    <w:rsid w:val="009C217A"/>
    <w:rsid w:val="009C4F4F"/>
    <w:rsid w:val="009D38D5"/>
    <w:rsid w:val="009D41DE"/>
    <w:rsid w:val="009E156A"/>
    <w:rsid w:val="009E1EBD"/>
    <w:rsid w:val="009E3FAE"/>
    <w:rsid w:val="009E5671"/>
    <w:rsid w:val="00A003FC"/>
    <w:rsid w:val="00A05F36"/>
    <w:rsid w:val="00A06D87"/>
    <w:rsid w:val="00A101F6"/>
    <w:rsid w:val="00A2747A"/>
    <w:rsid w:val="00A33462"/>
    <w:rsid w:val="00A3742E"/>
    <w:rsid w:val="00A428BA"/>
    <w:rsid w:val="00A4363F"/>
    <w:rsid w:val="00A47BF5"/>
    <w:rsid w:val="00A53F26"/>
    <w:rsid w:val="00A619A3"/>
    <w:rsid w:val="00A63674"/>
    <w:rsid w:val="00A64B02"/>
    <w:rsid w:val="00A6739B"/>
    <w:rsid w:val="00A72FE6"/>
    <w:rsid w:val="00A848DE"/>
    <w:rsid w:val="00A91CE7"/>
    <w:rsid w:val="00A924EB"/>
    <w:rsid w:val="00AA00C2"/>
    <w:rsid w:val="00AA061F"/>
    <w:rsid w:val="00AA0CC5"/>
    <w:rsid w:val="00AA1AFD"/>
    <w:rsid w:val="00AA2BEF"/>
    <w:rsid w:val="00AC1426"/>
    <w:rsid w:val="00AC43AC"/>
    <w:rsid w:val="00AF32F5"/>
    <w:rsid w:val="00B10EE4"/>
    <w:rsid w:val="00B14FED"/>
    <w:rsid w:val="00B16AFE"/>
    <w:rsid w:val="00B2699E"/>
    <w:rsid w:val="00B3285F"/>
    <w:rsid w:val="00B3353C"/>
    <w:rsid w:val="00B342E3"/>
    <w:rsid w:val="00B34B9F"/>
    <w:rsid w:val="00B525F0"/>
    <w:rsid w:val="00B65DD5"/>
    <w:rsid w:val="00B700B6"/>
    <w:rsid w:val="00B70E71"/>
    <w:rsid w:val="00B74369"/>
    <w:rsid w:val="00B77C58"/>
    <w:rsid w:val="00B77EF7"/>
    <w:rsid w:val="00B81805"/>
    <w:rsid w:val="00B8546D"/>
    <w:rsid w:val="00B91486"/>
    <w:rsid w:val="00B93941"/>
    <w:rsid w:val="00B94090"/>
    <w:rsid w:val="00B974A1"/>
    <w:rsid w:val="00BA232F"/>
    <w:rsid w:val="00BA3488"/>
    <w:rsid w:val="00BA4732"/>
    <w:rsid w:val="00BB4C75"/>
    <w:rsid w:val="00BC0276"/>
    <w:rsid w:val="00BC30F5"/>
    <w:rsid w:val="00BC37C6"/>
    <w:rsid w:val="00BD0995"/>
    <w:rsid w:val="00BD0D99"/>
    <w:rsid w:val="00BD10B6"/>
    <w:rsid w:val="00BE26B3"/>
    <w:rsid w:val="00BE404E"/>
    <w:rsid w:val="00BE7128"/>
    <w:rsid w:val="00BF7194"/>
    <w:rsid w:val="00C06588"/>
    <w:rsid w:val="00C07076"/>
    <w:rsid w:val="00C11B04"/>
    <w:rsid w:val="00C32415"/>
    <w:rsid w:val="00C35EDD"/>
    <w:rsid w:val="00C625D6"/>
    <w:rsid w:val="00C6341B"/>
    <w:rsid w:val="00C65F98"/>
    <w:rsid w:val="00C72BB0"/>
    <w:rsid w:val="00C77EBE"/>
    <w:rsid w:val="00C81234"/>
    <w:rsid w:val="00C84515"/>
    <w:rsid w:val="00C859B3"/>
    <w:rsid w:val="00C863D1"/>
    <w:rsid w:val="00C93EE3"/>
    <w:rsid w:val="00C94EC0"/>
    <w:rsid w:val="00C95AC9"/>
    <w:rsid w:val="00CB00DF"/>
    <w:rsid w:val="00CB287C"/>
    <w:rsid w:val="00CC5A05"/>
    <w:rsid w:val="00CC6B5F"/>
    <w:rsid w:val="00CD5025"/>
    <w:rsid w:val="00CD5AD2"/>
    <w:rsid w:val="00CD7B78"/>
    <w:rsid w:val="00CF5255"/>
    <w:rsid w:val="00D02B09"/>
    <w:rsid w:val="00D168FD"/>
    <w:rsid w:val="00D4291D"/>
    <w:rsid w:val="00D61668"/>
    <w:rsid w:val="00D620BE"/>
    <w:rsid w:val="00D64A2A"/>
    <w:rsid w:val="00D64E2A"/>
    <w:rsid w:val="00D7127A"/>
    <w:rsid w:val="00D73C72"/>
    <w:rsid w:val="00D81976"/>
    <w:rsid w:val="00DA4265"/>
    <w:rsid w:val="00DA5A8E"/>
    <w:rsid w:val="00DA609F"/>
    <w:rsid w:val="00DC1D01"/>
    <w:rsid w:val="00DE0A77"/>
    <w:rsid w:val="00DE2702"/>
    <w:rsid w:val="00DF0A95"/>
    <w:rsid w:val="00E0592B"/>
    <w:rsid w:val="00E07B6B"/>
    <w:rsid w:val="00E11B10"/>
    <w:rsid w:val="00E23275"/>
    <w:rsid w:val="00E27EC9"/>
    <w:rsid w:val="00E31738"/>
    <w:rsid w:val="00E5021E"/>
    <w:rsid w:val="00E52092"/>
    <w:rsid w:val="00E54514"/>
    <w:rsid w:val="00E56E02"/>
    <w:rsid w:val="00E70310"/>
    <w:rsid w:val="00E73506"/>
    <w:rsid w:val="00E832A2"/>
    <w:rsid w:val="00E86786"/>
    <w:rsid w:val="00E939DC"/>
    <w:rsid w:val="00EA045B"/>
    <w:rsid w:val="00EA0F36"/>
    <w:rsid w:val="00EB61AD"/>
    <w:rsid w:val="00EC7441"/>
    <w:rsid w:val="00ED1717"/>
    <w:rsid w:val="00ED2F80"/>
    <w:rsid w:val="00ED60DF"/>
    <w:rsid w:val="00EE3867"/>
    <w:rsid w:val="00EE39F3"/>
    <w:rsid w:val="00EE7453"/>
    <w:rsid w:val="00EE7A40"/>
    <w:rsid w:val="00EF42DD"/>
    <w:rsid w:val="00EF5FB9"/>
    <w:rsid w:val="00F04D11"/>
    <w:rsid w:val="00F10E7C"/>
    <w:rsid w:val="00F1487E"/>
    <w:rsid w:val="00F1624E"/>
    <w:rsid w:val="00F32F8A"/>
    <w:rsid w:val="00F331B0"/>
    <w:rsid w:val="00F375CF"/>
    <w:rsid w:val="00F40985"/>
    <w:rsid w:val="00F40F87"/>
    <w:rsid w:val="00F42E0E"/>
    <w:rsid w:val="00F46E0E"/>
    <w:rsid w:val="00F507CB"/>
    <w:rsid w:val="00F564AF"/>
    <w:rsid w:val="00F65830"/>
    <w:rsid w:val="00F70290"/>
    <w:rsid w:val="00F7794A"/>
    <w:rsid w:val="00F810AA"/>
    <w:rsid w:val="00F85FCA"/>
    <w:rsid w:val="00F91A2E"/>
    <w:rsid w:val="00F92424"/>
    <w:rsid w:val="00F94E15"/>
    <w:rsid w:val="00F97BEA"/>
    <w:rsid w:val="00FB3E8D"/>
    <w:rsid w:val="00FB43EC"/>
    <w:rsid w:val="00FB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F91C8A-8E8A-4351-A518-4104453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3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3A6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F32F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B23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23BB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23B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B23B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B23BB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23B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B23BB"/>
    <w:rPr>
      <w:rFonts w:ascii="Calibri" w:eastAsia="宋体" w:hAnsi="Calibri" w:cs="Times New Roman"/>
      <w:b/>
      <w:bCs/>
    </w:rPr>
  </w:style>
  <w:style w:type="paragraph" w:styleId="af">
    <w:name w:val="footnote text"/>
    <w:basedOn w:val="a"/>
    <w:link w:val="af0"/>
    <w:uiPriority w:val="99"/>
    <w:unhideWhenUsed/>
    <w:qFormat/>
    <w:rsid w:val="009D41DE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脚注文本 字符"/>
    <w:basedOn w:val="a0"/>
    <w:link w:val="af"/>
    <w:uiPriority w:val="99"/>
    <w:qFormat/>
    <w:rsid w:val="009D41DE"/>
    <w:rPr>
      <w:sz w:val="18"/>
      <w:szCs w:val="18"/>
    </w:rPr>
  </w:style>
  <w:style w:type="character" w:styleId="af1">
    <w:name w:val="footnote reference"/>
    <w:basedOn w:val="a0"/>
    <w:uiPriority w:val="99"/>
    <w:unhideWhenUsed/>
    <w:qFormat/>
    <w:rsid w:val="009D4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陈媚</dc:creator>
  <cp:lastModifiedBy>King &amp; Wood Mallesons</cp:lastModifiedBy>
  <cp:revision>9</cp:revision>
  <cp:lastPrinted>2019-01-29T01:56:00Z</cp:lastPrinted>
  <dcterms:created xsi:type="dcterms:W3CDTF">2022-12-18T11:30:00Z</dcterms:created>
  <dcterms:modified xsi:type="dcterms:W3CDTF">2023-01-05T02:13:00Z</dcterms:modified>
</cp:coreProperties>
</file>